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28451845"/>
      <w:bookmarkStart w:id="2" w:name="_Toc140045840"/>
    </w:p>
    <w:p>
      <w:pPr>
        <w:autoSpaceDE w:val="0"/>
        <w:autoSpaceDN w:val="0"/>
        <w:adjustRightInd w:val="0"/>
        <w:jc w:val="center"/>
        <w:rPr>
          <w:rFonts w:eastAsia="黑体" w:cs="Calibri"/>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浙江省机场集团</w:t>
      </w:r>
    </w:p>
    <w:p>
      <w:pPr>
        <w:widowControl/>
        <w:autoSpaceDE w:val="0"/>
        <w:autoSpaceDN w:val="0"/>
        <w:jc w:val="center"/>
        <w:textAlignment w:val="bottom"/>
        <w:rPr>
          <w:rFonts w:hint="eastAsia" w:eastAsia="黑体" w:cs="Calibri"/>
          <w:b/>
          <w:sz w:val="44"/>
          <w:szCs w:val="44"/>
        </w:rPr>
      </w:pPr>
      <w:r>
        <w:rPr>
          <w:rFonts w:hint="eastAsia" w:eastAsia="黑体" w:cs="Calibri"/>
          <w:b/>
          <w:sz w:val="44"/>
          <w:szCs w:val="44"/>
        </w:rPr>
        <w:t>全球航空数据服务采购项目</w:t>
      </w:r>
    </w:p>
    <w:p>
      <w:pPr>
        <w:widowControl/>
        <w:autoSpaceDE w:val="0"/>
        <w:autoSpaceDN w:val="0"/>
        <w:jc w:val="center"/>
        <w:textAlignment w:val="bottom"/>
        <w:rPr>
          <w:rFonts w:hint="eastAsia" w:eastAsia="黑体" w:cs="Calibri"/>
          <w:b/>
          <w:sz w:val="44"/>
          <w:szCs w:val="44"/>
          <w:lang w:eastAsia="zh-CN"/>
        </w:rPr>
      </w:pPr>
      <w:r>
        <w:rPr>
          <w:rFonts w:hint="eastAsia" w:eastAsia="黑体" w:cs="Calibri"/>
          <w:b/>
          <w:sz w:val="44"/>
          <w:szCs w:val="44"/>
          <w:lang w:eastAsia="zh-CN"/>
        </w:rPr>
        <w:t>（重新招标）</w:t>
      </w:r>
    </w:p>
    <w:p>
      <w:pPr>
        <w:widowControl/>
        <w:autoSpaceDE w:val="0"/>
        <w:autoSpaceDN w:val="0"/>
        <w:jc w:val="center"/>
        <w:textAlignment w:val="bottom"/>
        <w:rPr>
          <w:rFonts w:hint="eastAsia" w:eastAsia="黑体" w:cs="Calibri"/>
          <w:b/>
          <w:sz w:val="44"/>
          <w:szCs w:val="44"/>
          <w:lang w:eastAsia="zh-CN"/>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rPr>
          <w:rFonts w:ascii="Calibri" w:hAnsi="Calibri" w:eastAsia="隶书" w:cs="Calibri"/>
          <w:sz w:val="32"/>
        </w:rPr>
      </w:pPr>
    </w:p>
    <w:p>
      <w:pPr>
        <w:pStyle w:val="21"/>
        <w:spacing w:line="480" w:lineRule="auto"/>
        <w:jc w:val="center"/>
        <w:rPr>
          <w:rFonts w:ascii="Calibri" w:hAnsi="Calibri" w:eastAsia="隶书" w:cs="Calibri"/>
          <w:sz w:val="32"/>
        </w:rPr>
      </w:pPr>
    </w:p>
    <w:p>
      <w:pPr>
        <w:snapToGrid w:val="0"/>
        <w:jc w:val="center"/>
        <w:rPr>
          <w:rFonts w:eastAsia="黑体" w:cs="Calibri"/>
          <w:sz w:val="32"/>
          <w:szCs w:val="32"/>
        </w:rPr>
      </w:pPr>
      <w:r>
        <w:rPr>
          <w:rFonts w:hint="eastAsia" w:eastAsia="黑体" w:cs="Calibri"/>
          <w:sz w:val="32"/>
          <w:szCs w:val="32"/>
        </w:rPr>
        <w:t>浙江省机场集团</w:t>
      </w:r>
      <w:r>
        <w:rPr>
          <w:rFonts w:eastAsia="黑体" w:cs="Calibri"/>
          <w:sz w:val="32"/>
          <w:szCs w:val="32"/>
        </w:rPr>
        <w:t>有限公司</w:t>
      </w:r>
    </w:p>
    <w:p>
      <w:pPr>
        <w:rPr>
          <w:rFonts w:eastAsia="黑体" w:cs="Calibri"/>
          <w:sz w:val="32"/>
          <w:szCs w:val="32"/>
        </w:rPr>
      </w:pPr>
    </w:p>
    <w:p>
      <w:pPr>
        <w:pStyle w:val="2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一八年</w:t>
      </w:r>
      <w:r>
        <w:rPr>
          <w:rFonts w:hint="eastAsia" w:ascii="Calibri" w:hAnsi="Calibri" w:eastAsia="黑体" w:cs="Calibri"/>
          <w:sz w:val="32"/>
          <w:szCs w:val="32"/>
          <w:u w:val="single"/>
        </w:rPr>
        <w:t xml:space="preserve"> 十</w:t>
      </w:r>
      <w:r>
        <w:rPr>
          <w:rFonts w:hint="eastAsia" w:ascii="Calibri" w:hAnsi="Calibri" w:eastAsia="黑体" w:cs="Calibri"/>
          <w:sz w:val="32"/>
          <w:szCs w:val="32"/>
          <w:u w:val="single"/>
          <w:lang w:eastAsia="zh-CN"/>
        </w:rPr>
        <w:t>二</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pStyle w:val="30"/>
        <w:jc w:val="both"/>
        <w:rPr>
          <w:rFonts w:ascii="Calibri" w:cs="Calibri"/>
          <w:b/>
          <w:color w:val="000000"/>
          <w:sz w:val="44"/>
        </w:rPr>
      </w:pPr>
      <w:bookmarkStart w:id="3" w:name="_Toc349007685"/>
      <w:bookmarkStart w:id="4" w:name="_Toc386359390"/>
      <w:bookmarkStart w:id="5" w:name="_Toc386363314"/>
      <w:bookmarkStart w:id="6" w:name="_Toc349011855"/>
    </w:p>
    <w:p/>
    <w:p>
      <w:pPr>
        <w:pStyle w:val="30"/>
        <w:rPr>
          <w:rFonts w:ascii="Calibri" w:hAnsi="Calibri" w:cs="Calibri"/>
          <w:b/>
          <w:color w:val="000000"/>
          <w:sz w:val="44"/>
        </w:rPr>
      </w:pPr>
      <w:bookmarkStart w:id="7" w:name="_Toc448002981"/>
      <w:bookmarkStart w:id="8" w:name="_Toc444811406"/>
      <w:bookmarkStart w:id="9" w:name="_Toc444173456"/>
      <w:bookmarkStart w:id="10" w:name="_Toc444174976"/>
      <w:bookmarkStart w:id="11" w:name="_Toc400369182"/>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p>
    <w:p>
      <w:pPr>
        <w:pStyle w:val="30"/>
        <w:spacing w:line="480" w:lineRule="auto"/>
        <w:rPr>
          <w:rFonts w:ascii="黑体" w:hAnsi="黑体" w:eastAsia="黑体" w:cstheme="minorBidi"/>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"_Toc448002982" </w:instrText>
      </w:r>
      <w:r>
        <w:fldChar w:fldCharType="separate"/>
      </w:r>
      <w:r>
        <w:rPr>
          <w:rStyle w:val="50"/>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"_Toc448002983" </w:instrText>
      </w:r>
      <w:r>
        <w:fldChar w:fldCharType="separate"/>
      </w:r>
      <w:r>
        <w:rPr>
          <w:rStyle w:val="50"/>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"_Toc448002985" </w:instrText>
      </w:r>
      <w:r>
        <w:fldChar w:fldCharType="separate"/>
      </w:r>
      <w:r>
        <w:rPr>
          <w:rStyle w:val="50"/>
          <w:rFonts w:hint="eastAsia" w:ascii="黑体" w:hAnsi="黑体" w:eastAsia="黑体" w:cs="Calibri"/>
          <w:kern w:val="0"/>
          <w:sz w:val="22"/>
          <w:szCs w:val="22"/>
        </w:rPr>
        <w:t>第三章  服务内容及要求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- 11 -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"_Toc448002986" </w:instrText>
      </w:r>
      <w:r>
        <w:fldChar w:fldCharType="separate"/>
      </w:r>
      <w:r>
        <w:rPr>
          <w:rStyle w:val="50"/>
          <w:rFonts w:hint="eastAsia" w:ascii="黑体" w:hAnsi="黑体" w:eastAsia="黑体" w:cs="Calibri"/>
          <w:kern w:val="0"/>
          <w:sz w:val="22"/>
          <w:szCs w:val="22"/>
        </w:rPr>
        <w:t>第四章  合同条款及格式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 xml:space="preserve">14 </w:t>
      </w:r>
      <w:r>
        <w:rPr>
          <w:rFonts w:ascii="黑体" w:hAnsi="黑体" w:eastAsia="黑体"/>
          <w:sz w:val="22"/>
          <w:szCs w:val="22"/>
        </w:rPr>
        <w:t>-</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"_Toc448002987" </w:instrText>
      </w:r>
      <w:r>
        <w:fldChar w:fldCharType="separate"/>
      </w:r>
      <w:r>
        <w:rPr>
          <w:rStyle w:val="50"/>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w:t>
      </w:r>
      <w:r>
        <w:rPr>
          <w:rFonts w:hint="eastAsia" w:ascii="黑体" w:hAnsi="黑体" w:eastAsia="黑体"/>
          <w:sz w:val="22"/>
          <w:szCs w:val="22"/>
        </w:rPr>
        <w:t xml:space="preserve"> 17</w:t>
      </w:r>
      <w:r>
        <w:rPr>
          <w:rFonts w:ascii="黑体" w:hAnsi="黑体" w:eastAsia="黑体"/>
          <w:sz w:val="22"/>
          <w:szCs w:val="22"/>
        </w:rPr>
        <w:t xml:space="preserve">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cstheme="minorBidi"/>
          <w:bCs w:val="0"/>
          <w:kern w:val="2"/>
          <w:sz w:val="22"/>
          <w:szCs w:val="22"/>
        </w:rPr>
      </w:pPr>
      <w:r>
        <w:fldChar w:fldCharType="begin"/>
      </w:r>
      <w:r>
        <w:instrText xml:space="preserve"> HYPERLINK \l "_Toc448002988" </w:instrText>
      </w:r>
      <w:r>
        <w:fldChar w:fldCharType="separate"/>
      </w:r>
      <w:r>
        <w:rPr>
          <w:rStyle w:val="50"/>
          <w:rFonts w:hint="eastAsia" w:ascii="黑体" w:hAnsi="黑体" w:eastAsia="黑体" w:cs="Calibri"/>
          <w:kern w:val="0"/>
          <w:sz w:val="22"/>
          <w:szCs w:val="22"/>
        </w:rPr>
        <w:t>第五章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w:t>
      </w:r>
      <w:r>
        <w:rPr>
          <w:rFonts w:hint="eastAsia" w:ascii="黑体" w:hAnsi="黑体" w:eastAsia="黑体"/>
          <w:sz w:val="22"/>
          <w:szCs w:val="22"/>
        </w:rPr>
        <w:t xml:space="preserve"> 21 </w:t>
      </w:r>
      <w:r>
        <w:rPr>
          <w:rFonts w:ascii="黑体" w:hAnsi="黑体" w:eastAsia="黑体"/>
          <w:sz w:val="22"/>
          <w:szCs w:val="22"/>
        </w:rPr>
        <w:t>-</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r>
        <w:rPr>
          <w:rFonts w:cs="Calibri"/>
          <w:color w:val="000000"/>
        </w:rPr>
        <w:br w:type="page"/>
      </w:r>
      <w:bookmarkStart w:id="12" w:name="_Toc6832"/>
      <w:bookmarkStart w:id="13" w:name="_Toc6581"/>
      <w:bookmarkStart w:id="14" w:name="_Toc18642"/>
      <w:bookmarkStart w:id="15" w:name="_Toc24784"/>
      <w:bookmarkStart w:id="16" w:name="_Toc22293"/>
      <w:bookmarkStart w:id="17" w:name="_Toc14628"/>
      <w:bookmarkStart w:id="18" w:name="_Toc7641"/>
      <w:bookmarkStart w:id="19" w:name="_Toc8110"/>
      <w:bookmarkStart w:id="20" w:name="_Toc24932"/>
      <w:bookmarkStart w:id="21" w:name="_Toc448002982"/>
      <w:bookmarkStart w:id="22" w:name="_Toc248766631"/>
      <w:bookmarkStart w:id="23" w:name="_Toc249322950"/>
      <w:r>
        <w:rPr>
          <w:rFonts w:eastAsia="黑体" w:cs="Calibri"/>
          <w:kern w:val="0"/>
          <w:sz w:val="32"/>
        </w:rPr>
        <w:t xml:space="preserve">第一章 </w:t>
      </w:r>
      <w:bookmarkEnd w:id="12"/>
      <w:bookmarkEnd w:id="13"/>
      <w:bookmarkEnd w:id="14"/>
      <w:bookmarkEnd w:id="15"/>
      <w:bookmarkEnd w:id="16"/>
      <w:bookmarkEnd w:id="17"/>
      <w:bookmarkEnd w:id="18"/>
      <w:bookmarkEnd w:id="19"/>
      <w:bookmarkEnd w:id="20"/>
      <w:r>
        <w:rPr>
          <w:rFonts w:hint="eastAsia" w:eastAsia="黑体" w:cs="Calibri"/>
          <w:kern w:val="0"/>
          <w:sz w:val="32"/>
        </w:rPr>
        <w:t>招标公告</w:t>
      </w:r>
      <w:bookmarkEnd w:id="21"/>
    </w:p>
    <w:p>
      <w:pPr>
        <w:widowControl/>
        <w:snapToGrid w:val="0"/>
        <w:spacing w:line="340" w:lineRule="exact"/>
        <w:jc w:val="left"/>
        <w:rPr>
          <w:rFonts w:ascii="Arial" w:hAnsi="Arial" w:cs="Arial"/>
          <w:b/>
          <w:bCs/>
          <w:kern w:val="0"/>
          <w:sz w:val="22"/>
        </w:rPr>
      </w:pPr>
      <w:bookmarkStart w:id="137" w:name="_GoBack"/>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项目概况：为进一步建设民航强省，打造航空大平台，本项目计划购买全球航空数据服务系统，加强市场及航线分析，提升浙江省内各机场，包括杭州、温州、宁波、舟山、衢州、台州、义乌等机场的航空通达性，进一步助力市场开拓。</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（2）项目地点：杭州萧山国际机场</w:t>
      </w:r>
    </w:p>
    <w:p>
      <w:pPr>
        <w:pStyle w:val="130"/>
        <w:tabs>
          <w:tab w:val="left" w:pos="851"/>
          <w:tab w:val="left" w:pos="8295"/>
        </w:tabs>
        <w:spacing w:line="360" w:lineRule="exact"/>
        <w:ind w:firstLine="440"/>
        <w:rPr>
          <w:rFonts w:asciiTheme="minorEastAsia" w:hAnsiTheme="minorEastAsia" w:eastAsiaTheme="minorEastAsia"/>
          <w:sz w:val="22"/>
        </w:rPr>
      </w:pPr>
      <w:r>
        <w:rPr>
          <w:rFonts w:hint="eastAsia" w:ascii="宋体" w:hAnsi="宋体" w:cs="Arial"/>
          <w:kern w:val="0"/>
          <w:sz w:val="22"/>
        </w:rPr>
        <w:t>（3）招标内容：</w:t>
      </w:r>
      <w:r>
        <w:rPr>
          <w:rFonts w:hint="eastAsia" w:ascii="宋体" w:hAnsi="宋体"/>
          <w:sz w:val="22"/>
        </w:rPr>
        <w:t>①</w:t>
      </w:r>
      <w:r>
        <w:rPr>
          <w:rFonts w:asciiTheme="minorEastAsia" w:hAnsiTheme="minorEastAsia" w:eastAsiaTheme="minorEastAsia"/>
          <w:sz w:val="22"/>
        </w:rPr>
        <w:t>提供</w:t>
      </w:r>
      <w:r>
        <w:rPr>
          <w:rFonts w:hint="eastAsia" w:asciiTheme="minorEastAsia" w:hAnsiTheme="minorEastAsia" w:eastAsiaTheme="minorEastAsia"/>
          <w:sz w:val="22"/>
        </w:rPr>
        <w:t>全球旅客流量流向、运力安排及分析、中转机场等机会分析</w:t>
      </w:r>
      <w:r>
        <w:rPr>
          <w:rFonts w:hint="eastAsia" w:ascii="宋体" w:hAnsi="宋体"/>
          <w:sz w:val="22"/>
        </w:rPr>
        <w:t>；②</w:t>
      </w:r>
      <w:r>
        <w:rPr>
          <w:rFonts w:hint="eastAsia" w:asciiTheme="minorEastAsia" w:hAnsiTheme="minorEastAsia" w:eastAsiaTheme="minorEastAsia"/>
          <w:sz w:val="22"/>
        </w:rPr>
        <w:t>提供现有航线销售数据、收益情况分析及新航线设计评估服务</w:t>
      </w:r>
      <w:r>
        <w:rPr>
          <w:rFonts w:hint="eastAsia" w:ascii="宋体" w:hAnsi="宋体"/>
          <w:sz w:val="22"/>
        </w:rPr>
        <w:t>，具体详见</w:t>
      </w:r>
      <w:r>
        <w:rPr>
          <w:rFonts w:hint="eastAsia" w:ascii="宋体" w:hAnsi="宋体" w:cs="Arial"/>
          <w:kern w:val="0"/>
          <w:sz w:val="22"/>
        </w:rPr>
        <w:t>第三章“</w:t>
      </w:r>
      <w:r>
        <w:rPr>
          <w:rFonts w:hint="eastAsia" w:cs="Calibri" w:asciiTheme="minorEastAsia" w:hAnsiTheme="minorEastAsia" w:eastAsiaTheme="minorEastAsia"/>
          <w:kern w:val="0"/>
          <w:sz w:val="22"/>
        </w:rPr>
        <w:t>服务内容及要求</w:t>
      </w:r>
      <w:r>
        <w:rPr>
          <w:rFonts w:hint="eastAsia" w:ascii="宋体" w:hAnsi="宋体" w:cs="Arial"/>
          <w:kern w:val="0"/>
          <w:sz w:val="22"/>
        </w:rPr>
        <w:t>”。</w:t>
      </w:r>
    </w:p>
    <w:p>
      <w:pPr>
        <w:pStyle w:val="130"/>
        <w:tabs>
          <w:tab w:val="left" w:pos="851"/>
          <w:tab w:val="left" w:pos="8295"/>
        </w:tabs>
        <w:spacing w:line="400" w:lineRule="exact"/>
        <w:ind w:left="420" w:firstLine="0" w:firstLineChars="0"/>
        <w:rPr>
          <w:rFonts w:ascii="宋体" w:hAnsi="宋体"/>
          <w:sz w:val="22"/>
        </w:rPr>
      </w:pPr>
      <w:r>
        <w:rPr>
          <w:rFonts w:hint="eastAsia" w:ascii="宋体" w:hAnsi="宋体" w:cs="Arial"/>
          <w:kern w:val="0"/>
          <w:sz w:val="22"/>
        </w:rPr>
        <w:t>（4）服务期：36个月</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w:t>
      </w:r>
      <w:r>
        <w:rPr>
          <w:rFonts w:ascii="宋体" w:hAnsi="宋体" w:cs="Arial"/>
          <w:kern w:val="0"/>
          <w:sz w:val="22"/>
        </w:rPr>
        <w:t>具有独立法人资格，持有有效营业执照；</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（2）能独立承担民事责任和履行合同能力，具有良好的商业信誉和健全的财务会计管理制度，有依法缴纳税收和社会保障资金的良好记录，在本次招标前三年内的经营活动中没有重大违法记录和不良记录；</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（3）投标人</w:t>
      </w:r>
      <w:r>
        <w:rPr>
          <w:rFonts w:ascii="宋体" w:hAnsi="宋体" w:cs="Arial"/>
          <w:kern w:val="0"/>
          <w:sz w:val="22"/>
        </w:rPr>
        <w:t>具有一般纳税人</w:t>
      </w:r>
      <w:r>
        <w:rPr>
          <w:rFonts w:hint="eastAsia" w:ascii="宋体" w:hAnsi="宋体" w:cs="Arial"/>
          <w:kern w:val="0"/>
          <w:sz w:val="22"/>
        </w:rPr>
        <w:t>资格</w:t>
      </w:r>
      <w:r>
        <w:rPr>
          <w:rFonts w:ascii="宋体" w:hAnsi="宋体" w:cs="Arial"/>
          <w:kern w:val="0"/>
          <w:sz w:val="22"/>
        </w:rPr>
        <w:t>，可提供增值税专用发票</w:t>
      </w:r>
      <w:r>
        <w:rPr>
          <w:rFonts w:hint="eastAsia" w:ascii="宋体" w:hAnsi="宋体" w:cs="Arial"/>
          <w:kern w:val="0"/>
          <w:sz w:val="22"/>
        </w:rPr>
        <w:t xml:space="preserve">。（需提供增值税一般纳税人资格登记表复印件并加盖公章，原件备查）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（4）本次招标不接受联合体投标。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凡符合资格条件并有投标意向的潜在投标人，请通过浙江省机场集团有限公司主页</w:t>
      </w:r>
      <w:r>
        <w:t>http://www.zjsairport.com/notice.html</w:t>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（1）投标文件递交截止时间：</w:t>
      </w:r>
      <w:r>
        <w:rPr>
          <w:rFonts w:hint="eastAsia" w:ascii="宋体" w:hAnsi="宋体" w:cs="Arial"/>
          <w:kern w:val="0"/>
          <w:sz w:val="22"/>
          <w:lang w:eastAsia="zh-CN"/>
        </w:rPr>
        <w:t>2019年1月18日</w:t>
      </w:r>
      <w:r>
        <w:rPr>
          <w:rFonts w:hint="eastAsia" w:ascii="宋体" w:hAnsi="宋体" w:cs="Arial"/>
          <w:kern w:val="0"/>
          <w:sz w:val="22"/>
        </w:rPr>
        <w:t>上午9时00分（北京时间）。投标文件在封口处加盖公章，并派专人于</w:t>
      </w:r>
      <w:r>
        <w:rPr>
          <w:rFonts w:hint="eastAsia" w:ascii="宋体" w:hAnsi="宋体" w:cs="Arial"/>
          <w:kern w:val="0"/>
          <w:sz w:val="22"/>
          <w:lang w:eastAsia="zh-CN"/>
        </w:rPr>
        <w:t>2019年1月18日</w:t>
      </w:r>
      <w:r>
        <w:rPr>
          <w:rFonts w:hint="eastAsia" w:ascii="宋体" w:hAnsi="宋体" w:cs="Arial"/>
          <w:kern w:val="0"/>
          <w:sz w:val="22"/>
        </w:rPr>
        <w:t>上午9时00分（北京时间）前送至杭州萧山国际机场翔越路综合服务楼园区招标中心，逾期无效；若采用投递方式的，请于</w:t>
      </w:r>
      <w:r>
        <w:rPr>
          <w:rFonts w:hint="eastAsia" w:ascii="宋体" w:hAnsi="宋体" w:cs="Arial"/>
          <w:kern w:val="0"/>
          <w:sz w:val="22"/>
          <w:lang w:eastAsia="zh-CN"/>
        </w:rPr>
        <w:t>2019年1月18日</w:t>
      </w:r>
      <w:r>
        <w:rPr>
          <w:rFonts w:hint="eastAsia" w:ascii="宋体" w:hAnsi="宋体" w:cs="Arial"/>
          <w:kern w:val="0"/>
          <w:sz w:val="22"/>
        </w:rPr>
        <w:t>上午9时00分（北京时间）前投递至杭州萧山国际机场综合楼213室，逾期无效。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中国采购与招标网和浙江省机场集团有限公司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浙江省机场集团有限公司主页</w:t>
      </w:r>
      <w:r>
        <w:rPr>
          <w:rFonts w:ascii="宋体" w:hAnsi="宋体" w:cs="Arial"/>
          <w:kern w:val="0"/>
          <w:sz w:val="22"/>
        </w:rPr>
        <w:t>http://www.zjsairport.com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投标联系人：张治        联系电话： 0571-86662736</w:t>
      </w:r>
    </w:p>
    <w:p>
      <w:pPr>
        <w:widowControl/>
        <w:adjustRightInd w:val="0"/>
        <w:snapToGrid w:val="0"/>
        <w:spacing w:line="340" w:lineRule="exact"/>
        <w:ind w:firstLine="440" w:firstLineChars="200"/>
        <w:rPr>
          <w:rFonts w:asciiTheme="minorEastAsia" w:hAnsiTheme="minorEastAsia"/>
          <w:bCs/>
          <w:sz w:val="22"/>
          <w:szCs w:val="22"/>
        </w:rPr>
      </w:pPr>
      <w:r>
        <w:rPr>
          <w:rFonts w:hint="eastAsia" w:asciiTheme="minorEastAsia" w:hAnsiTheme="minorEastAsia"/>
          <w:bCs/>
          <w:sz w:val="22"/>
          <w:szCs w:val="22"/>
        </w:rPr>
        <w:t>招标监督人：刘闻捷       联系电话： 0571-86662134</w:t>
      </w:r>
    </w:p>
    <w:bookmarkEnd w:id="137"/>
    <w:p>
      <w:pPr>
        <w:widowControl/>
        <w:adjustRightInd w:val="0"/>
        <w:snapToGrid w:val="0"/>
        <w:spacing w:line="340" w:lineRule="exact"/>
        <w:ind w:firstLine="440" w:firstLineChars="200"/>
        <w:rPr>
          <w:rFonts w:ascii="宋体" w:hAnsi="宋体"/>
          <w:sz w:val="22"/>
        </w:rPr>
      </w:pPr>
      <w:r>
        <w:rPr>
          <w:rFonts w:hint="eastAsia" w:ascii="宋体" w:hAnsi="宋体"/>
          <w:sz w:val="22"/>
        </w:rPr>
        <w:t xml:space="preserve"> </w:t>
      </w:r>
    </w:p>
    <w:p>
      <w:pPr>
        <w:widowControl/>
        <w:adjustRightInd w:val="0"/>
        <w:snapToGrid w:val="0"/>
        <w:spacing w:line="340" w:lineRule="exact"/>
        <w:ind w:firstLine="440" w:firstLineChars="200"/>
        <w:rPr>
          <w:rFonts w:ascii="宋体" w:hAnsi="宋体"/>
          <w:sz w:val="22"/>
        </w:rPr>
      </w:pPr>
    </w:p>
    <w:p>
      <w:pPr>
        <w:pStyle w:val="2"/>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4"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4"/>
      <w:bookmarkStart w:id="25" w:name="_Toc143421654"/>
    </w:p>
    <w:p>
      <w:pPr>
        <w:pStyle w:val="129"/>
        <w:jc w:val="center"/>
        <w:rPr>
          <w:rFonts w:ascii="Calibri" w:hAnsi="Calibri" w:eastAsia="黑体" w:cs="Calibri"/>
          <w:kern w:val="2"/>
          <w:sz w:val="28"/>
          <w:szCs w:val="32"/>
        </w:rPr>
      </w:pPr>
      <w:bookmarkStart w:id="26" w:name="_Toc11881"/>
      <w:bookmarkStart w:id="27" w:name="_Toc349007688"/>
      <w:bookmarkStart w:id="28" w:name="_Toc349011858"/>
      <w:bookmarkStart w:id="29" w:name="_Toc386359393"/>
      <w:bookmarkStart w:id="30" w:name="_Toc448002984"/>
      <w:bookmarkStart w:id="31" w:name="_Toc386363317"/>
      <w:bookmarkStart w:id="32" w:name="_Toc444811409"/>
      <w:bookmarkStart w:id="33" w:name="_Toc400369185"/>
      <w:bookmarkStart w:id="34" w:name="_Toc444174979"/>
      <w:bookmarkStart w:id="35" w:name="_Toc444173459"/>
      <w:r>
        <w:rPr>
          <w:rFonts w:ascii="Calibri" w:hAnsi="Arial" w:eastAsia="黑体"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Style w:val="53"/>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条款号</w:t>
            </w:r>
          </w:p>
        </w:tc>
        <w:tc>
          <w:tcPr>
            <w:tcW w:w="2004"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条 款 名 称</w:t>
            </w:r>
          </w:p>
        </w:tc>
        <w:tc>
          <w:tcPr>
            <w:tcW w:w="6487" w:type="dxa"/>
            <w:tcBorders>
              <w:top w:val="single" w:color="auto" w:sz="12" w:space="0"/>
            </w:tcBorders>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sz w:val="22"/>
                <w:shd w:val="clear" w:color="auto" w:fill="auto"/>
              </w:rPr>
              <w:t>1.1</w:t>
            </w:r>
            <w:r>
              <w:rPr>
                <w:rFonts w:hint="eastAsia" w:cs="Calibri" w:asciiTheme="minorEastAsia" w:hAnsiTheme="minorEastAsia" w:eastAsiaTheme="minorEastAsia"/>
                <w:sz w:val="22"/>
                <w:shd w:val="clear" w:color="auto" w:fill="auto"/>
              </w:rPr>
              <w:t>.1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项目名称</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hint="eastAsia" w:ascii="宋体" w:hAnsi="宋体" w:cs="Arial"/>
                <w:kern w:val="0"/>
                <w:sz w:val="22"/>
                <w:shd w:val="clear" w:color="auto" w:fill="auto"/>
              </w:rPr>
              <w:t>浙江省机场集团全球航空数据服务采购项目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sz w:val="22"/>
                <w:shd w:val="clear" w:color="auto" w:fill="auto"/>
              </w:rPr>
            </w:pPr>
            <w:r>
              <w:rPr>
                <w:rFonts w:cs="Calibri" w:asciiTheme="minorEastAsia" w:hAnsiTheme="minorEastAsia" w:eastAsiaTheme="minorEastAsia"/>
                <w:sz w:val="22"/>
                <w:shd w:val="clear" w:color="auto" w:fill="auto"/>
              </w:rPr>
              <w:t>1.1.2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hint="eastAsia" w:cs="Calibri" w:asciiTheme="minorEastAsia" w:hAnsiTheme="minorEastAsia" w:eastAsiaTheme="minorEastAsia"/>
                <w:kern w:val="0"/>
                <w:sz w:val="22"/>
                <w:shd w:val="clear" w:color="auto" w:fill="auto"/>
              </w:rPr>
              <w:t>实施</w:t>
            </w:r>
            <w:r>
              <w:rPr>
                <w:rFonts w:cs="Calibri" w:asciiTheme="minorEastAsia" w:hAnsiTheme="minorEastAsia" w:eastAsiaTheme="minorEastAsia"/>
                <w:kern w:val="0"/>
                <w:sz w:val="22"/>
                <w:shd w:val="clear" w:color="auto" w:fill="auto"/>
              </w:rPr>
              <w:t>地点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ascii="宋体" w:hAnsi="宋体" w:cs="Calibri"/>
                <w:kern w:val="0"/>
                <w:sz w:val="22"/>
                <w:shd w:val="clear" w:color="auto" w:fill="auto"/>
              </w:rPr>
              <w:t>杭州萧山国际机场</w:t>
            </w:r>
            <w:r>
              <w:rPr>
                <w:rFonts w:ascii="宋体" w:hAnsi="宋体" w:cs="Calibri"/>
                <w:sz w:val="22"/>
                <w:shd w:val="clear" w:color="auto" w:fill="auto"/>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1.</w:t>
            </w:r>
            <w:r>
              <w:rPr>
                <w:rFonts w:hint="eastAsia" w:cs="Calibri" w:asciiTheme="minorEastAsia" w:hAnsiTheme="minorEastAsia" w:eastAsiaTheme="minorEastAsia"/>
                <w:kern w:val="0"/>
                <w:sz w:val="22"/>
                <w:shd w:val="clear" w:color="auto" w:fill="auto"/>
              </w:rPr>
              <w:t>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资金来源</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Style w:val="65"/>
                <w:rFonts w:hint="eastAsia" w:cs="Calibri" w:asciiTheme="minorEastAsia" w:hAnsiTheme="minorEastAsia" w:eastAsiaTheme="minorEastAsia"/>
                <w:sz w:val="22"/>
                <w:shd w:val="clear" w:color="auto" w:fill="auto"/>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1.</w:t>
            </w:r>
            <w:r>
              <w:rPr>
                <w:rFonts w:hint="eastAsia" w:cs="Calibri" w:asciiTheme="minorEastAsia" w:hAnsiTheme="minorEastAsia" w:eastAsiaTheme="minorEastAsia"/>
                <w:kern w:val="0"/>
                <w:sz w:val="22"/>
                <w:shd w:val="clear" w:color="auto" w:fill="auto"/>
              </w:rPr>
              <w:t>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招标</w:t>
            </w:r>
            <w:r>
              <w:rPr>
                <w:rFonts w:hint="eastAsia" w:cs="Calibri" w:asciiTheme="minorEastAsia" w:hAnsiTheme="minorEastAsia" w:eastAsiaTheme="minorEastAsia"/>
                <w:kern w:val="0"/>
                <w:sz w:val="22"/>
                <w:shd w:val="clear" w:color="auto" w:fill="auto"/>
              </w:rPr>
              <w:t>内容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见招标公告，具体要求详见第</w:t>
            </w:r>
            <w:r>
              <w:rPr>
                <w:rFonts w:hint="eastAsia" w:cs="Calibri" w:asciiTheme="minorEastAsia" w:hAnsiTheme="minorEastAsia" w:eastAsiaTheme="minorEastAsia"/>
                <w:kern w:val="0"/>
                <w:sz w:val="22"/>
                <w:shd w:val="clear" w:color="auto" w:fill="auto"/>
              </w:rPr>
              <w:t>三</w:t>
            </w:r>
            <w:r>
              <w:rPr>
                <w:rFonts w:cs="Calibri" w:asciiTheme="minorEastAsia" w:hAnsiTheme="minorEastAsia" w:eastAsiaTheme="minorEastAsia"/>
                <w:kern w:val="0"/>
                <w:sz w:val="22"/>
                <w:shd w:val="clear" w:color="auto" w:fill="auto"/>
              </w:rPr>
              <w:t>章“</w:t>
            </w:r>
            <w:r>
              <w:rPr>
                <w:rFonts w:hint="eastAsia" w:cs="Calibri" w:asciiTheme="minorEastAsia" w:hAnsiTheme="minorEastAsia" w:eastAsiaTheme="minorEastAsia"/>
                <w:kern w:val="0"/>
                <w:sz w:val="22"/>
                <w:shd w:val="clear" w:color="auto" w:fill="auto"/>
              </w:rPr>
              <w:t>服务内容及要求</w:t>
            </w:r>
            <w:r>
              <w:rPr>
                <w:rFonts w:cs="Calibri" w:asciiTheme="minorEastAsia" w:hAnsiTheme="minorEastAsia" w:eastAsiaTheme="minorEastAsia"/>
                <w:kern w:val="0"/>
                <w:sz w:val="22"/>
                <w:shd w:val="clear" w:color="auto" w:fil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1.</w:t>
            </w:r>
            <w:r>
              <w:rPr>
                <w:rFonts w:hint="eastAsia" w:cs="Calibri" w:asciiTheme="minorEastAsia" w:hAnsiTheme="minorEastAsia" w:eastAsiaTheme="minorEastAsia"/>
                <w:kern w:val="0"/>
                <w:sz w:val="22"/>
                <w:shd w:val="clear" w:color="auto" w:fill="auto"/>
              </w:rPr>
              <w:t>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招标方式</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1.</w:t>
            </w:r>
            <w:r>
              <w:rPr>
                <w:rFonts w:hint="eastAsia" w:cs="Calibri" w:asciiTheme="minorEastAsia" w:hAnsiTheme="minorEastAsia" w:eastAsiaTheme="minorEastAsia"/>
                <w:kern w:val="0"/>
                <w:sz w:val="22"/>
                <w:shd w:val="clear" w:color="auto" w:fill="auto"/>
              </w:rPr>
              <w:t>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资格审查</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1.</w:t>
            </w:r>
            <w:r>
              <w:rPr>
                <w:rFonts w:hint="eastAsia" w:cs="Calibri" w:asciiTheme="minorEastAsia" w:hAnsiTheme="minorEastAsia" w:eastAsiaTheme="minorEastAsia"/>
                <w:kern w:val="0"/>
                <w:sz w:val="22"/>
                <w:shd w:val="clear" w:color="auto" w:fill="auto"/>
              </w:rPr>
              <w:t>6</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投标人资质条件、能力和信誉</w:t>
            </w:r>
          </w:p>
        </w:tc>
        <w:tc>
          <w:tcPr>
            <w:tcW w:w="6487" w:type="dxa"/>
            <w:vAlign w:val="center"/>
          </w:tcPr>
          <w:p>
            <w:pPr>
              <w:autoSpaceDE w:val="0"/>
              <w:autoSpaceDN w:val="0"/>
              <w:adjustRightInd w:val="0"/>
              <w:snapToGrid w:val="0"/>
              <w:rPr>
                <w:rFonts w:cs="Calibri" w:asciiTheme="minorEastAsia" w:hAnsiTheme="minorEastAsia" w:eastAsiaTheme="minorEastAsia"/>
                <w:color w:val="FF0000"/>
                <w:kern w:val="0"/>
                <w:sz w:val="22"/>
                <w:shd w:val="clear" w:color="auto" w:fill="auto"/>
              </w:rPr>
            </w:pPr>
            <w:r>
              <w:rPr>
                <w:rFonts w:cs="Calibri" w:asciiTheme="minorEastAsia" w:hAnsiTheme="minorEastAsia" w:eastAsiaTheme="minorEastAsia"/>
                <w:kern w:val="0"/>
                <w:sz w:val="22"/>
                <w:shd w:val="clear" w:color="auto" w:fill="auto"/>
              </w:rPr>
              <w:t>详见招标公告</w:t>
            </w:r>
            <w:r>
              <w:rPr>
                <w:rFonts w:hint="eastAsia" w:cs="Calibri" w:asciiTheme="minorEastAsia" w:hAnsiTheme="minorEastAsia" w:eastAsiaTheme="minorEastAsia"/>
                <w:kern w:val="0"/>
                <w:sz w:val="22"/>
                <w:shd w:val="clear" w:color="auto" w:fill="auto"/>
              </w:rPr>
              <w:t>“</w:t>
            </w:r>
            <w:r>
              <w:rPr>
                <w:rFonts w:hint="eastAsia" w:cs="黑体" w:asciiTheme="minorEastAsia" w:hAnsiTheme="minorEastAsia" w:eastAsiaTheme="minorEastAsia"/>
                <w:kern w:val="0"/>
                <w:sz w:val="22"/>
                <w:shd w:val="clear" w:color="auto" w:fill="auto"/>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1.</w:t>
            </w:r>
            <w:r>
              <w:rPr>
                <w:rFonts w:hint="eastAsia" w:cs="Calibri" w:asciiTheme="minorEastAsia" w:hAnsiTheme="minorEastAsia" w:eastAsiaTheme="minorEastAsia"/>
                <w:kern w:val="0"/>
                <w:sz w:val="22"/>
                <w:shd w:val="clear" w:color="auto" w:fill="auto"/>
              </w:rPr>
              <w:t>7</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hint="eastAsia" w:cs="Calibri" w:asciiTheme="minorEastAsia" w:hAnsiTheme="minorEastAsia" w:eastAsiaTheme="minorEastAsia"/>
                <w:kern w:val="0"/>
                <w:sz w:val="22"/>
                <w:shd w:val="clear" w:color="auto" w:fill="auto"/>
              </w:rPr>
              <w:t>服务期</w:t>
            </w:r>
          </w:p>
        </w:tc>
        <w:tc>
          <w:tcPr>
            <w:tcW w:w="6487" w:type="dxa"/>
            <w:vAlign w:val="center"/>
          </w:tcPr>
          <w:p>
            <w:pPr>
              <w:rPr>
                <w:rFonts w:asciiTheme="minorEastAsia" w:hAnsiTheme="minorEastAsia" w:eastAsiaTheme="minorEastAsia"/>
                <w:color w:val="000000"/>
                <w:sz w:val="22"/>
                <w:shd w:val="clear" w:color="auto" w:fill="auto"/>
              </w:rPr>
            </w:pPr>
            <w:r>
              <w:rPr>
                <w:rFonts w:hint="eastAsia" w:asciiTheme="minorEastAsia" w:hAnsiTheme="minorEastAsia" w:eastAsiaTheme="minorEastAsia"/>
                <w:color w:val="000000"/>
                <w:sz w:val="22"/>
                <w:u w:val="single"/>
                <w:shd w:val="clear" w:color="auto" w:fill="auto"/>
              </w:rPr>
              <w:t xml:space="preserve">36 </w:t>
            </w:r>
            <w:r>
              <w:rPr>
                <w:rFonts w:hint="eastAsia" w:asciiTheme="minorEastAsia" w:hAnsiTheme="minorEastAsia" w:eastAsiaTheme="minorEastAsia"/>
                <w:color w:val="000000"/>
                <w:sz w:val="22"/>
                <w:shd w:val="clear" w:color="auto" w:fill="auto"/>
              </w:rPr>
              <w:t>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1.</w:t>
            </w:r>
            <w:r>
              <w:rPr>
                <w:rFonts w:hint="eastAsia" w:cs="Calibri" w:asciiTheme="minorEastAsia" w:hAnsiTheme="minorEastAsia" w:eastAsiaTheme="minorEastAsia"/>
                <w:kern w:val="0"/>
                <w:sz w:val="22"/>
                <w:shd w:val="clear" w:color="auto" w:fill="auto"/>
              </w:rPr>
              <w:t>8</w:t>
            </w:r>
            <w:r>
              <w:rPr>
                <w:rFonts w:cs="Calibri" w:asciiTheme="minorEastAsia" w:hAnsiTheme="minorEastAsia" w:eastAsiaTheme="minorEastAsia"/>
                <w:kern w:val="0"/>
                <w:sz w:val="22"/>
                <w:shd w:val="clear" w:color="auto" w:fill="auto"/>
              </w:rPr>
              <w:t>.1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踏勘现场</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sym w:font="Wingdings" w:char="F0FE"/>
            </w:r>
            <w:r>
              <w:rPr>
                <w:rFonts w:cs="Calibri" w:asciiTheme="minorEastAsia" w:hAnsiTheme="minorEastAsia" w:eastAsiaTheme="minorEastAsia"/>
                <w:kern w:val="0"/>
                <w:sz w:val="22"/>
                <w:shd w:val="clear" w:color="auto" w:fill="auto"/>
              </w:rPr>
              <w:t>不组织</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□组织，踏勘时间：</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1.</w:t>
            </w:r>
            <w:r>
              <w:rPr>
                <w:rFonts w:hint="eastAsia" w:cs="Calibri" w:asciiTheme="minorEastAsia" w:hAnsiTheme="minorEastAsia" w:eastAsiaTheme="minorEastAsia"/>
                <w:kern w:val="0"/>
                <w:sz w:val="22"/>
                <w:shd w:val="clear" w:color="auto" w:fill="auto"/>
              </w:rPr>
              <w:t>9</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投标预备会</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sym w:font="Wingdings" w:char="F0FE"/>
            </w:r>
            <w:r>
              <w:rPr>
                <w:rFonts w:cs="Calibri" w:asciiTheme="minorEastAsia" w:hAnsiTheme="minorEastAsia" w:eastAsiaTheme="minorEastAsia"/>
                <w:kern w:val="0"/>
                <w:sz w:val="22"/>
                <w:shd w:val="clear" w:color="auto" w:fill="auto"/>
              </w:rPr>
              <w:t>不召开</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□召开，召开时间：</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2.2.1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投标人提出问题的截止时间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hint="eastAsia" w:ascii="宋体" w:hAnsi="宋体" w:cs="Calibri"/>
                <w:kern w:val="0"/>
                <w:sz w:val="22"/>
                <w:shd w:val="clear" w:color="auto" w:fill="auto"/>
              </w:rPr>
              <w:t>201</w:t>
            </w:r>
            <w:r>
              <w:rPr>
                <w:rFonts w:hint="eastAsia" w:ascii="宋体" w:hAnsi="宋体" w:cs="Calibri"/>
                <w:kern w:val="0"/>
                <w:sz w:val="22"/>
                <w:shd w:val="clear" w:color="auto" w:fill="auto"/>
                <w:lang w:val="en-US" w:eastAsia="zh-CN"/>
              </w:rPr>
              <w:t>9</w:t>
            </w:r>
            <w:r>
              <w:rPr>
                <w:rFonts w:hint="eastAsia" w:ascii="宋体" w:hAnsi="宋体" w:cs="Calibri"/>
                <w:kern w:val="0"/>
                <w:sz w:val="22"/>
                <w:shd w:val="clear" w:color="auto" w:fill="auto"/>
              </w:rPr>
              <w:t>年 1 月 1</w:t>
            </w:r>
            <w:r>
              <w:rPr>
                <w:rFonts w:hint="eastAsia" w:ascii="宋体" w:hAnsi="宋体" w:cs="Calibri"/>
                <w:kern w:val="0"/>
                <w:sz w:val="22"/>
                <w:shd w:val="clear" w:color="auto" w:fill="auto"/>
                <w:lang w:val="en-US" w:eastAsia="zh-CN"/>
              </w:rPr>
              <w:t>1</w:t>
            </w:r>
            <w:r>
              <w:rPr>
                <w:rFonts w:hint="eastAsia" w:ascii="宋体" w:hAnsi="宋体" w:cs="Calibri"/>
                <w:kern w:val="0"/>
                <w:sz w:val="22"/>
                <w:shd w:val="clear" w:color="auto" w:fill="auto"/>
              </w:rPr>
              <w:t xml:space="preserve"> 日11：30前，以书面加盖公章的形式通过E-mail或传真提交给招标人（投标联系人:张治，电话0571-86662736；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2.2.2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投标截止时间</w:t>
            </w:r>
          </w:p>
        </w:tc>
        <w:tc>
          <w:tcPr>
            <w:tcW w:w="6487" w:type="dxa"/>
            <w:shd w:val="clear" w:color="auto" w:fill="auto"/>
            <w:vAlign w:val="top"/>
          </w:tcPr>
          <w:p>
            <w:pPr>
              <w:autoSpaceDE w:val="0"/>
              <w:autoSpaceDN w:val="0"/>
              <w:adjustRightInd w:val="0"/>
              <w:snapToGrid w:val="0"/>
              <w:jc w:val="left"/>
              <w:rPr>
                <w:rFonts w:cs="Calibri" w:asciiTheme="minorEastAsia" w:hAnsiTheme="minorEastAsia" w:eastAsiaTheme="minorEastAsia"/>
                <w:b/>
                <w:kern w:val="0"/>
                <w:sz w:val="22"/>
                <w:shd w:val="clear" w:color="auto" w:fill="auto"/>
              </w:rPr>
            </w:pPr>
            <w:r>
              <w:rPr>
                <w:rFonts w:hint="eastAsia" w:cs="Calibri" w:asciiTheme="minorEastAsia" w:hAnsiTheme="minorEastAsia" w:eastAsiaTheme="minorEastAsia"/>
                <w:b/>
                <w:kern w:val="0"/>
                <w:sz w:val="22"/>
                <w:shd w:val="clear" w:color="auto" w:fill="auto"/>
                <w:lang w:eastAsia="zh-CN"/>
              </w:rPr>
              <w:t>2019年1月18日</w:t>
            </w:r>
            <w:r>
              <w:rPr>
                <w:rFonts w:hint="eastAsia" w:cs="Calibri" w:asciiTheme="minorEastAsia" w:hAnsiTheme="minorEastAsia" w:eastAsiaTheme="minorEastAsia"/>
                <w:b/>
                <w:kern w:val="0"/>
                <w:sz w:val="22"/>
                <w:shd w:val="clear" w:color="auto" w:fill="auto"/>
              </w:rPr>
              <w:t>上午9时00分（北京时间）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2.2.3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投标人确认收到招标文件澄清的时间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hint="eastAsia" w:ascii="宋体" w:hAnsi="宋体" w:cs="Calibri"/>
                <w:kern w:val="0"/>
                <w:sz w:val="22"/>
                <w:shd w:val="clear" w:color="auto" w:fill="auto"/>
              </w:rPr>
              <w:t>招标人可主动地或在解答投标人提出的澄清问题时对招标文件进行修改，</w:t>
            </w:r>
            <w:bookmarkStart w:id="36" w:name="_Toc226175287"/>
            <w:bookmarkStart w:id="37" w:name="_Toc236586447"/>
            <w:r>
              <w:rPr>
                <w:rFonts w:hint="eastAsia" w:ascii="宋体" w:hAnsi="宋体" w:cs="Calibri"/>
                <w:kern w:val="0"/>
                <w:sz w:val="22"/>
                <w:shd w:val="clear" w:color="auto" w:fill="auto"/>
              </w:rPr>
              <w:t>对招标文件的修改将以补充公告的形式发布，所有获得招标文件的投标人应自行关注网站公告，招标人不再一一通知。投标人因自身贻误行为导致投标失败的，责任自负。</w:t>
            </w:r>
            <w:bookmarkEnd w:id="36"/>
            <w:bookmarkEnd w:id="3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2.3.2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投标人确认收到招标文件修改的时间</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hint="eastAsia" w:ascii="宋体" w:hAnsi="宋体" w:cs="Calibri"/>
                <w:kern w:val="0"/>
                <w:sz w:val="22"/>
                <w:shd w:val="clear" w:color="auto" w:fill="auto"/>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3.4.1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投标有效期</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hint="eastAsia" w:cs="Calibri" w:asciiTheme="minorEastAsia" w:hAnsiTheme="minorEastAsia" w:eastAsiaTheme="minorEastAsia"/>
                <w:kern w:val="0"/>
                <w:sz w:val="22"/>
                <w:shd w:val="clear" w:color="auto" w:fill="auto"/>
              </w:rPr>
              <w:t>不少于90个</w:t>
            </w:r>
            <w:r>
              <w:rPr>
                <w:rFonts w:cs="Calibri" w:asciiTheme="minorEastAsia" w:hAnsiTheme="minorEastAsia" w:eastAsiaTheme="minorEastAsia"/>
                <w:kern w:val="0"/>
                <w:sz w:val="22"/>
                <w:shd w:val="clear" w:color="auto" w:fill="auto"/>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3.5.1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投标保证金</w:t>
            </w:r>
          </w:p>
        </w:tc>
        <w:tc>
          <w:tcPr>
            <w:tcW w:w="6487" w:type="dxa"/>
            <w:vAlign w:val="center"/>
          </w:tcPr>
          <w:p>
            <w:pPr>
              <w:snapToGrid w:val="0"/>
              <w:rPr>
                <w:rFonts w:asciiTheme="minorEastAsia" w:hAnsiTheme="minorEastAsia" w:eastAsiaTheme="minorEastAsia"/>
                <w:sz w:val="22"/>
                <w:shd w:val="clear" w:color="auto" w:fill="auto"/>
                <w:lang w:val="zh-CN"/>
              </w:rPr>
            </w:pPr>
            <w:r>
              <w:rPr>
                <w:rFonts w:hint="eastAsia" w:asciiTheme="minorEastAsia" w:hAnsiTheme="minorEastAsia" w:eastAsiaTheme="minorEastAsia"/>
                <w:sz w:val="22"/>
                <w:shd w:val="clear" w:color="auto" w:fill="auto"/>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3.6.3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签字或盖章要求</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b/>
                <w:kern w:val="0"/>
                <w:sz w:val="22"/>
                <w:shd w:val="clear" w:color="auto" w:fill="auto"/>
              </w:rPr>
              <w:t>投标文件封面（或扉页）、投标函以及各类报价表</w:t>
            </w:r>
            <w:r>
              <w:rPr>
                <w:rFonts w:cs="Calibri" w:asciiTheme="minorEastAsia" w:hAnsiTheme="minorEastAsia" w:eastAsiaTheme="minorEastAsia"/>
                <w:kern w:val="0"/>
                <w:sz w:val="22"/>
                <w:shd w:val="clear" w:color="auto" w:fill="auto"/>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3.6.4</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投标文件副本份数</w:t>
            </w:r>
          </w:p>
        </w:tc>
        <w:tc>
          <w:tcPr>
            <w:tcW w:w="6487" w:type="dxa"/>
            <w:vAlign w:val="center"/>
          </w:tcPr>
          <w:p>
            <w:pPr>
              <w:autoSpaceDE w:val="0"/>
              <w:autoSpaceDN w:val="0"/>
              <w:adjustRightInd w:val="0"/>
              <w:snapToGrid w:val="0"/>
              <w:rPr>
                <w:rFonts w:ascii="宋体" w:hAnsi="宋体" w:cs="Calibri"/>
                <w:kern w:val="0"/>
                <w:sz w:val="22"/>
                <w:shd w:val="clear" w:color="auto" w:fill="auto"/>
              </w:rPr>
            </w:pPr>
            <w:r>
              <w:rPr>
                <w:rFonts w:hint="eastAsia" w:ascii="宋体" w:hAnsi="宋体" w:cs="Calibri"/>
                <w:kern w:val="0"/>
                <w:sz w:val="22"/>
                <w:shd w:val="clear" w:color="auto" w:fill="auto"/>
              </w:rPr>
              <w:t>正本一份，</w:t>
            </w:r>
            <w:r>
              <w:rPr>
                <w:rFonts w:ascii="宋体" w:hAnsi="宋体" w:cs="Calibri"/>
                <w:kern w:val="0"/>
                <w:sz w:val="22"/>
                <w:shd w:val="clear" w:color="auto" w:fill="auto"/>
              </w:rPr>
              <w:t>副本</w:t>
            </w:r>
            <w:r>
              <w:rPr>
                <w:rFonts w:hint="eastAsia" w:ascii="宋体" w:hAnsi="宋体" w:cs="Calibri"/>
                <w:kern w:val="0"/>
                <w:sz w:val="22"/>
                <w:shd w:val="clear" w:color="auto" w:fill="auto"/>
              </w:rPr>
              <w:t>二</w:t>
            </w:r>
            <w:r>
              <w:rPr>
                <w:rFonts w:ascii="宋体" w:hAnsi="宋体" w:cs="Calibri"/>
                <w:kern w:val="0"/>
                <w:sz w:val="22"/>
                <w:shd w:val="clear" w:color="auto" w:fill="auto"/>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3.6.5</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装订要求</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按照投标人须知3.2项约定的投标文件组成内容，投标文件应按以下要求装订：</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sym w:font="Wingdings" w:char="F0FE"/>
            </w:r>
            <w:r>
              <w:rPr>
                <w:rFonts w:cs="Calibri" w:asciiTheme="minorEastAsia" w:hAnsiTheme="minorEastAsia" w:eastAsiaTheme="minorEastAsia"/>
                <w:kern w:val="0"/>
                <w:sz w:val="22"/>
                <w:shd w:val="clear" w:color="auto" w:fill="auto"/>
              </w:rPr>
              <w:t>不分册装订</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□分册装订</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每册采用</w:t>
            </w:r>
            <w:r>
              <w:rPr>
                <w:rFonts w:cs="Calibri" w:asciiTheme="minorEastAsia" w:hAnsiTheme="minorEastAsia" w:eastAsiaTheme="minorEastAsia"/>
                <w:kern w:val="0"/>
                <w:sz w:val="22"/>
                <w:u w:val="single"/>
                <w:shd w:val="clear" w:color="auto" w:fill="auto"/>
              </w:rPr>
              <w:t xml:space="preserve"> 胶装 </w:t>
            </w:r>
            <w:r>
              <w:rPr>
                <w:rFonts w:cs="Calibri" w:asciiTheme="minorEastAsia" w:hAnsiTheme="minorEastAsia" w:eastAsiaTheme="minorEastAsia"/>
                <w:kern w:val="0"/>
                <w:sz w:val="22"/>
                <w:shd w:val="clear" w:color="auto" w:fill="auto"/>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4.1.2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封套上写明</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招标人的地址：</w:t>
            </w:r>
            <w:r>
              <w:rPr>
                <w:rFonts w:hint="eastAsia" w:asciiTheme="minorEastAsia" w:hAnsiTheme="minorEastAsia" w:eastAsiaTheme="minorEastAsia"/>
                <w:sz w:val="22"/>
                <w:u w:val="single"/>
                <w:shd w:val="clear" w:color="auto" w:fill="auto"/>
              </w:rPr>
              <w:t>杭州萧山国际机场内</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招标人名称：</w:t>
            </w:r>
            <w:r>
              <w:rPr>
                <w:rFonts w:hint="eastAsia" w:cs="Calibri" w:asciiTheme="minorEastAsia" w:hAnsiTheme="minorEastAsia" w:eastAsiaTheme="minorEastAsia"/>
                <w:kern w:val="0"/>
                <w:sz w:val="22"/>
                <w:u w:val="single"/>
                <w:shd w:val="clear" w:color="auto" w:fill="auto"/>
              </w:rPr>
              <w:t>浙江省机场集团</w:t>
            </w:r>
            <w:r>
              <w:rPr>
                <w:rFonts w:cs="Calibri" w:asciiTheme="minorEastAsia" w:hAnsiTheme="minorEastAsia" w:eastAsiaTheme="minorEastAsia"/>
                <w:kern w:val="0"/>
                <w:sz w:val="22"/>
                <w:u w:val="single"/>
                <w:shd w:val="clear" w:color="auto" w:fill="auto"/>
              </w:rPr>
              <w:t>有限公司</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hint="eastAsia" w:cs="宋体" w:asciiTheme="minorEastAsia" w:hAnsiTheme="minorEastAsia" w:eastAsiaTheme="minorEastAsia"/>
                <w:sz w:val="22"/>
                <w:shd w:val="clear" w:color="auto" w:fill="auto"/>
              </w:rPr>
              <w:t>项目名称：</w:t>
            </w:r>
            <w:r>
              <w:rPr>
                <w:rFonts w:hint="eastAsia" w:ascii="宋体" w:hAnsi="宋体" w:cs="Arial"/>
                <w:kern w:val="0"/>
                <w:sz w:val="22"/>
                <w:u w:val="single"/>
                <w:shd w:val="clear" w:color="auto" w:fill="auto"/>
              </w:rPr>
              <w:t>浙江省机场集团全球航空数据服务采购项目投标文件</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在</w:t>
            </w:r>
            <w:r>
              <w:rPr>
                <w:rFonts w:cs="Calibri" w:asciiTheme="minorEastAsia" w:hAnsiTheme="minorEastAsia" w:eastAsiaTheme="minorEastAsia"/>
                <w:kern w:val="0"/>
                <w:sz w:val="22"/>
                <w:u w:val="single"/>
                <w:shd w:val="clear" w:color="auto" w:fill="auto"/>
              </w:rPr>
              <w:t xml:space="preserve">  </w:t>
            </w:r>
            <w:r>
              <w:rPr>
                <w:rFonts w:hint="eastAsia" w:cs="Calibri" w:asciiTheme="minorEastAsia" w:hAnsiTheme="minorEastAsia" w:eastAsiaTheme="minorEastAsia"/>
                <w:kern w:val="0"/>
                <w:sz w:val="22"/>
                <w:u w:val="single"/>
                <w:shd w:val="clear" w:color="auto" w:fill="auto"/>
                <w:lang w:eastAsia="zh-CN"/>
              </w:rPr>
              <w:t>2019年1月18日</w:t>
            </w:r>
            <w:r>
              <w:rPr>
                <w:rFonts w:hint="eastAsia" w:cs="Calibri" w:asciiTheme="minorEastAsia" w:hAnsiTheme="minorEastAsia" w:eastAsiaTheme="minorEastAsia"/>
                <w:kern w:val="0"/>
                <w:sz w:val="22"/>
                <w:u w:val="single"/>
                <w:shd w:val="clear" w:color="auto" w:fill="auto"/>
              </w:rPr>
              <w:t>上午9时00分</w:t>
            </w:r>
            <w:r>
              <w:rPr>
                <w:rFonts w:hint="eastAsia" w:cs="Calibri" w:asciiTheme="minorEastAsia" w:hAnsiTheme="minorEastAsia" w:eastAsiaTheme="minorEastAsia"/>
                <w:kern w:val="0"/>
                <w:sz w:val="22"/>
                <w:u w:val="single"/>
                <w:shd w:val="clear" w:color="auto" w:fill="auto"/>
                <w:lang w:val="en-US" w:eastAsia="zh-CN"/>
              </w:rPr>
              <w:t xml:space="preserve"> </w:t>
            </w:r>
            <w:r>
              <w:rPr>
                <w:rFonts w:cs="Calibri" w:asciiTheme="minorEastAsia" w:hAnsiTheme="minorEastAsia" w:eastAsiaTheme="minorEastAsia"/>
                <w:kern w:val="0"/>
                <w:sz w:val="22"/>
                <w:shd w:val="clear" w:color="auto" w:fill="auto"/>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4.2.2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递交投标文件地点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hint="eastAsia" w:ascii="宋体" w:hAnsi="宋体"/>
                <w:b/>
                <w:bCs/>
                <w:szCs w:val="21"/>
                <w:shd w:val="clear" w:color="auto" w:fill="auto"/>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4.2.3</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是否退还投标文件</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sym w:font="Wingdings" w:char="F0FE"/>
            </w:r>
            <w:r>
              <w:rPr>
                <w:rFonts w:cs="Calibri" w:asciiTheme="minorEastAsia" w:hAnsiTheme="minorEastAsia" w:eastAsiaTheme="minorEastAsia"/>
                <w:kern w:val="0"/>
                <w:sz w:val="22"/>
                <w:shd w:val="clear" w:color="auto" w:fill="auto"/>
              </w:rPr>
              <w:t>否</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5.1.1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开标时间和地点</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开标时间：同投标截止时间</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5.2</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开标程序</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w:t>
            </w:r>
            <w:r>
              <w:rPr>
                <w:rFonts w:hint="eastAsia" w:cs="Calibri" w:asciiTheme="minorEastAsia" w:hAnsiTheme="minorEastAsia" w:eastAsiaTheme="minorEastAsia"/>
                <w:kern w:val="0"/>
                <w:sz w:val="22"/>
                <w:shd w:val="clear" w:color="auto" w:fill="auto"/>
              </w:rPr>
              <w:t>1</w:t>
            </w:r>
            <w:r>
              <w:rPr>
                <w:rFonts w:cs="Calibri" w:asciiTheme="minorEastAsia" w:hAnsiTheme="minorEastAsia" w:eastAsiaTheme="minorEastAsia"/>
                <w:kern w:val="0"/>
                <w:sz w:val="22"/>
                <w:shd w:val="clear" w:color="auto" w:fill="auto"/>
              </w:rPr>
              <w:t>）密封情况检查：由投标人或者其集体推选的代表检查投标文件的密封情况。</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w:t>
            </w:r>
            <w:r>
              <w:rPr>
                <w:rFonts w:hint="eastAsia" w:cs="Calibri" w:asciiTheme="minorEastAsia" w:hAnsiTheme="minorEastAsia" w:eastAsiaTheme="minorEastAsia"/>
                <w:kern w:val="0"/>
                <w:sz w:val="22"/>
                <w:shd w:val="clear" w:color="auto" w:fill="auto"/>
              </w:rPr>
              <w:t>2</w:t>
            </w:r>
            <w:r>
              <w:rPr>
                <w:rFonts w:cs="Calibri" w:asciiTheme="minorEastAsia" w:hAnsiTheme="minorEastAsia" w:eastAsiaTheme="minorEastAsia"/>
                <w:kern w:val="0"/>
                <w:sz w:val="22"/>
                <w:shd w:val="clear" w:color="auto" w:fill="auto"/>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6.1.1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评标委员会的组建</w:t>
            </w:r>
          </w:p>
        </w:tc>
        <w:tc>
          <w:tcPr>
            <w:tcW w:w="6487" w:type="dxa"/>
            <w:vAlign w:val="center"/>
          </w:tcPr>
          <w:p>
            <w:pPr>
              <w:autoSpaceDE w:val="0"/>
              <w:autoSpaceDN w:val="0"/>
              <w:adjustRightInd w:val="0"/>
              <w:snapToGrid w:val="0"/>
              <w:jc w:val="left"/>
              <w:rPr>
                <w:rFonts w:asciiTheme="minorEastAsia" w:hAnsiTheme="minorEastAsia" w:eastAsiaTheme="minorEastAsia"/>
                <w:sz w:val="22"/>
                <w:shd w:val="clear" w:color="auto" w:fill="auto"/>
              </w:rPr>
            </w:pPr>
            <w:r>
              <w:rPr>
                <w:rFonts w:hint="eastAsia" w:asciiTheme="minorEastAsia" w:hAnsiTheme="minorEastAsia" w:eastAsiaTheme="minorEastAsia"/>
                <w:sz w:val="22"/>
                <w:shd w:val="clear" w:color="auto" w:fill="auto"/>
              </w:rPr>
              <w:t>评标委员会构成</w:t>
            </w:r>
            <w:r>
              <w:rPr>
                <w:rFonts w:hint="eastAsia" w:cs="Calibri" w:asciiTheme="minorEastAsia" w:hAnsiTheme="minorEastAsia" w:eastAsiaTheme="minorEastAsia"/>
                <w:kern w:val="0"/>
                <w:sz w:val="22"/>
                <w:shd w:val="clear" w:color="auto" w:fill="auto"/>
              </w:rPr>
              <w:t>：3</w:t>
            </w:r>
            <w:r>
              <w:rPr>
                <w:rFonts w:hint="eastAsia" w:asciiTheme="minorEastAsia" w:hAnsiTheme="minorEastAsia" w:eastAsiaTheme="minorEastAsia"/>
                <w:sz w:val="22"/>
                <w:shd w:val="clear" w:color="auto" w:fill="auto"/>
              </w:rPr>
              <w:t>人及以上单数</w:t>
            </w:r>
          </w:p>
          <w:p>
            <w:pPr>
              <w:autoSpaceDE w:val="0"/>
              <w:autoSpaceDN w:val="0"/>
              <w:adjustRightInd w:val="0"/>
              <w:snapToGrid w:val="0"/>
              <w:jc w:val="left"/>
              <w:rPr>
                <w:rFonts w:asciiTheme="minorEastAsia" w:hAnsiTheme="minorEastAsia" w:eastAsiaTheme="minorEastAsia"/>
                <w:sz w:val="22"/>
                <w:shd w:val="clear" w:color="auto" w:fill="auto"/>
              </w:rPr>
            </w:pPr>
            <w:r>
              <w:rPr>
                <w:rFonts w:hint="eastAsia" w:asciiTheme="minorEastAsia" w:hAnsiTheme="minorEastAsia" w:eastAsiaTheme="minorEastAsia"/>
                <w:sz w:val="22"/>
                <w:shd w:val="clear" w:color="auto" w:fill="auto"/>
              </w:rPr>
              <w:t>评标专家确定方式：</w:t>
            </w:r>
            <w:r>
              <w:rPr>
                <w:rFonts w:hint="eastAsia" w:asciiTheme="minorEastAsia" w:hAnsiTheme="minorEastAsia"/>
                <w:sz w:val="22"/>
                <w:shd w:val="clear" w:color="auto" w:fill="auto"/>
              </w:rPr>
              <w:t>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7.1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是否授权评标委员会确定中标人</w:t>
            </w:r>
          </w:p>
        </w:tc>
        <w:tc>
          <w:tcPr>
            <w:tcW w:w="6487" w:type="dxa"/>
            <w:vAlign w:val="center"/>
          </w:tcPr>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□是</w:t>
            </w:r>
          </w:p>
          <w:p>
            <w:pPr>
              <w:autoSpaceDE w:val="0"/>
              <w:autoSpaceDN w:val="0"/>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sym w:font="Wingdings" w:char="F0FE"/>
            </w:r>
            <w:r>
              <w:rPr>
                <w:rFonts w:cs="Calibri" w:asciiTheme="minorEastAsia" w:hAnsiTheme="minorEastAsia" w:eastAsiaTheme="minorEastAsia"/>
                <w:kern w:val="0"/>
                <w:sz w:val="22"/>
                <w:shd w:val="clear" w:color="auto" w:fill="auto"/>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7.3.1</w:t>
            </w:r>
          </w:p>
        </w:tc>
        <w:tc>
          <w:tcPr>
            <w:tcW w:w="2004"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履约担保</w:t>
            </w:r>
          </w:p>
        </w:tc>
        <w:tc>
          <w:tcPr>
            <w:tcW w:w="6487" w:type="dxa"/>
            <w:vAlign w:val="center"/>
          </w:tcPr>
          <w:p>
            <w:pPr>
              <w:autoSpaceDE w:val="0"/>
              <w:autoSpaceDN w:val="0"/>
              <w:adjustRightInd w:val="0"/>
              <w:snapToGrid w:val="0"/>
              <w:jc w:val="left"/>
              <w:rPr>
                <w:rFonts w:asciiTheme="minorEastAsia" w:hAnsiTheme="minorEastAsia" w:eastAsiaTheme="minorEastAsia"/>
                <w:sz w:val="22"/>
                <w:shd w:val="clear" w:color="auto" w:fill="auto"/>
              </w:rPr>
            </w:pPr>
            <w:r>
              <w:rPr>
                <w:rFonts w:asciiTheme="minorEastAsia" w:hAnsiTheme="minorEastAsia" w:eastAsiaTheme="minorEastAsia"/>
                <w:sz w:val="22"/>
                <w:shd w:val="clear" w:color="auto" w:fill="auto"/>
              </w:rPr>
              <w:t>履约担保的形式：</w:t>
            </w:r>
            <w:r>
              <w:rPr>
                <w:rFonts w:hint="eastAsia" w:asciiTheme="minorEastAsia" w:hAnsiTheme="minorEastAsia" w:eastAsiaTheme="minorEastAsia"/>
                <w:sz w:val="22"/>
                <w:shd w:val="clear" w:color="auto" w:fill="auto"/>
              </w:rPr>
              <w:t>银行转账</w:t>
            </w:r>
          </w:p>
          <w:p>
            <w:pPr>
              <w:autoSpaceDE w:val="0"/>
              <w:autoSpaceDN w:val="0"/>
              <w:adjustRightInd w:val="0"/>
              <w:snapToGrid w:val="0"/>
              <w:jc w:val="left"/>
              <w:rPr>
                <w:rFonts w:asciiTheme="minorEastAsia" w:hAnsiTheme="minorEastAsia" w:eastAsiaTheme="minorEastAsia"/>
                <w:sz w:val="22"/>
                <w:shd w:val="clear" w:color="auto" w:fill="auto"/>
              </w:rPr>
            </w:pPr>
            <w:r>
              <w:rPr>
                <w:rFonts w:asciiTheme="minorEastAsia" w:hAnsiTheme="minorEastAsia" w:eastAsiaTheme="minorEastAsia"/>
                <w:sz w:val="22"/>
                <w:shd w:val="clear" w:color="auto" w:fill="auto"/>
              </w:rPr>
              <w:t>履约担保的金额：</w:t>
            </w:r>
            <w:r>
              <w:rPr>
                <w:rFonts w:hint="eastAsia" w:asciiTheme="minorEastAsia" w:hAnsiTheme="minorEastAsia" w:eastAsiaTheme="minorEastAsia"/>
                <w:sz w:val="22"/>
                <w:shd w:val="clear" w:color="auto" w:fill="auto"/>
              </w:rPr>
              <w:t>合同总价的</w:t>
            </w:r>
            <w:r>
              <w:rPr>
                <w:rFonts w:asciiTheme="minorEastAsia" w:hAnsiTheme="minorEastAsia" w:eastAsiaTheme="minorEastAsia"/>
                <w:sz w:val="22"/>
                <w:shd w:val="clear" w:color="auto" w:fill="auto"/>
              </w:rPr>
              <w:t>10</w:t>
            </w:r>
            <w:r>
              <w:rPr>
                <w:rFonts w:hint="eastAsia" w:asciiTheme="minorEastAsia" w:hAnsiTheme="minorEastAsia" w:eastAsiaTheme="minorEastAsia"/>
                <w:sz w:val="22"/>
                <w:shd w:val="clear" w:color="auto" w:fil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10</w:t>
            </w:r>
          </w:p>
        </w:tc>
        <w:tc>
          <w:tcPr>
            <w:tcW w:w="8491" w:type="dxa"/>
            <w:gridSpan w:val="2"/>
            <w:vAlign w:val="center"/>
          </w:tcPr>
          <w:p>
            <w:pPr>
              <w:autoSpaceDE w:val="0"/>
              <w:autoSpaceDN w:val="0"/>
              <w:adjustRightInd w:val="0"/>
              <w:snapToGrid w:val="0"/>
              <w:jc w:val="center"/>
              <w:rPr>
                <w:rFonts w:cs="Calibri" w:asciiTheme="minorEastAsia" w:hAnsiTheme="minorEastAsia" w:eastAsiaTheme="minorEastAsia"/>
                <w:snapToGrid w:val="0"/>
                <w:sz w:val="22"/>
                <w:shd w:val="clear" w:color="auto" w:fill="auto"/>
              </w:rPr>
            </w:pPr>
            <w:r>
              <w:rPr>
                <w:rFonts w:cs="Calibri" w:asciiTheme="minorEastAsia" w:hAnsiTheme="minorEastAsia" w:eastAsiaTheme="minorEastAsia"/>
                <w:kern w:val="0"/>
                <w:sz w:val="22"/>
                <w:shd w:val="clear" w:color="auto" w:fill="auto"/>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10.</w:t>
            </w:r>
            <w:r>
              <w:rPr>
                <w:rFonts w:hint="eastAsia" w:cs="Calibri" w:asciiTheme="minorEastAsia" w:hAnsiTheme="minorEastAsia" w:eastAsiaTheme="minorEastAsia"/>
                <w:kern w:val="0"/>
                <w:sz w:val="22"/>
                <w:shd w:val="clear" w:color="auto" w:fill="auto"/>
              </w:rPr>
              <w:t>2</w:t>
            </w:r>
          </w:p>
        </w:tc>
        <w:tc>
          <w:tcPr>
            <w:tcW w:w="2004" w:type="dxa"/>
            <w:vAlign w:val="center"/>
          </w:tcPr>
          <w:p>
            <w:pPr>
              <w:pStyle w:val="43"/>
              <w:adjustRightInd w:val="0"/>
              <w:snapToGrid w:val="0"/>
              <w:spacing w:line="240" w:lineRule="auto"/>
              <w:jc w:val="center"/>
              <w:rPr>
                <w:rFonts w:cs="Calibri" w:asciiTheme="minorEastAsia" w:hAnsiTheme="minorEastAsia" w:eastAsiaTheme="minorEastAsia"/>
                <w:color w:val="auto"/>
                <w:sz w:val="22"/>
                <w:szCs w:val="22"/>
                <w:shd w:val="clear" w:color="auto" w:fill="auto"/>
              </w:rPr>
            </w:pPr>
            <w:r>
              <w:rPr>
                <w:rFonts w:cs="Calibri" w:asciiTheme="minorEastAsia" w:hAnsiTheme="minorEastAsia" w:eastAsiaTheme="minorEastAsia"/>
                <w:color w:val="auto"/>
                <w:sz w:val="22"/>
                <w:szCs w:val="22"/>
                <w:shd w:val="clear" w:color="auto" w:fill="auto"/>
              </w:rPr>
              <w:t>其他</w:t>
            </w:r>
          </w:p>
        </w:tc>
        <w:tc>
          <w:tcPr>
            <w:tcW w:w="6487" w:type="dxa"/>
            <w:shd w:val="clear" w:color="auto" w:fill="FFFFFF"/>
            <w:vAlign w:val="center"/>
          </w:tcPr>
          <w:p>
            <w:pPr>
              <w:adjustRightInd w:val="0"/>
              <w:snapToGrid w:val="0"/>
              <w:rPr>
                <w:rFonts w:cs="Calibri" w:asciiTheme="minorEastAsia" w:hAnsiTheme="minorEastAsia" w:eastAsiaTheme="minorEastAsia"/>
                <w:snapToGrid w:val="0"/>
                <w:kern w:val="0"/>
                <w:sz w:val="22"/>
                <w:shd w:val="clear" w:color="auto" w:fill="auto"/>
              </w:rPr>
            </w:pPr>
            <w:r>
              <w:rPr>
                <w:rFonts w:cs="Calibri" w:asciiTheme="minorEastAsia" w:hAnsiTheme="minorEastAsia" w:eastAsiaTheme="minorEastAsia"/>
                <w:snapToGrid w:val="0"/>
                <w:kern w:val="0"/>
                <w:sz w:val="22"/>
                <w:shd w:val="clear" w:color="auto" w:fill="auto"/>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cs="Calibri" w:asciiTheme="minorEastAsia" w:hAnsiTheme="minorEastAsia" w:eastAsiaTheme="minorEastAsia"/>
                <w:snapToGrid w:val="0"/>
                <w:kern w:val="0"/>
                <w:sz w:val="22"/>
                <w:shd w:val="clear" w:color="auto" w:fill="auto"/>
              </w:rPr>
              <w:t>异议</w:t>
            </w:r>
            <w:r>
              <w:rPr>
                <w:rFonts w:cs="Calibri" w:asciiTheme="minorEastAsia" w:hAnsiTheme="minorEastAsia" w:eastAsiaTheme="minorEastAsia"/>
                <w:snapToGrid w:val="0"/>
                <w:kern w:val="0"/>
                <w:sz w:val="22"/>
                <w:shd w:val="clear" w:color="auto" w:fill="auto"/>
              </w:rPr>
              <w:t>。</w:t>
            </w:r>
          </w:p>
          <w:p>
            <w:pPr>
              <w:adjustRightInd w:val="0"/>
              <w:snapToGrid w:val="0"/>
              <w:rPr>
                <w:rFonts w:cs="Calibri" w:asciiTheme="minorEastAsia" w:hAnsiTheme="minorEastAsia" w:eastAsiaTheme="minorEastAsia"/>
                <w:snapToGrid w:val="0"/>
                <w:kern w:val="0"/>
                <w:sz w:val="22"/>
                <w:shd w:val="clear" w:color="auto" w:fill="auto"/>
              </w:rPr>
            </w:pPr>
            <w:r>
              <w:rPr>
                <w:rFonts w:cs="Calibri" w:asciiTheme="minorEastAsia" w:hAnsiTheme="minorEastAsia" w:eastAsiaTheme="minorEastAsia"/>
                <w:snapToGrid w:val="0"/>
                <w:kern w:val="0"/>
                <w:sz w:val="22"/>
                <w:shd w:val="clear" w:color="auto" w:fill="auto"/>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vAlign w:val="center"/>
          </w:tcPr>
          <w:p>
            <w:pPr>
              <w:autoSpaceDE w:val="0"/>
              <w:autoSpaceDN w:val="0"/>
              <w:adjustRightInd w:val="0"/>
              <w:snapToGrid w:val="0"/>
              <w:jc w:val="center"/>
              <w:rPr>
                <w:rFonts w:cs="Calibri" w:asciiTheme="minorEastAsia" w:hAnsiTheme="minorEastAsia" w:eastAsiaTheme="minorEastAsia"/>
                <w:kern w:val="0"/>
                <w:sz w:val="22"/>
                <w:shd w:val="clear" w:color="auto" w:fill="auto"/>
              </w:rPr>
            </w:pPr>
            <w:r>
              <w:rPr>
                <w:rFonts w:hint="eastAsia" w:cs="Calibri" w:asciiTheme="minorEastAsia" w:hAnsiTheme="minorEastAsia" w:eastAsiaTheme="minorEastAsia"/>
                <w:kern w:val="0"/>
                <w:sz w:val="22"/>
                <w:shd w:val="clear" w:color="auto" w:fill="auto"/>
              </w:rPr>
              <w:t>10.3</w:t>
            </w:r>
          </w:p>
        </w:tc>
        <w:tc>
          <w:tcPr>
            <w:tcW w:w="2004" w:type="dxa"/>
            <w:vAlign w:val="center"/>
          </w:tcPr>
          <w:p>
            <w:pPr>
              <w:pStyle w:val="43"/>
              <w:spacing w:line="240" w:lineRule="auto"/>
              <w:jc w:val="center"/>
              <w:rPr>
                <w:rFonts w:cs="Calibri" w:asciiTheme="minorEastAsia" w:hAnsiTheme="minorEastAsia" w:eastAsiaTheme="minorEastAsia"/>
                <w:snapToGrid/>
                <w:color w:val="auto"/>
                <w:sz w:val="22"/>
                <w:szCs w:val="22"/>
                <w:shd w:val="clear" w:color="auto" w:fill="auto"/>
              </w:rPr>
            </w:pPr>
            <w:r>
              <w:rPr>
                <w:rFonts w:hint="eastAsia" w:cs="Calibri" w:asciiTheme="minorEastAsia" w:hAnsiTheme="minorEastAsia" w:eastAsiaTheme="minorEastAsia"/>
                <w:snapToGrid/>
                <w:color w:val="auto"/>
                <w:sz w:val="22"/>
                <w:szCs w:val="22"/>
                <w:shd w:val="clear" w:color="auto" w:fill="auto"/>
              </w:rPr>
              <w:t>备注</w:t>
            </w:r>
          </w:p>
        </w:tc>
        <w:tc>
          <w:tcPr>
            <w:tcW w:w="6487" w:type="dxa"/>
            <w:shd w:val="clear" w:color="auto" w:fill="FFFFFF"/>
            <w:vAlign w:val="center"/>
          </w:tcPr>
          <w:p>
            <w:pPr>
              <w:adjustRightInd w:val="0"/>
              <w:snapToGrid w:val="0"/>
              <w:rPr>
                <w:rFonts w:cs="Calibri" w:asciiTheme="minorEastAsia" w:hAnsiTheme="minorEastAsia" w:eastAsiaTheme="minorEastAsia"/>
                <w:kern w:val="0"/>
                <w:sz w:val="22"/>
                <w:shd w:val="clear" w:color="auto" w:fill="auto"/>
              </w:rPr>
            </w:pPr>
            <w:r>
              <w:rPr>
                <w:rFonts w:cs="Calibri" w:asciiTheme="minorEastAsia" w:hAnsiTheme="minorEastAsia" w:eastAsiaTheme="minorEastAsia"/>
                <w:kern w:val="0"/>
                <w:sz w:val="22"/>
                <w:shd w:val="clear" w:color="auto" w:fill="auto"/>
              </w:rPr>
              <w:t>本前附表内容与招标文件其他内容不一致之处，以本前附表为准。</w:t>
            </w:r>
          </w:p>
        </w:tc>
      </w:tr>
      <w:bookmarkEnd w:id="1"/>
      <w:bookmarkEnd w:id="2"/>
    </w:tbl>
    <w:p>
      <w:pPr>
        <w:autoSpaceDE w:val="0"/>
        <w:autoSpaceDN w:val="0"/>
        <w:adjustRightInd w:val="0"/>
        <w:spacing w:line="360" w:lineRule="exact"/>
        <w:ind w:firstLine="422" w:firstLineChars="200"/>
        <w:rPr>
          <w:rFonts w:eastAsia="黑体" w:cs="Calibri"/>
          <w:b/>
          <w:bCs/>
          <w:kern w:val="0"/>
          <w:szCs w:val="21"/>
        </w:rPr>
      </w:pPr>
      <w:bookmarkStart w:id="38" w:name="_Toc143421656"/>
      <w:bookmarkStart w:id="39" w:name="_Toc11067"/>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eastAsia="黑体" w:cs="Calibri"/>
          <w:b/>
          <w:bCs/>
          <w:kern w:val="0"/>
          <w:szCs w:val="21"/>
        </w:rPr>
        <w:br w:type="page"/>
      </w:r>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 xml:space="preserve"> </w:t>
      </w:r>
      <w:r>
        <w:rPr>
          <w:rFonts w:cs="Calibri" w:asciiTheme="minorEastAsia" w:hAnsiTheme="minorEastAsia" w:eastAsiaTheme="minorEastAsia"/>
          <w:b/>
          <w:bCs/>
          <w:kern w:val="0"/>
          <w:sz w:val="22"/>
        </w:rPr>
        <w:t>总则</w:t>
      </w:r>
      <w:bookmarkEnd w:id="38"/>
      <w:bookmarkEnd w:id="3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0" w:name="_Toc26216"/>
      <w:r>
        <w:rPr>
          <w:rFonts w:cs="Calibri" w:asciiTheme="minorEastAsia" w:hAnsiTheme="minorEastAsia" w:eastAsiaTheme="minorEastAsia"/>
          <w:b/>
          <w:bCs/>
          <w:kern w:val="0"/>
          <w:sz w:val="22"/>
        </w:rPr>
        <w:t>1.1 项目</w:t>
      </w:r>
      <w:bookmarkEnd w:id="40"/>
      <w:r>
        <w:rPr>
          <w:rFonts w:cs="Calibri" w:asciiTheme="minorEastAsia" w:hAnsiTheme="minorEastAsia" w:eastAsiaTheme="minorEastAsia"/>
          <w:b/>
          <w:bCs/>
          <w:kern w:val="0"/>
          <w:sz w:val="22"/>
        </w:rPr>
        <w:t>概况</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1.1.2项目</w:t>
      </w:r>
      <w:r>
        <w:rPr>
          <w:rFonts w:hint="eastAsia" w:cs="Calibri" w:asciiTheme="minorEastAsia" w:hAnsiTheme="minorEastAsia" w:eastAsiaTheme="minorEastAsia"/>
          <w:color w:val="000000"/>
          <w:kern w:val="0"/>
          <w:sz w:val="22"/>
        </w:rPr>
        <w:t>实施</w:t>
      </w:r>
      <w:r>
        <w:rPr>
          <w:rFonts w:cs="Calibri" w:asciiTheme="minorEastAsia" w:hAnsiTheme="minorEastAsia" w:eastAsiaTheme="minorEastAsia"/>
          <w:color w:val="000000"/>
          <w:kern w:val="0"/>
          <w:sz w:val="22"/>
        </w:rPr>
        <w:t>地点见投标人须知前附表</w:t>
      </w:r>
      <w:r>
        <w:rPr>
          <w:rFonts w:cs="Calibri" w:asciiTheme="minorEastAsia" w:hAnsiTheme="minorEastAsia" w:eastAsiaTheme="minorEastAsia"/>
          <w:color w:val="00000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1" w:name="_Toc9136"/>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2</w:t>
      </w:r>
      <w:r>
        <w:rPr>
          <w:rFonts w:cs="Calibri" w:asciiTheme="minorEastAsia" w:hAnsiTheme="minorEastAsia" w:eastAsiaTheme="minorEastAsia"/>
          <w:b/>
          <w:bCs/>
          <w:kern w:val="0"/>
          <w:sz w:val="22"/>
        </w:rPr>
        <w:t xml:space="preserve"> 资金来源</w:t>
      </w:r>
      <w:bookmarkEnd w:id="41"/>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2" w:name="_Toc10673"/>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3</w:t>
      </w:r>
      <w:r>
        <w:rPr>
          <w:rFonts w:cs="Calibri" w:asciiTheme="minorEastAsia" w:hAnsiTheme="minorEastAsia" w:eastAsiaTheme="minorEastAsia"/>
          <w:b/>
          <w:bCs/>
          <w:kern w:val="0"/>
          <w:sz w:val="22"/>
        </w:rPr>
        <w:t xml:space="preserve"> 招标</w:t>
      </w:r>
      <w:bookmarkEnd w:id="42"/>
      <w:r>
        <w:rPr>
          <w:rFonts w:hint="eastAsia" w:cs="Calibri" w:asciiTheme="minorEastAsia" w:hAnsiTheme="minorEastAsia" w:eastAsiaTheme="minorEastAsia"/>
          <w:b/>
          <w:bCs/>
          <w:kern w:val="0"/>
          <w:sz w:val="22"/>
        </w:rPr>
        <w:t>内容</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3" w:name="_Toc718"/>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4</w:t>
      </w:r>
      <w:r>
        <w:rPr>
          <w:rFonts w:cs="Calibri" w:asciiTheme="minorEastAsia" w:hAnsiTheme="minorEastAsia" w:eastAsiaTheme="minorEastAsia"/>
          <w:b/>
          <w:bCs/>
          <w:kern w:val="0"/>
          <w:sz w:val="22"/>
        </w:rPr>
        <w:t xml:space="preserve"> 招标方式</w:t>
      </w:r>
      <w:bookmarkEnd w:id="43"/>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4" w:name="_Toc9161"/>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 xml:space="preserve">5 </w:t>
      </w:r>
      <w:r>
        <w:rPr>
          <w:rFonts w:cs="Calibri" w:asciiTheme="minorEastAsia" w:hAnsiTheme="minorEastAsia" w:eastAsiaTheme="minorEastAsia"/>
          <w:b/>
          <w:bCs/>
          <w:kern w:val="0"/>
          <w:sz w:val="22"/>
        </w:rPr>
        <w:t>资格审查</w:t>
      </w:r>
      <w:bookmarkEnd w:id="44"/>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5" w:name="_Toc13012"/>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6</w:t>
      </w:r>
      <w:r>
        <w:rPr>
          <w:rFonts w:cs="Calibri" w:asciiTheme="minorEastAsia" w:hAnsiTheme="minorEastAsia" w:eastAsiaTheme="minorEastAsia"/>
          <w:b/>
          <w:bCs/>
          <w:kern w:val="0"/>
          <w:sz w:val="22"/>
        </w:rPr>
        <w:t xml:space="preserve"> 投标人资质条件、能力和信誉</w:t>
      </w:r>
      <w:bookmarkEnd w:id="45"/>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6" w:name="_Toc2796"/>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7</w:t>
      </w:r>
      <w:r>
        <w:rPr>
          <w:rFonts w:cs="Calibri" w:asciiTheme="minorEastAsia" w:hAnsiTheme="minorEastAsia" w:eastAsiaTheme="minorEastAsia"/>
          <w:b/>
          <w:bCs/>
          <w:kern w:val="0"/>
          <w:sz w:val="22"/>
        </w:rPr>
        <w:t xml:space="preserve"> </w:t>
      </w:r>
      <w:r>
        <w:rPr>
          <w:rFonts w:hint="eastAsia" w:cs="Calibri" w:asciiTheme="minorEastAsia" w:hAnsiTheme="minorEastAsia" w:eastAsiaTheme="minorEastAsia"/>
          <w:b/>
          <w:bCs/>
          <w:kern w:val="0"/>
          <w:sz w:val="22"/>
        </w:rPr>
        <w:t>服务</w:t>
      </w:r>
      <w:r>
        <w:rPr>
          <w:rFonts w:cs="Calibri" w:asciiTheme="minorEastAsia" w:hAnsiTheme="minorEastAsia" w:eastAsiaTheme="minorEastAsia"/>
          <w:b/>
          <w:bCs/>
          <w:kern w:val="0"/>
          <w:sz w:val="22"/>
        </w:rPr>
        <w:t>期</w:t>
      </w:r>
      <w:bookmarkEnd w:id="4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hint="eastAsia" w:cs="Calibri" w:asciiTheme="minorEastAsia" w:hAnsiTheme="minorEastAsia" w:eastAsiaTheme="minorEastAsia"/>
          <w:b/>
          <w:bCs/>
          <w:kern w:val="0"/>
          <w:sz w:val="22"/>
        </w:rPr>
        <w:t>1.8 质量要求</w:t>
      </w:r>
    </w:p>
    <w:p>
      <w:pPr>
        <w:adjustRightInd w:val="0"/>
        <w:snapToGrid w:val="0"/>
        <w:spacing w:line="360" w:lineRule="exact"/>
        <w:ind w:firstLine="440" w:firstLineChars="200"/>
        <w:rPr>
          <w:rFonts w:cs="Calibri" w:asciiTheme="minorEastAsia" w:hAnsiTheme="minorEastAsia" w:eastAsiaTheme="minorEastAsia"/>
          <w:color w:val="000000"/>
          <w:sz w:val="22"/>
        </w:rPr>
      </w:pPr>
      <w:bookmarkStart w:id="47" w:name="_Toc13907"/>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9</w:t>
      </w:r>
      <w:r>
        <w:rPr>
          <w:rFonts w:cs="Calibri" w:asciiTheme="minorEastAsia" w:hAnsiTheme="minorEastAsia" w:eastAsiaTheme="minorEastAsia"/>
          <w:b/>
          <w:bCs/>
          <w:kern w:val="0"/>
          <w:sz w:val="22"/>
        </w:rPr>
        <w:t xml:space="preserve"> 踏勘现场</w:t>
      </w:r>
      <w:bookmarkEnd w:id="4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sz w:val="22"/>
        </w:rPr>
        <w:t>1.</w:t>
      </w:r>
      <w:r>
        <w:rPr>
          <w:rFonts w:hint="eastAsia" w:cs="Calibri" w:asciiTheme="minorEastAsia" w:hAnsiTheme="minorEastAsia" w:eastAsiaTheme="minorEastAsia"/>
          <w:sz w:val="22"/>
        </w:rPr>
        <w:t>9</w:t>
      </w:r>
      <w:r>
        <w:rPr>
          <w:rFonts w:cs="Calibri" w:asciiTheme="minorEastAsia" w:hAnsiTheme="minorEastAsia" w:eastAsiaTheme="minorEastAsia"/>
          <w:sz w:val="22"/>
        </w:rPr>
        <w:t>.1</w:t>
      </w:r>
      <w:r>
        <w:rPr>
          <w:rFonts w:cs="Calibri" w:asciiTheme="minorEastAsia" w:hAnsiTheme="minorEastAsia" w:eastAsia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.2 投标人踏勘现场发生的费用自理。</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.3 投标人自行负责在踏勘现场中所发生的人员伤亡和财产损失。</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w:t>
      </w:r>
      <w:r>
        <w:rPr>
          <w:rFonts w:hint="eastAsia" w:cs="Calibri" w:asciiTheme="minorEastAsia" w:hAnsiTheme="minorEastAsia" w:eastAsiaTheme="minorEastAsia"/>
          <w:color w:val="000000"/>
          <w:sz w:val="22"/>
        </w:rPr>
        <w:t>9</w:t>
      </w:r>
      <w:r>
        <w:rPr>
          <w:rFonts w:cs="Calibri" w:asciiTheme="minorEastAsia" w:hAnsiTheme="minorEastAsia" w:eastAsia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8" w:name="_Toc4199"/>
      <w:r>
        <w:rPr>
          <w:rFonts w:cs="Calibri" w:asciiTheme="minorEastAsia" w:hAnsiTheme="minorEastAsia" w:eastAsiaTheme="minorEastAsia"/>
          <w:b/>
          <w:bCs/>
          <w:kern w:val="0"/>
          <w:sz w:val="22"/>
        </w:rPr>
        <w:t>1.</w:t>
      </w:r>
      <w:r>
        <w:rPr>
          <w:rFonts w:hint="eastAsia" w:cs="Calibri" w:asciiTheme="minorEastAsia" w:hAnsiTheme="minorEastAsia" w:eastAsiaTheme="minorEastAsia"/>
          <w:b/>
          <w:bCs/>
          <w:kern w:val="0"/>
          <w:sz w:val="22"/>
        </w:rPr>
        <w:t>10</w:t>
      </w:r>
      <w:r>
        <w:rPr>
          <w:rFonts w:cs="Calibri" w:asciiTheme="minorEastAsia" w:hAnsiTheme="minorEastAsia" w:eastAsiaTheme="minorEastAsia"/>
          <w:b/>
          <w:bCs/>
          <w:kern w:val="0"/>
          <w:sz w:val="22"/>
        </w:rPr>
        <w:t xml:space="preserve"> 投标预备会</w:t>
      </w:r>
      <w:bookmarkEnd w:id="48"/>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49" w:name="_Toc4584"/>
      <w:r>
        <w:rPr>
          <w:rFonts w:cs="Calibri" w:asciiTheme="minorEastAsia" w:hAnsiTheme="minorEastAsia" w:eastAsiaTheme="minorEastAsia"/>
          <w:b/>
          <w:bCs/>
          <w:kern w:val="0"/>
          <w:sz w:val="22"/>
        </w:rPr>
        <w:t>1.1</w:t>
      </w:r>
      <w:r>
        <w:rPr>
          <w:rFonts w:hint="eastAsia" w:cs="Calibri" w:asciiTheme="minorEastAsia" w:hAnsiTheme="minorEastAsia" w:eastAsiaTheme="minorEastAsia"/>
          <w:b/>
          <w:bCs/>
          <w:kern w:val="0"/>
          <w:sz w:val="22"/>
        </w:rPr>
        <w:t>1</w:t>
      </w:r>
      <w:r>
        <w:rPr>
          <w:rFonts w:cs="Calibri" w:asciiTheme="minorEastAsia" w:hAnsiTheme="minorEastAsia" w:eastAsiaTheme="minorEastAsia"/>
          <w:b/>
          <w:bCs/>
          <w:kern w:val="0"/>
          <w:sz w:val="22"/>
        </w:rPr>
        <w:t xml:space="preserve"> 分包</w:t>
      </w:r>
      <w:bookmarkEnd w:id="4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本项目</w:t>
      </w:r>
      <w:r>
        <w:rPr>
          <w:rFonts w:hint="eastAsia" w:cs="Calibri" w:asciiTheme="minorEastAsia" w:hAnsiTheme="minorEastAsia" w:eastAsiaTheme="minorEastAsia"/>
          <w:color w:val="000000"/>
          <w:sz w:val="22"/>
        </w:rPr>
        <w:t>涉及到其它专业的部分分项工作</w:t>
      </w:r>
      <w:r>
        <w:rPr>
          <w:rFonts w:cs="Calibri" w:asciiTheme="minorEastAsia" w:hAnsiTheme="minorEastAsia" w:eastAsiaTheme="minorEastAsia"/>
          <w:color w:val="000000"/>
          <w:sz w:val="22"/>
        </w:rPr>
        <w:t>允许分包。</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0" w:name="_Toc3996"/>
      <w:r>
        <w:rPr>
          <w:rFonts w:cs="Calibri" w:asciiTheme="minorEastAsia" w:hAnsiTheme="minorEastAsia" w:eastAsiaTheme="minorEastAsia"/>
          <w:b/>
          <w:bCs/>
          <w:kern w:val="0"/>
          <w:sz w:val="22"/>
        </w:rPr>
        <w:t>1.1</w:t>
      </w:r>
      <w:r>
        <w:rPr>
          <w:rFonts w:hint="eastAsia" w:cs="Calibri" w:asciiTheme="minorEastAsia" w:hAnsiTheme="minorEastAsia" w:eastAsiaTheme="minorEastAsia"/>
          <w:b/>
          <w:bCs/>
          <w:kern w:val="0"/>
          <w:sz w:val="22"/>
        </w:rPr>
        <w:t>2</w:t>
      </w:r>
      <w:r>
        <w:rPr>
          <w:rFonts w:cs="Calibri" w:asciiTheme="minorEastAsia" w:hAnsiTheme="minorEastAsia" w:eastAsiaTheme="minorEastAsia"/>
          <w:b/>
          <w:bCs/>
          <w:kern w:val="0"/>
          <w:sz w:val="22"/>
        </w:rPr>
        <w:t xml:space="preserve"> 投标费用</w:t>
      </w:r>
      <w:bookmarkEnd w:id="5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1" w:name="_Toc15241"/>
      <w:bookmarkStart w:id="52" w:name="_Toc143421657"/>
      <w:r>
        <w:rPr>
          <w:rFonts w:cs="Calibri" w:asciiTheme="minorEastAsia" w:hAnsiTheme="minorEastAsia" w:eastAsiaTheme="minorEastAsia"/>
          <w:b/>
          <w:bCs/>
          <w:kern w:val="0"/>
          <w:sz w:val="22"/>
        </w:rPr>
        <w:t>2.招标文件</w:t>
      </w:r>
      <w:bookmarkEnd w:id="51"/>
      <w:bookmarkEnd w:id="52"/>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3" w:name="_Toc1426"/>
      <w:r>
        <w:rPr>
          <w:rFonts w:cs="Calibri" w:asciiTheme="minorEastAsia" w:hAnsiTheme="minorEastAsia" w:eastAsiaTheme="minorEastAsia"/>
          <w:b/>
          <w:bCs/>
          <w:kern w:val="0"/>
          <w:sz w:val="22"/>
        </w:rPr>
        <w:t>2.1 招标文件的组成</w:t>
      </w:r>
      <w:bookmarkEnd w:id="53"/>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本招标文件包括：</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（1）招标公告</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（2）投标人须知</w:t>
      </w:r>
    </w:p>
    <w:p>
      <w:pPr>
        <w:adjustRightInd w:val="0"/>
        <w:snapToGrid w:val="0"/>
        <w:spacing w:line="360" w:lineRule="exact"/>
        <w:ind w:firstLine="440" w:firstLineChars="200"/>
        <w:rPr>
          <w:rFonts w:cs="Calibri" w:asciiTheme="minorEastAsia" w:hAnsiTheme="minorEastAsia" w:eastAsiaTheme="minorEastAsia"/>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kern w:val="0"/>
          <w:sz w:val="22"/>
        </w:rPr>
        <w:t>服务技术标准及要求</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color w:val="000000"/>
          <w:kern w:val="0"/>
          <w:sz w:val="22"/>
        </w:rPr>
        <w:t>）合同条款</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5</w:t>
      </w:r>
      <w:r>
        <w:rPr>
          <w:rFonts w:cs="Calibri" w:asciiTheme="minorEastAsia" w:hAnsiTheme="minorEastAsia" w:eastAsiaTheme="minorEastAsia"/>
          <w:color w:val="000000"/>
          <w:kern w:val="0"/>
          <w:sz w:val="22"/>
        </w:rPr>
        <w:t>）评标办法及标准</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6</w:t>
      </w:r>
      <w:r>
        <w:rPr>
          <w:rFonts w:cs="Calibri" w:asciiTheme="minorEastAsia" w:hAnsiTheme="minorEastAsia" w:eastAsiaTheme="minorEastAsia"/>
          <w:color w:val="000000"/>
          <w:kern w:val="0"/>
          <w:sz w:val="22"/>
        </w:rPr>
        <w:t>）投标文件格式</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4" w:name="_Toc18230"/>
      <w:r>
        <w:rPr>
          <w:rFonts w:cs="Calibri" w:asciiTheme="minorEastAsia" w:hAnsiTheme="minorEastAsia" w:eastAsiaTheme="minorEastAsia"/>
          <w:b/>
          <w:bCs/>
          <w:kern w:val="0"/>
          <w:sz w:val="22"/>
        </w:rPr>
        <w:t>2.2 招标文件的澄清</w:t>
      </w:r>
      <w:bookmarkEnd w:id="54"/>
    </w:p>
    <w:p>
      <w:pPr>
        <w:adjustRightInd w:val="0"/>
        <w:snapToGrid w:val="0"/>
        <w:spacing w:line="360" w:lineRule="exact"/>
        <w:ind w:firstLine="440"/>
        <w:rPr>
          <w:rFonts w:cs="Calibri" w:asciiTheme="minorEastAsia" w:hAnsiTheme="minorEastAsia"/>
          <w:color w:val="000000"/>
          <w:sz w:val="22"/>
        </w:rPr>
      </w:pPr>
      <w:bookmarkStart w:id="55" w:name="_Toc18303"/>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cs="Calibri" w:asciiTheme="minorEastAsia" w:hAnsiTheme="minorEastAsia"/>
          <w:kern w:val="0"/>
          <w:sz w:val="22"/>
        </w:rPr>
        <w:t>招标人将视情况采用补充公告的方式予以澄清。</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2.3 招标文件的修改</w:t>
      </w:r>
      <w:bookmarkEnd w:id="5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cs="Calibri" w:asciiTheme="minorEastAsia" w:hAnsiTheme="minorEastAsia" w:eastAsiaTheme="minorEastAsia"/>
          <w:color w:val="000000"/>
          <w:sz w:val="22"/>
        </w:rPr>
      </w:pPr>
      <w:r>
        <w:rPr>
          <w:rFonts w:cs="Calibri" w:asciiTheme="minorEastAsia" w:hAnsiTheme="minorEastAsia"/>
          <w:color w:val="000000"/>
          <w:sz w:val="22"/>
        </w:rPr>
        <w:t>2.3.2</w:t>
      </w:r>
      <w:r>
        <w:rPr>
          <w:rFonts w:hint="eastAsia" w:cs="Calibri" w:asciiTheme="minorEastAsia" w:hAnsiTheme="minorEastAsia"/>
          <w:color w:val="000000"/>
          <w:sz w:val="22"/>
        </w:rPr>
        <w:t>招标文件的修改为招标文件的组成部分，对投标人有约束力。</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6" w:name="_Toc18870"/>
      <w:bookmarkStart w:id="57" w:name="_Toc143421658"/>
      <w:r>
        <w:rPr>
          <w:rFonts w:cs="Calibri" w:asciiTheme="minorEastAsia" w:hAnsiTheme="minorEastAsia" w:eastAsiaTheme="minorEastAsia"/>
          <w:b/>
          <w:bCs/>
          <w:kern w:val="0"/>
          <w:sz w:val="22"/>
        </w:rPr>
        <w:t>3.投标文件</w:t>
      </w:r>
      <w:bookmarkEnd w:id="56"/>
      <w:bookmarkEnd w:id="57"/>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8" w:name="_Toc461"/>
      <w:r>
        <w:rPr>
          <w:rFonts w:cs="Calibri" w:asciiTheme="minorEastAsia" w:hAnsiTheme="minorEastAsia" w:eastAsiaTheme="minorEastAsia"/>
          <w:b/>
          <w:bCs/>
          <w:kern w:val="0"/>
          <w:sz w:val="22"/>
        </w:rPr>
        <w:t>3.1 投标文件的语言和计量单位</w:t>
      </w:r>
      <w:bookmarkEnd w:id="58"/>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3.1.1投标文件与投标有关的所有文件均应使用中文。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3.1.3招标文件中的“天”除特别说明外，均为日历天。</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3.1.4招标文件中所指的“合同”除特别说明外，指 “</w:t>
      </w:r>
      <w:r>
        <w:rPr>
          <w:rFonts w:hint="eastAsia" w:cs="Calibri" w:asciiTheme="minorEastAsia" w:hAnsiTheme="minorEastAsia" w:eastAsiaTheme="minorEastAsia"/>
          <w:color w:val="000000"/>
          <w:kern w:val="0"/>
          <w:sz w:val="22"/>
        </w:rPr>
        <w:t>服务</w:t>
      </w:r>
      <w:r>
        <w:rPr>
          <w:rFonts w:cs="Calibri" w:asciiTheme="minorEastAsia" w:hAnsiTheme="minorEastAsia" w:eastAsiaTheme="minorEastAsia"/>
          <w:color w:val="000000"/>
          <w:kern w:val="0"/>
          <w:sz w:val="22"/>
        </w:rPr>
        <w:t>合同”。</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59" w:name="_Toc1411"/>
      <w:r>
        <w:rPr>
          <w:rFonts w:cs="Calibri" w:asciiTheme="minorEastAsia" w:hAnsiTheme="minorEastAsia" w:eastAsiaTheme="minorEastAsia"/>
          <w:b/>
          <w:bCs/>
          <w:kern w:val="0"/>
          <w:sz w:val="22"/>
        </w:rPr>
        <w:t>3.2 投标文件的组成</w:t>
      </w:r>
      <w:bookmarkEnd w:id="59"/>
    </w:p>
    <w:p>
      <w:pPr>
        <w:adjustRightInd w:val="0"/>
        <w:snapToGrid w:val="0"/>
        <w:spacing w:line="360" w:lineRule="exact"/>
        <w:ind w:firstLine="440" w:firstLineChars="200"/>
        <w:rPr>
          <w:rFonts w:cs="Calibri" w:asciiTheme="minorEastAsia" w:hAnsiTheme="minorEastAsia" w:eastAsiaTheme="minorEastAsia"/>
          <w:color w:val="000000"/>
          <w:sz w:val="22"/>
        </w:rPr>
      </w:pPr>
      <w:bookmarkStart w:id="60" w:name="_Toc32225"/>
      <w:r>
        <w:rPr>
          <w:rFonts w:cs="Calibri" w:asciiTheme="minorEastAsia" w:hAnsiTheme="minorEastAsia" w:eastAsiaTheme="minorEastAsia"/>
          <w:color w:val="000000"/>
          <w:sz w:val="22"/>
        </w:rPr>
        <w:t>3.2.1投标函；</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2</w:t>
      </w:r>
      <w:r>
        <w:rPr>
          <w:rFonts w:cs="Calibri" w:asciiTheme="minorEastAsia" w:hAnsiTheme="minorEastAsia" w:eastAsiaTheme="minorEastAsia"/>
          <w:color w:val="000000"/>
          <w:sz w:val="22"/>
        </w:rPr>
        <w:t>法定代表人资格证明书；</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3</w:t>
      </w:r>
      <w:r>
        <w:rPr>
          <w:rFonts w:cs="Calibri" w:asciiTheme="minorEastAsia" w:hAnsiTheme="minorEastAsia" w:eastAsiaTheme="minorEastAsia"/>
          <w:color w:val="000000"/>
          <w:sz w:val="22"/>
        </w:rPr>
        <w:t>授权委托书；</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 xml:space="preserve"> 投标报价表；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3.2.5投标人资格证明文件：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（1）投标人一般情况</w:t>
      </w:r>
      <w:r>
        <w:rPr>
          <w:rFonts w:hint="eastAsia" w:cs="Calibri" w:asciiTheme="minorEastAsia" w:hAnsiTheme="minorEastAsia" w:eastAsiaTheme="minorEastAsia"/>
          <w:color w:val="000000"/>
          <w:sz w:val="22"/>
        </w:rPr>
        <w:t>及</w:t>
      </w:r>
      <w:r>
        <w:rPr>
          <w:rFonts w:cs="Calibri" w:asciiTheme="minorEastAsia" w:hAnsiTheme="minorEastAsia" w:eastAsiaTheme="minorEastAsia"/>
          <w:color w:val="000000"/>
          <w:sz w:val="22"/>
        </w:rPr>
        <w:t>有关证明投标人法律地位的文件（包括营业执照</w:t>
      </w:r>
      <w:r>
        <w:rPr>
          <w:rFonts w:hint="eastAsia" w:cs="Calibri" w:asciiTheme="minorEastAsia" w:hAnsiTheme="minorEastAsia" w:eastAsiaTheme="minorEastAsia"/>
          <w:color w:val="000000"/>
          <w:sz w:val="22"/>
        </w:rPr>
        <w:t>、</w:t>
      </w:r>
      <w:r>
        <w:rPr>
          <w:rFonts w:hint="eastAsia" w:cs="Calibri" w:asciiTheme="minorEastAsia" w:hAnsiTheme="minorEastAsia" w:eastAsiaTheme="minorEastAsia"/>
          <w:sz w:val="22"/>
        </w:rPr>
        <w:t>税务登记证、</w:t>
      </w:r>
      <w:r>
        <w:rPr>
          <w:rFonts w:cs="Calibri" w:asciiTheme="minorEastAsia" w:hAnsiTheme="minorEastAsia" w:eastAsiaTheme="minorEastAsia"/>
          <w:sz w:val="22"/>
        </w:rPr>
        <w:t>一般纳税人证明材料</w:t>
      </w:r>
      <w:r>
        <w:rPr>
          <w:rFonts w:hint="eastAsia" w:cs="Calibri" w:asciiTheme="minorEastAsia" w:hAnsiTheme="minorEastAsia" w:eastAsiaTheme="minorEastAsia"/>
          <w:sz w:val="22"/>
        </w:rPr>
        <w:t>、</w:t>
      </w:r>
      <w:r>
        <w:rPr>
          <w:rFonts w:cs="Calibri" w:asciiTheme="minorEastAsia" w:hAnsiTheme="minorEastAsia" w:eastAsiaTheme="minorEastAsia"/>
          <w:color w:val="000000"/>
          <w:sz w:val="22"/>
        </w:rPr>
        <w:t>资质</w:t>
      </w:r>
      <w:r>
        <w:rPr>
          <w:rFonts w:hint="eastAsia" w:cs="Calibri" w:asciiTheme="minorEastAsia" w:hAnsiTheme="minorEastAsia" w:eastAsiaTheme="minorEastAsia"/>
          <w:color w:val="000000"/>
          <w:sz w:val="22"/>
        </w:rPr>
        <w:t>证书</w:t>
      </w:r>
      <w:r>
        <w:rPr>
          <w:rFonts w:cs="Calibri" w:asciiTheme="minorEastAsia" w:hAnsiTheme="minorEastAsia" w:eastAsiaTheme="minorEastAsia"/>
          <w:color w:val="000000"/>
          <w:sz w:val="22"/>
        </w:rPr>
        <w:t>等），说明投标人的注册地点和主要经营范围；</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（2）有关证明投标人的企业信誉及获得各种奖励等资料；</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（3）投标人经济实力：包括企业注册资金、财务报告与报表中反映的财务状况</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近三年完成类似项目业绩情况</w:t>
      </w:r>
      <w:r>
        <w:rPr>
          <w:rFonts w:hint="eastAsia" w:cs="Calibri" w:asciiTheme="minorEastAsia" w:hAnsiTheme="minorEastAsia" w:eastAsiaTheme="minorEastAsia"/>
          <w:color w:val="000000"/>
          <w:sz w:val="22"/>
        </w:rPr>
        <w:t>；</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（5）招标文件投标人资格要求中提供的相关材料。</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3.2.6</w:t>
      </w:r>
      <w:r>
        <w:rPr>
          <w:rFonts w:hint="eastAsia" w:cs="Calibri" w:asciiTheme="minorEastAsia" w:hAnsiTheme="minorEastAsia" w:eastAsiaTheme="minorEastAsia"/>
          <w:color w:val="000000"/>
          <w:sz w:val="22"/>
        </w:rPr>
        <w:t xml:space="preserve"> 产品</w:t>
      </w:r>
      <w:r>
        <w:rPr>
          <w:rFonts w:cs="Calibri" w:asciiTheme="minorEastAsia" w:hAnsiTheme="minorEastAsia" w:eastAsiaTheme="minorEastAsia"/>
          <w:color w:val="000000"/>
          <w:sz w:val="22"/>
        </w:rPr>
        <w:t>服务大纲</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（1）产品技术规格书或使用系统说明</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（2）产品运行、安全、服务等相关管理方案</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（3）</w:t>
      </w:r>
      <w:r>
        <w:rPr>
          <w:rFonts w:cs="Calibri" w:asciiTheme="minorEastAsia" w:hAnsiTheme="minorEastAsia" w:eastAsiaTheme="minorEastAsia"/>
          <w:color w:val="000000"/>
          <w:sz w:val="22"/>
        </w:rPr>
        <w:t>对本</w:t>
      </w:r>
      <w:r>
        <w:rPr>
          <w:rFonts w:hint="eastAsia" w:cs="Calibri" w:asciiTheme="minorEastAsia" w:hAnsiTheme="minorEastAsia" w:eastAsiaTheme="minorEastAsia"/>
          <w:color w:val="000000"/>
          <w:sz w:val="22"/>
        </w:rPr>
        <w:t>产品</w:t>
      </w:r>
      <w:r>
        <w:rPr>
          <w:rFonts w:cs="Calibri" w:asciiTheme="minorEastAsia" w:hAnsiTheme="minorEastAsia" w:eastAsiaTheme="minorEastAsia"/>
          <w:color w:val="000000"/>
          <w:sz w:val="22"/>
        </w:rPr>
        <w:t>的实施意见及重点</w:t>
      </w: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难点控制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（4）对产品的人力、设备等配置情况</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（5）对产品特殊情况的承诺以及突发事件的应急预案</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（6）</w:t>
      </w:r>
      <w:r>
        <w:rPr>
          <w:rFonts w:cs="Calibri" w:asciiTheme="minorEastAsia" w:hAnsiTheme="minorEastAsia" w:eastAsiaTheme="minorEastAsia"/>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Theme="minorEastAsia" w:hAnsiTheme="minorEastAsia" w:eastAsiaTheme="minorEastAsia"/>
          <w:sz w:val="22"/>
        </w:rPr>
      </w:pPr>
      <w:r>
        <w:rPr>
          <w:rFonts w:cs="Calibri" w:asciiTheme="minorEastAsia" w:hAnsiTheme="minorEastAsia" w:eastAsiaTheme="minorEastAsia"/>
          <w:color w:val="000000"/>
          <w:sz w:val="22"/>
        </w:rPr>
        <w:t>3.2.7</w:t>
      </w:r>
      <w:r>
        <w:rPr>
          <w:rFonts w:hint="eastAsia" w:cs="Arial" w:asciiTheme="minorEastAsia" w:hAnsiTheme="minorEastAsia" w:eastAsiaTheme="minorEastAsia"/>
          <w:color w:val="000000"/>
          <w:sz w:val="22"/>
        </w:rPr>
        <w:t>投标人认为</w:t>
      </w:r>
      <w:r>
        <w:rPr>
          <w:rFonts w:cs="Arial" w:asciiTheme="minorEastAsia" w:hAnsiTheme="minorEastAsia" w:eastAsiaTheme="minorEastAsia"/>
          <w:color w:val="000000"/>
          <w:sz w:val="22"/>
        </w:rPr>
        <w:t>应该提供的其他材料</w:t>
      </w:r>
      <w:r>
        <w:rPr>
          <w:rFonts w:hint="eastAsia" w:cs="Arial" w:asciiTheme="minorEastAsia" w:hAnsiTheme="minorEastAsia" w:eastAsiaTheme="minorEastAsia"/>
          <w:color w:val="00000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3.3 投标报价</w:t>
      </w:r>
      <w:bookmarkEnd w:id="60"/>
    </w:p>
    <w:p>
      <w:pPr>
        <w:adjustRightInd w:val="0"/>
        <w:snapToGrid w:val="0"/>
        <w:spacing w:line="360" w:lineRule="exact"/>
        <w:ind w:firstLine="440" w:firstLineChars="200"/>
        <w:rPr>
          <w:rFonts w:cs="Calibri" w:asciiTheme="minorEastAsia" w:hAnsiTheme="minorEastAsia" w:eastAsiaTheme="minorEastAsia"/>
          <w:color w:val="000000"/>
          <w:kern w:val="0"/>
          <w:sz w:val="22"/>
        </w:rPr>
      </w:pPr>
      <w:bookmarkStart w:id="61" w:name="_Toc13307"/>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.1 投标人应按本招标文件中“投标文件格式”的要求填写相应表格。</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.4投标报价的其他要求</w:t>
      </w:r>
      <w:r>
        <w:rPr>
          <w:rFonts w:hint="eastAsia" w:cs="Calibri" w:asciiTheme="minorEastAsia" w:hAnsiTheme="minorEastAsia" w:eastAsiaTheme="minorEastAsia"/>
          <w:color w:val="000000"/>
          <w:kern w:val="0"/>
          <w:sz w:val="22"/>
        </w:rPr>
        <w:t>：</w:t>
      </w:r>
      <w:r>
        <w:rPr>
          <w:rFonts w:hint="eastAsia" w:cs="Calibri" w:asciiTheme="minorEastAsia" w:hAnsiTheme="minorEastAsia" w:eastAsia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eastAsiaTheme="minorEastAsia"/>
          <w:b/>
          <w:color w:val="000000"/>
          <w:kern w:val="0"/>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3.4 投标有效期</w:t>
      </w:r>
      <w:bookmarkEnd w:id="61"/>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2" w:name="_Toc30464"/>
      <w:r>
        <w:rPr>
          <w:rFonts w:cs="Calibri" w:asciiTheme="minorEastAsia" w:hAnsiTheme="minorEastAsia" w:eastAsiaTheme="minorEastAsia"/>
          <w:b/>
          <w:bCs/>
          <w:kern w:val="0"/>
          <w:sz w:val="22"/>
        </w:rPr>
        <w:t>3.5 投标保证金</w:t>
      </w:r>
      <w:bookmarkEnd w:id="62"/>
      <w:r>
        <w:rPr>
          <w:rFonts w:hint="eastAsia" w:cs="Calibri" w:asciiTheme="minorEastAsia" w:hAnsiTheme="minorEastAsia" w:eastAsiaTheme="minorEastAsia"/>
          <w:b/>
          <w:bCs/>
          <w:kern w:val="0"/>
          <w:sz w:val="22"/>
        </w:rPr>
        <w:t>（如有）</w:t>
      </w:r>
    </w:p>
    <w:p>
      <w:pPr>
        <w:adjustRightInd w:val="0"/>
        <w:snapToGrid w:val="0"/>
        <w:spacing w:line="360" w:lineRule="exact"/>
        <w:ind w:firstLine="440"/>
        <w:rPr>
          <w:rFonts w:ascii="宋体" w:hAnsi="宋体" w:cs="Calibri"/>
          <w:kern w:val="0"/>
          <w:sz w:val="22"/>
        </w:rPr>
      </w:pPr>
      <w:bookmarkStart w:id="63"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3.6 投标文件的编制</w:t>
      </w:r>
      <w:bookmarkEnd w:id="63"/>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3.6.1 投标文件应按本须知第3.2款规定的内容和第</w:t>
      </w:r>
      <w:r>
        <w:rPr>
          <w:rFonts w:hint="eastAsia" w:cs="Calibri" w:asciiTheme="minorEastAsia" w:hAnsiTheme="minorEastAsia" w:eastAsiaTheme="minorEastAsia"/>
          <w:color w:val="000000"/>
          <w:sz w:val="22"/>
        </w:rPr>
        <w:t>六</w:t>
      </w:r>
      <w:r>
        <w:rPr>
          <w:rFonts w:cs="Calibri" w:asciiTheme="minorEastAsia" w:hAnsiTheme="minorEastAsia" w:eastAsiaTheme="minorEastAsia"/>
          <w:color w:val="000000"/>
          <w:sz w:val="22"/>
        </w:rPr>
        <w:t>章“投标文件格式”进行编写，如有必要，可以增加附页，作为投标文件的组成部分，“投标文件格式”中没有规定的可自行编制格式。其中，</w:t>
      </w:r>
      <w:r>
        <w:rPr>
          <w:rFonts w:hint="eastAsia" w:cs="Calibri" w:asciiTheme="minorEastAsia" w:hAnsiTheme="minorEastAsia" w:eastAsiaTheme="minorEastAsia"/>
          <w:sz w:val="22"/>
        </w:rPr>
        <w:t>服务期</w:t>
      </w:r>
      <w:r>
        <w:rPr>
          <w:rFonts w:cs="Calibri" w:asciiTheme="minorEastAsia" w:hAnsiTheme="minorEastAsia" w:eastAsiaTheme="minorEastAsia"/>
          <w:sz w:val="22"/>
        </w:rPr>
        <w:t>在满足招标文件实质性要求的基础上，可以提出比招标文件要求更有利于招标人的承诺。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 xml:space="preserve">3.6.2 </w:t>
      </w:r>
      <w:r>
        <w:rPr>
          <w:rFonts w:cs="Calibri" w:asciiTheme="minorEastAsia" w:hAnsiTheme="minorEastAsia" w:eastAsiaTheme="minorEastAsia"/>
          <w:color w:val="000000"/>
          <w:kern w:val="0"/>
          <w:sz w:val="22"/>
        </w:rPr>
        <w:t>投标文件应对招标文件有关</w:t>
      </w:r>
      <w:r>
        <w:rPr>
          <w:rFonts w:hint="eastAsia" w:cs="Calibri" w:asciiTheme="minorEastAsia" w:hAnsiTheme="minorEastAsia" w:eastAsiaTheme="minorEastAsia"/>
          <w:color w:val="000000"/>
          <w:kern w:val="0"/>
          <w:sz w:val="22"/>
        </w:rPr>
        <w:t>服务</w:t>
      </w:r>
      <w:r>
        <w:rPr>
          <w:rFonts w:cs="Calibri" w:asciiTheme="minorEastAsia" w:hAnsiTheme="minorEastAsia" w:eastAsiaTheme="minorEastAsia"/>
          <w:color w:val="000000"/>
          <w:kern w:val="0"/>
          <w:sz w:val="22"/>
        </w:rPr>
        <w:t>期、投标有效期、招标</w:t>
      </w:r>
      <w:r>
        <w:rPr>
          <w:rFonts w:hint="eastAsia" w:cs="Calibri" w:asciiTheme="minorEastAsia" w:hAnsiTheme="minorEastAsia" w:eastAsiaTheme="minorEastAsia"/>
          <w:color w:val="000000"/>
          <w:kern w:val="0"/>
          <w:sz w:val="22"/>
        </w:rPr>
        <w:t>内容</w:t>
      </w:r>
      <w:r>
        <w:rPr>
          <w:rFonts w:cs="Calibri" w:asciiTheme="minorEastAsia" w:hAnsiTheme="minorEastAsia" w:eastAsiaTheme="minorEastAsia"/>
          <w:color w:val="000000"/>
          <w:kern w:val="0"/>
          <w:sz w:val="22"/>
        </w:rPr>
        <w:t>等实质性内容作出响应。</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cs="Calibri" w:asciiTheme="minorEastAsia" w:hAnsiTheme="minorEastAsia" w:eastAsiaTheme="minorEastAsia"/>
          <w:color w:val="000000"/>
          <w:kern w:val="0"/>
          <w:sz w:val="22"/>
        </w:rPr>
        <w:t>签字或盖章的具体要求见投标人须知前附表。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3.6.4投标文件正本一份， 副本份数见投标人须知前附表。正本、副本的封面上应清楚地标记</w:t>
      </w:r>
      <w:r>
        <w:rPr>
          <w:rFonts w:cs="Calibri" w:asciiTheme="minorEastAsia" w:hAnsiTheme="minorEastAsia" w:eastAsiaTheme="minorEastAsia"/>
          <w:b/>
          <w:bCs/>
          <w:color w:val="000000"/>
          <w:sz w:val="22"/>
        </w:rPr>
        <w:t>“正本</w:t>
      </w:r>
      <w:r>
        <w:rPr>
          <w:rFonts w:cs="Calibri" w:asciiTheme="minorEastAsia" w:hAnsiTheme="minorEastAsia" w:eastAsiaTheme="minorEastAsia"/>
          <w:color w:val="000000"/>
          <w:sz w:val="22"/>
        </w:rPr>
        <w:t>”或“</w:t>
      </w:r>
      <w:r>
        <w:rPr>
          <w:rFonts w:cs="Calibri" w:asciiTheme="minorEastAsia" w:hAnsiTheme="minorEastAsia" w:eastAsiaTheme="minorEastAsia"/>
          <w:b/>
          <w:bCs/>
          <w:color w:val="000000"/>
          <w:sz w:val="22"/>
        </w:rPr>
        <w:t>副本</w:t>
      </w:r>
      <w:r>
        <w:rPr>
          <w:rFonts w:cs="Calibri" w:asciiTheme="minorEastAsia" w:hAnsiTheme="minorEastAsia" w:eastAsiaTheme="minorEastAsia"/>
          <w:color w:val="000000"/>
          <w:sz w:val="22"/>
        </w:rPr>
        <w:t>”的字样。当副本和正本不一致时，以正本为准。</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3.6.5投标文件的正本与副本应分别按A4规格装订成册，具体装订要求见投标人须知前附表规定。</w:t>
      </w:r>
      <w:bookmarkStart w:id="64" w:name="_Toc14342165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5" w:name="_Toc32652"/>
      <w:r>
        <w:rPr>
          <w:rFonts w:cs="Calibri" w:asciiTheme="minorEastAsia" w:hAnsiTheme="minorEastAsia" w:eastAsiaTheme="minorEastAsia"/>
          <w:b/>
          <w:bCs/>
          <w:kern w:val="0"/>
          <w:sz w:val="22"/>
        </w:rPr>
        <w:t>4.投标</w:t>
      </w:r>
      <w:bookmarkEnd w:id="64"/>
      <w:bookmarkEnd w:id="65"/>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6" w:name="_Toc649"/>
      <w:r>
        <w:rPr>
          <w:rFonts w:cs="Calibri" w:asciiTheme="minorEastAsia" w:hAnsiTheme="minorEastAsia" w:eastAsiaTheme="minorEastAsia"/>
          <w:b/>
          <w:bCs/>
          <w:kern w:val="0"/>
          <w:sz w:val="22"/>
        </w:rPr>
        <w:t>4.1 投标文件的密封和标识</w:t>
      </w:r>
      <w:bookmarkEnd w:id="66"/>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4.1.1</w:t>
      </w:r>
      <w:r>
        <w:rPr>
          <w:rFonts w:cs="Calibri" w:asciiTheme="minorEastAsia" w:hAnsiTheme="minorEastAsia" w:eastAsiaTheme="minorEastAsia"/>
          <w:color w:val="000000"/>
          <w:kern w:val="0"/>
          <w:sz w:val="22"/>
        </w:rPr>
        <w:t>投标文件的正本、副本可一同</w:t>
      </w:r>
      <w:r>
        <w:rPr>
          <w:rFonts w:hint="eastAsia" w:cs="Calibri" w:asciiTheme="minorEastAsia" w:hAnsiTheme="minorEastAsia" w:eastAsiaTheme="minorEastAsia"/>
          <w:color w:val="000000"/>
          <w:kern w:val="0"/>
          <w:sz w:val="22"/>
        </w:rPr>
        <w:t>密封</w:t>
      </w:r>
      <w:r>
        <w:rPr>
          <w:rFonts w:cs="Calibri" w:asciiTheme="minorEastAsia" w:hAnsiTheme="minorEastAsia" w:eastAsiaTheme="minorEastAsia"/>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4.1.3 未按本章第4.1.1项或第4.1.2项要求密封和加写标记的投标文件，招标人不予受理。</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4.1.</w:t>
      </w:r>
      <w:r>
        <w:rPr>
          <w:rFonts w:hint="eastAsia" w:cs="Calibri" w:asciiTheme="minorEastAsia" w:hAnsiTheme="minorEastAsia" w:eastAsiaTheme="minorEastAsia"/>
          <w:color w:val="000000"/>
          <w:kern w:val="0"/>
          <w:sz w:val="22"/>
        </w:rPr>
        <w:t>4</w:t>
      </w:r>
      <w:r>
        <w:rPr>
          <w:rFonts w:cs="Calibri" w:asciiTheme="minorEastAsia" w:hAnsiTheme="minorEastAsia" w:eastAsiaTheme="minorEastAsia"/>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7" w:name="_Toc16616"/>
      <w:r>
        <w:rPr>
          <w:rFonts w:cs="Calibri" w:asciiTheme="minorEastAsia" w:hAnsiTheme="minorEastAsia" w:eastAsiaTheme="minorEastAsia"/>
          <w:b/>
          <w:bCs/>
          <w:kern w:val="0"/>
          <w:sz w:val="22"/>
        </w:rPr>
        <w:t xml:space="preserve">4.2 投标文件的递交 </w:t>
      </w:r>
      <w:bookmarkEnd w:id="67"/>
    </w:p>
    <w:p>
      <w:pPr>
        <w:autoSpaceDE w:val="0"/>
        <w:autoSpaceDN w:val="0"/>
        <w:adjustRightInd w:val="0"/>
        <w:snapToGrid w:val="0"/>
        <w:spacing w:line="360" w:lineRule="exact"/>
        <w:ind w:firstLine="442" w:firstLineChars="200"/>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4.2.1投标人应在本须知前附表规定的投标截止时间前递交投标文件。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4.2.2投标人送达投标文件的地点：见投标人须知前附表。</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4.2.3除投标人须知前附表另有规定外，投标人所递交的投标文件不予退还。</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4.2.</w:t>
      </w: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逾期送达的或者未送达指定地点的投标文件，招标人不予受理。</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8" w:name="_Toc26099"/>
      <w:r>
        <w:rPr>
          <w:rFonts w:cs="Calibri" w:asciiTheme="minorEastAsia" w:hAnsiTheme="minorEastAsia" w:eastAsiaTheme="minorEastAsia"/>
          <w:b/>
          <w:bCs/>
          <w:kern w:val="0"/>
          <w:sz w:val="22"/>
        </w:rPr>
        <w:t>4.3 投标文件的修改和撤回</w:t>
      </w:r>
      <w:bookmarkEnd w:id="68"/>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69" w:name="_Toc29641"/>
      <w:r>
        <w:rPr>
          <w:rFonts w:cs="Calibri" w:asciiTheme="minorEastAsia" w:hAnsiTheme="minorEastAsia" w:eastAsiaTheme="minorEastAsia"/>
          <w:b/>
          <w:bCs/>
          <w:kern w:val="0"/>
          <w:sz w:val="22"/>
        </w:rPr>
        <w:t>5.开标</w:t>
      </w:r>
      <w:bookmarkEnd w:id="69"/>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0" w:name="_Toc15123"/>
      <w:r>
        <w:rPr>
          <w:rFonts w:cs="Calibri" w:asciiTheme="minorEastAsia" w:hAnsiTheme="minorEastAsia" w:eastAsiaTheme="minorEastAsia"/>
          <w:b/>
          <w:bCs/>
          <w:kern w:val="0"/>
          <w:sz w:val="22"/>
        </w:rPr>
        <w:t>5.1 开标时间和地点</w:t>
      </w:r>
      <w:bookmarkEnd w:id="70"/>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5.1.2投标人在投标时应随身携带下列资料提交招标人</w:t>
      </w:r>
    </w:p>
    <w:p>
      <w:pPr>
        <w:adjustRightInd w:val="0"/>
        <w:snapToGrid w:val="0"/>
        <w:spacing w:line="360" w:lineRule="exact"/>
        <w:ind w:firstLine="440" w:firstLineChars="200"/>
        <w:rPr>
          <w:rFonts w:cs="Calibri" w:asciiTheme="minorEastAsia" w:hAnsiTheme="minorEastAsia" w:eastAsiaTheme="minorEastAsia"/>
          <w:sz w:val="22"/>
        </w:rPr>
      </w:pPr>
      <w:bookmarkStart w:id="71" w:name="_Toc7101"/>
      <w:r>
        <w:rPr>
          <w:rFonts w:cs="Calibri" w:asciiTheme="minorEastAsia" w:hAnsiTheme="minorEastAsia" w:eastAsiaTheme="minorEastAsia"/>
          <w:sz w:val="22"/>
        </w:rPr>
        <w:t>（1）委托代理人的身份证、法定代表人授权委托书</w:t>
      </w:r>
      <w:r>
        <w:rPr>
          <w:rFonts w:hint="eastAsia" w:cs="Calibri" w:asciiTheme="minorEastAsia" w:hAnsiTheme="minorEastAsia" w:eastAsiaTheme="minorEastAsia"/>
          <w:sz w:val="22"/>
        </w:rPr>
        <w:t>（装订在投标文件内亦可）</w:t>
      </w:r>
      <w:r>
        <w:rPr>
          <w:rFonts w:cs="Calibri" w:asciiTheme="minorEastAsia" w:hAnsiTheme="minorEastAsia" w:eastAsiaTheme="minorEastAsia"/>
          <w:sz w:val="22"/>
        </w:rPr>
        <w:t>；</w:t>
      </w:r>
    </w:p>
    <w:p>
      <w:pPr>
        <w:adjustRightInd w:val="0"/>
        <w:snapToGrid w:val="0"/>
        <w:spacing w:line="360" w:lineRule="exact"/>
        <w:ind w:firstLine="440" w:firstLineChars="200"/>
        <w:rPr>
          <w:rFonts w:cs="Calibri" w:asciiTheme="minorEastAsia" w:hAnsiTheme="minorEastAsia" w:eastAsiaTheme="minorEastAsia"/>
          <w:sz w:val="22"/>
        </w:rPr>
      </w:pPr>
      <w:r>
        <w:rPr>
          <w:rFonts w:cs="Calibri" w:asciiTheme="minorEastAsia" w:hAnsiTheme="minorEastAsia" w:eastAsiaTheme="minorEastAsia"/>
          <w:sz w:val="22"/>
        </w:rPr>
        <w:t>（2）投标保证金收执证明或汇款凭证或银行回单</w:t>
      </w:r>
      <w:r>
        <w:rPr>
          <w:rFonts w:hint="eastAsia" w:cs="Calibri" w:asciiTheme="minorEastAsia" w:hAnsiTheme="minorEastAsia" w:eastAsiaTheme="minorEastAsia"/>
          <w:sz w:val="22"/>
        </w:rPr>
        <w:t>（装订在投标文件内亦可）</w:t>
      </w:r>
      <w:r>
        <w:rPr>
          <w:rFonts w:cs="Calibri" w:asciiTheme="minorEastAsia" w:hAnsiTheme="minorEastAsia" w:eastAsiaTheme="minorEastAsia"/>
          <w:sz w:val="22"/>
        </w:rPr>
        <w:t>。</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5.2 开标程序</w:t>
      </w:r>
      <w:bookmarkEnd w:id="71"/>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主持人按下列程序进行开标：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（1）宣布开标纪律；</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（3）宣布开标人、唱标人、记录人、监标人等有关人员姓名；</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（4）按照投标人须知前附表规定检查投标文件的密封情况；</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（5）按照投标人须知前附表的规定确定并宣布投标文件开标顺序；</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w:t>
      </w:r>
      <w:r>
        <w:rPr>
          <w:rFonts w:cs="Calibri" w:asciiTheme="minorEastAsia" w:hAnsiTheme="minorEastAsia" w:eastAsiaTheme="minorEastAsia"/>
          <w:color w:val="000000"/>
          <w:sz w:val="22"/>
        </w:rPr>
        <w:t>按照宣布的开标顺序当众开标，公布投标人名称、投标保证金的递交情况、投标报价、</w:t>
      </w:r>
      <w:r>
        <w:rPr>
          <w:rFonts w:hint="eastAsia" w:cs="Calibri" w:asciiTheme="minorEastAsia" w:hAnsiTheme="minorEastAsia" w:eastAsiaTheme="minorEastAsia"/>
          <w:color w:val="000000"/>
          <w:sz w:val="22"/>
        </w:rPr>
        <w:t>服务期</w:t>
      </w:r>
      <w:r>
        <w:rPr>
          <w:rFonts w:cs="Calibri" w:asciiTheme="minorEastAsia" w:hAnsiTheme="minorEastAsia" w:eastAsiaTheme="minorEastAsia"/>
          <w:color w:val="000000"/>
          <w:sz w:val="22"/>
        </w:rPr>
        <w:t>及其他内容，并记录在案；</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（8）开标结束。</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2" w:name="_Toc31578"/>
      <w:r>
        <w:rPr>
          <w:rFonts w:cs="Calibri" w:asciiTheme="minorEastAsia" w:hAnsiTheme="minorEastAsia" w:eastAsiaTheme="minorEastAsia"/>
          <w:b/>
          <w:bCs/>
          <w:kern w:val="0"/>
          <w:sz w:val="22"/>
        </w:rPr>
        <w:t>6.评标</w:t>
      </w:r>
      <w:bookmarkEnd w:id="72"/>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3" w:name="_Toc10279"/>
      <w:r>
        <w:rPr>
          <w:rFonts w:cs="Calibri" w:asciiTheme="minorEastAsia" w:hAnsiTheme="minorEastAsia" w:eastAsiaTheme="minorEastAsia"/>
          <w:b/>
          <w:bCs/>
          <w:kern w:val="0"/>
          <w:sz w:val="22"/>
        </w:rPr>
        <w:t>6.1 评标委员会</w:t>
      </w:r>
      <w:bookmarkEnd w:id="73"/>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6.1.1</w:t>
      </w:r>
      <w:r>
        <w:rPr>
          <w:rFonts w:cs="Calibri" w:asciiTheme="minorEastAsia" w:hAnsiTheme="minorEastAsia" w:eastAsiaTheme="minorEastAsia"/>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6.1.2评标委员会成员有下列情形之一的，应当回避：</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（1）招标人或投标人的主要负责人的近亲属；</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（2）项目主管部门或者行政监督部门的人员；</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（3）与投标人有经济利益关系，可能影响对投标公正评审的；</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4" w:name="_Toc3460"/>
      <w:r>
        <w:rPr>
          <w:rFonts w:cs="Calibri" w:asciiTheme="minorEastAsia" w:hAnsiTheme="minorEastAsia" w:eastAsiaTheme="minorEastAsia"/>
          <w:b/>
          <w:bCs/>
          <w:kern w:val="0"/>
          <w:sz w:val="22"/>
        </w:rPr>
        <w:t>6.2 评标原则</w:t>
      </w:r>
      <w:bookmarkEnd w:id="74"/>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评标活动遵循公平、公正、科学和择优的原则。</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5" w:name="_Toc28178"/>
      <w:r>
        <w:rPr>
          <w:rFonts w:cs="Calibri" w:asciiTheme="minorEastAsia" w:hAnsiTheme="minorEastAsia" w:eastAsiaTheme="minorEastAsia"/>
          <w:b/>
          <w:bCs/>
          <w:kern w:val="0"/>
          <w:sz w:val="22"/>
        </w:rPr>
        <w:t>6.3 评标</w:t>
      </w:r>
      <w:bookmarkEnd w:id="75"/>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评标委员会按照第</w:t>
      </w:r>
      <w:r>
        <w:rPr>
          <w:rFonts w:hint="eastAsia" w:cs="Calibri" w:asciiTheme="minorEastAsia" w:hAnsiTheme="minorEastAsia" w:eastAsiaTheme="minorEastAsia"/>
          <w:color w:val="000000"/>
          <w:kern w:val="0"/>
          <w:sz w:val="22"/>
        </w:rPr>
        <w:t>五</w:t>
      </w:r>
      <w:r>
        <w:rPr>
          <w:rFonts w:cs="Calibri" w:asciiTheme="minorEastAsia" w:hAnsiTheme="minorEastAsia" w:eastAsiaTheme="minorEastAsia"/>
          <w:color w:val="000000"/>
          <w:kern w:val="0"/>
          <w:sz w:val="22"/>
        </w:rPr>
        <w:t>章“评标方法及标准”对投标文件进行评审。第</w:t>
      </w:r>
      <w:r>
        <w:rPr>
          <w:rFonts w:hint="eastAsia" w:cs="Calibri" w:asciiTheme="minorEastAsia" w:hAnsiTheme="minorEastAsia" w:eastAsiaTheme="minorEastAsia"/>
          <w:color w:val="000000"/>
          <w:kern w:val="0"/>
          <w:sz w:val="22"/>
        </w:rPr>
        <w:t>五</w:t>
      </w:r>
      <w:r>
        <w:rPr>
          <w:rFonts w:cs="Calibri" w:asciiTheme="minorEastAsia" w:hAnsiTheme="minorEastAsia" w:eastAsiaTheme="minorEastAsia"/>
          <w:color w:val="000000"/>
          <w:kern w:val="0"/>
          <w:sz w:val="22"/>
        </w:rPr>
        <w:t>章“评标方法及标准”没有规定的方法、评审因素和标准，不作为评标依据。</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6" w:name="_Toc24237"/>
      <w:r>
        <w:rPr>
          <w:rFonts w:cs="Calibri" w:asciiTheme="minorEastAsia" w:hAnsiTheme="minorEastAsia" w:eastAsiaTheme="minorEastAsia"/>
          <w:b/>
          <w:bCs/>
          <w:kern w:val="0"/>
          <w:sz w:val="22"/>
        </w:rPr>
        <w:t>7.合同授予</w:t>
      </w:r>
      <w:bookmarkEnd w:id="76"/>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7" w:name="_Toc18809"/>
      <w:r>
        <w:rPr>
          <w:rFonts w:cs="Calibri" w:asciiTheme="minorEastAsia" w:hAnsiTheme="minorEastAsia" w:eastAsiaTheme="minorEastAsia"/>
          <w:b/>
          <w:bCs/>
          <w:kern w:val="0"/>
          <w:sz w:val="22"/>
        </w:rPr>
        <w:t>7.1 定标方式</w:t>
      </w:r>
      <w:bookmarkEnd w:id="77"/>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8" w:name="_Toc14573"/>
      <w:r>
        <w:rPr>
          <w:rFonts w:cs="Calibri" w:asciiTheme="minorEastAsia" w:hAnsiTheme="minorEastAsia" w:eastAsiaTheme="minorEastAsia"/>
          <w:b/>
          <w:bCs/>
          <w:kern w:val="0"/>
          <w:sz w:val="22"/>
        </w:rPr>
        <w:t>7.2 中标通知</w:t>
      </w:r>
      <w:bookmarkEnd w:id="78"/>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79" w:name="_Toc27132"/>
      <w:bookmarkStart w:id="80" w:name="_Toc27581"/>
      <w:r>
        <w:rPr>
          <w:rFonts w:cs="Calibri" w:asciiTheme="minorEastAsia" w:hAnsiTheme="minorEastAsia" w:eastAsiaTheme="minorEastAsia"/>
          <w:b/>
          <w:bCs/>
          <w:kern w:val="0"/>
          <w:sz w:val="22"/>
        </w:rPr>
        <w:t>7.3 履约</w:t>
      </w:r>
      <w:r>
        <w:rPr>
          <w:rFonts w:hint="eastAsia" w:cs="Calibri" w:asciiTheme="minorEastAsia" w:hAnsiTheme="minorEastAsia" w:eastAsiaTheme="minorEastAsia"/>
          <w:b/>
          <w:bCs/>
          <w:kern w:val="0"/>
          <w:sz w:val="22"/>
        </w:rPr>
        <w:t>保证金</w:t>
      </w:r>
      <w:bookmarkEnd w:id="79"/>
    </w:p>
    <w:p>
      <w:pPr>
        <w:adjustRightInd w:val="0"/>
        <w:snapToGrid w:val="0"/>
        <w:spacing w:line="360" w:lineRule="exact"/>
        <w:ind w:firstLine="440" w:firstLineChars="200"/>
        <w:rPr>
          <w:rFonts w:cs="Calibri" w:asciiTheme="minorEastAsia" w:hAnsiTheme="minorEastAsia" w:eastAsiaTheme="minorEastAsia"/>
          <w:kern w:val="0"/>
          <w:sz w:val="22"/>
        </w:rPr>
      </w:pPr>
      <w:r>
        <w:rPr>
          <w:rFonts w:cs="Calibri" w:asciiTheme="minorEastAsia" w:hAnsiTheme="minorEastAsia" w:eastAsiaTheme="minorEastAsia"/>
          <w:kern w:val="0"/>
          <w:sz w:val="22"/>
        </w:rPr>
        <w:t>7.3.1在签订合同前，中标人应按投标人须知前附表规定的金额</w:t>
      </w:r>
      <w:r>
        <w:rPr>
          <w:rFonts w:hint="eastAsia" w:cs="Calibri" w:asciiTheme="minorEastAsia" w:hAnsiTheme="minorEastAsia" w:eastAsiaTheme="minorEastAsia"/>
          <w:kern w:val="0"/>
          <w:sz w:val="22"/>
        </w:rPr>
        <w:t>和</w:t>
      </w:r>
      <w:r>
        <w:rPr>
          <w:rFonts w:cs="Calibri" w:asciiTheme="minorEastAsia" w:hAnsiTheme="minorEastAsia" w:eastAsiaTheme="minorEastAsia"/>
          <w:kern w:val="0"/>
          <w:sz w:val="22"/>
        </w:rPr>
        <w:t>担保形式向招标人提交履约</w:t>
      </w:r>
      <w:r>
        <w:rPr>
          <w:rFonts w:hint="eastAsia" w:cs="Calibri" w:asciiTheme="minorEastAsia" w:hAnsiTheme="minorEastAsia" w:eastAsiaTheme="minorEastAsia"/>
          <w:kern w:val="0"/>
          <w:sz w:val="22"/>
        </w:rPr>
        <w:t>保证金</w:t>
      </w:r>
      <w:r>
        <w:rPr>
          <w:rFonts w:cs="Calibri" w:asciiTheme="minorEastAsia" w:hAnsiTheme="minorEastAsia" w:eastAsiaTheme="minorEastAsia"/>
          <w:kern w:val="0"/>
          <w:sz w:val="22"/>
        </w:rPr>
        <w:t>。</w:t>
      </w:r>
    </w:p>
    <w:p>
      <w:pPr>
        <w:adjustRightInd w:val="0"/>
        <w:snapToGrid w:val="0"/>
        <w:spacing w:line="360" w:lineRule="exact"/>
        <w:ind w:firstLine="440" w:firstLineChars="200"/>
        <w:rPr>
          <w:rFonts w:cs="Calibri" w:asciiTheme="minorEastAsia" w:hAnsiTheme="minorEastAsia" w:eastAsiaTheme="minorEastAsia"/>
          <w:kern w:val="0"/>
          <w:sz w:val="22"/>
        </w:rPr>
      </w:pPr>
      <w:r>
        <w:rPr>
          <w:rFonts w:cs="Calibri" w:asciiTheme="minorEastAsia" w:hAnsiTheme="minorEastAsia" w:eastAsiaTheme="minorEastAsia"/>
          <w:kern w:val="0"/>
          <w:sz w:val="22"/>
        </w:rPr>
        <w:t>7.3.2 中标人不能按本章第7.3.1项要求提交履约</w:t>
      </w:r>
      <w:r>
        <w:rPr>
          <w:rFonts w:hint="eastAsia" w:cs="Calibri" w:asciiTheme="minorEastAsia" w:hAnsiTheme="minorEastAsia" w:eastAsiaTheme="minorEastAsia"/>
          <w:kern w:val="0"/>
          <w:sz w:val="22"/>
        </w:rPr>
        <w:t>保证金</w:t>
      </w:r>
      <w:r>
        <w:rPr>
          <w:rFonts w:cs="Calibri" w:asciiTheme="minorEastAsia" w:hAnsiTheme="minorEastAsia" w:eastAsiaTheme="minorEastAsia"/>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7.4 签订合同</w:t>
      </w:r>
      <w:bookmarkEnd w:id="80"/>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sz w:val="22"/>
        </w:rPr>
        <w:t>7</w:t>
      </w:r>
      <w:bookmarkStart w:id="81" w:name="_Toc11806"/>
      <w:bookmarkStart w:id="82" w:name="_Toc220123241"/>
      <w:bookmarkStart w:id="83" w:name="_Toc219809801"/>
      <w:r>
        <w:rPr>
          <w:rFonts w:cs="Calibri" w:asciiTheme="minorEastAsia" w:hAnsiTheme="minorEastAsia" w:eastAsiaTheme="minorEastAsia"/>
          <w:color w:val="000000"/>
          <w:kern w:val="0"/>
          <w:sz w:val="22"/>
        </w:rPr>
        <w:t>.4.1招标人和中标人应当自中标通知书发出之日起30个工作日内订立书面合同（合同条款按第</w:t>
      </w:r>
      <w:r>
        <w:rPr>
          <w:rFonts w:hint="eastAsia" w:cs="Calibri" w:asciiTheme="minorEastAsia" w:hAnsiTheme="minorEastAsia" w:eastAsiaTheme="minorEastAsia"/>
          <w:color w:val="000000"/>
          <w:kern w:val="0"/>
          <w:sz w:val="22"/>
        </w:rPr>
        <w:t>四</w:t>
      </w:r>
      <w:r>
        <w:rPr>
          <w:rFonts w:cs="Calibri" w:asciiTheme="minorEastAsia" w:hAnsiTheme="minorEastAsia" w:eastAsiaTheme="minorEastAsia"/>
          <w:color w:val="000000"/>
          <w:kern w:val="0"/>
          <w:sz w:val="22"/>
        </w:rPr>
        <w:t>章</w:t>
      </w:r>
      <w:r>
        <w:rPr>
          <w:rFonts w:hint="eastAsia" w:cs="Calibri" w:asciiTheme="minorEastAsia" w:hAnsiTheme="minorEastAsia" w:eastAsiaTheme="minorEastAsia"/>
          <w:kern w:val="0"/>
          <w:sz w:val="22"/>
        </w:rPr>
        <w:t>“</w:t>
      </w:r>
      <w:r>
        <w:rPr>
          <w:rFonts w:cs="Calibri" w:asciiTheme="minorEastAsia" w:hAnsiTheme="minorEastAsia" w:eastAsiaTheme="minorEastAsia"/>
          <w:kern w:val="0"/>
          <w:sz w:val="22"/>
        </w:rPr>
        <w:t>合同条款</w:t>
      </w:r>
      <w:r>
        <w:rPr>
          <w:rFonts w:hint="eastAsia" w:cs="Calibri" w:asciiTheme="minorEastAsia" w:hAnsiTheme="minorEastAsia" w:eastAsiaTheme="minorEastAsia"/>
          <w:kern w:val="0"/>
          <w:sz w:val="22"/>
        </w:rPr>
        <w:t>”</w:t>
      </w:r>
      <w:r>
        <w:rPr>
          <w:rFonts w:cs="Calibri" w:asciiTheme="minorEastAsia" w:hAnsiTheme="minorEastAsia" w:eastAsiaTheme="minorEastAsia"/>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eastAsiaTheme="minorEastAsia"/>
          <w:b/>
          <w:color w:val="000000"/>
          <w:kern w:val="0"/>
          <w:sz w:val="22"/>
        </w:rPr>
      </w:pPr>
      <w:r>
        <w:rPr>
          <w:rFonts w:hint="eastAsia" w:cs="Calibri" w:asciiTheme="minorEastAsia" w:hAnsiTheme="minorEastAsia" w:eastAsiaTheme="minorEastAsia"/>
          <w:color w:val="000000"/>
          <w:kern w:val="0"/>
          <w:sz w:val="22"/>
        </w:rPr>
        <w:t xml:space="preserve">7.4.3 </w:t>
      </w:r>
      <w:r>
        <w:rPr>
          <w:rFonts w:hint="eastAsia" w:cs="Calibri" w:asciiTheme="minorEastAsia" w:hAnsiTheme="minorEastAsia" w:eastAsiaTheme="minorEastAsia"/>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hint="eastAsia" w:cs="Calibri" w:asciiTheme="minorEastAsia" w:hAnsiTheme="minorEastAsia" w:eastAsiaTheme="minorEastAsia"/>
          <w:color w:val="000000"/>
          <w:kern w:val="0"/>
          <w:sz w:val="22"/>
        </w:rPr>
        <w:t xml:space="preserve">7.4.4 </w:t>
      </w:r>
      <w:r>
        <w:rPr>
          <w:rFonts w:hint="eastAsia" w:cs="Calibri" w:asciiTheme="minorEastAsia" w:hAnsiTheme="minorEastAsia" w:eastAsia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cs="Calibri" w:asciiTheme="minorEastAsia" w:hAnsiTheme="minorEastAsia" w:eastAsiaTheme="minorEastAsia"/>
          <w:b/>
          <w:bCs/>
          <w:kern w:val="0"/>
          <w:sz w:val="22"/>
        </w:rPr>
      </w:pPr>
      <w:r>
        <w:rPr>
          <w:rFonts w:cs="Calibri" w:asciiTheme="minorEastAsia" w:hAnsiTheme="minorEastAsia" w:eastAsiaTheme="minorEastAsia"/>
          <w:b/>
          <w:bCs/>
          <w:kern w:val="0"/>
          <w:sz w:val="22"/>
        </w:rPr>
        <w:t>8.重新招标和不再招标</w:t>
      </w:r>
      <w:bookmarkEnd w:id="81"/>
      <w:bookmarkEnd w:id="82"/>
      <w:bookmarkEnd w:id="83"/>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4" w:name="_Toc219809802"/>
      <w:bookmarkStart w:id="85" w:name="_Toc15553"/>
      <w:bookmarkStart w:id="86" w:name="_Toc220123242"/>
      <w:r>
        <w:rPr>
          <w:rFonts w:cs="Calibri" w:asciiTheme="minorEastAsia" w:hAnsiTheme="minorEastAsia" w:eastAsiaTheme="minorEastAsia"/>
          <w:b/>
          <w:bCs/>
          <w:kern w:val="0"/>
          <w:sz w:val="22"/>
        </w:rPr>
        <w:t>8.1 重新招标</w:t>
      </w:r>
      <w:bookmarkEnd w:id="84"/>
      <w:bookmarkEnd w:id="85"/>
      <w:bookmarkEnd w:id="8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有下列情形之一的，招标人将重新招标；</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cs="Calibri" w:asciiTheme="minorEastAsia" w:hAnsiTheme="minorEastAsia" w:eastAsiaTheme="minorEastAsia"/>
          <w:color w:val="000000"/>
          <w:kern w:val="0"/>
          <w:sz w:val="22"/>
        </w:rPr>
        <w:t>（1）投标截止时间止，投标人少于3个的；</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hint="eastAsia" w:cs="Calibri" w:asciiTheme="minorEastAsia" w:hAnsiTheme="minorEastAsia" w:eastAsiaTheme="minorEastAsia"/>
          <w:color w:val="000000"/>
          <w:kern w:val="0"/>
          <w:sz w:val="22"/>
        </w:rPr>
        <w:t>（2）</w:t>
      </w:r>
      <w:r>
        <w:rPr>
          <w:rFonts w:hint="eastAsia" w:asciiTheme="minorEastAsia" w:hAnsiTheme="minorEastAsia" w:eastAsiaTheme="minorEastAsia"/>
          <w:b/>
          <w:bCs/>
          <w:sz w:val="22"/>
        </w:rPr>
        <w:t>所有投标人的报价均偏高，招标人无法接受的；</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）经评标委员会评审后否决所有投标的。</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87" w:name="_Toc18806"/>
      <w:bookmarkStart w:id="88" w:name="_Toc220123243"/>
      <w:bookmarkStart w:id="89" w:name="_Toc219809803"/>
      <w:r>
        <w:rPr>
          <w:rFonts w:cs="Calibri" w:asciiTheme="minorEastAsia" w:hAnsiTheme="minorEastAsia" w:eastAsiaTheme="minorEastAsia"/>
          <w:b/>
          <w:bCs/>
          <w:kern w:val="0"/>
          <w:sz w:val="22"/>
        </w:rPr>
        <w:t>8.2 不再招标</w:t>
      </w:r>
      <w:bookmarkEnd w:id="87"/>
      <w:bookmarkEnd w:id="88"/>
      <w:bookmarkEnd w:id="8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重新招标后投标人仍少于3个或者所有投标被否决的，经批准后不再进行招标。</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0" w:name="_Toc215941254"/>
      <w:bookmarkStart w:id="91" w:name="_Toc219809804"/>
      <w:bookmarkStart w:id="92" w:name="_Toc220123244"/>
      <w:bookmarkStart w:id="93" w:name="_Toc2986"/>
      <w:r>
        <w:rPr>
          <w:rFonts w:cs="Calibri" w:asciiTheme="minorEastAsia" w:hAnsiTheme="minorEastAsia" w:eastAsiaTheme="minorEastAsia"/>
          <w:b/>
          <w:bCs/>
          <w:kern w:val="0"/>
          <w:sz w:val="22"/>
        </w:rPr>
        <w:t>9.纪律和监督</w:t>
      </w:r>
      <w:bookmarkEnd w:id="90"/>
      <w:bookmarkEnd w:id="91"/>
      <w:bookmarkEnd w:id="92"/>
      <w:bookmarkEnd w:id="93"/>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4" w:name="_Toc219809805"/>
      <w:bookmarkStart w:id="95" w:name="_Toc220123245"/>
      <w:bookmarkStart w:id="96" w:name="_Toc5509"/>
      <w:r>
        <w:rPr>
          <w:rFonts w:cs="Calibri" w:asciiTheme="minorEastAsia" w:hAnsiTheme="minorEastAsia" w:eastAsiaTheme="minorEastAsia"/>
          <w:b/>
          <w:bCs/>
          <w:kern w:val="0"/>
          <w:sz w:val="22"/>
        </w:rPr>
        <w:t>9.1 对招标人的纪律要求</w:t>
      </w:r>
      <w:bookmarkEnd w:id="94"/>
      <w:bookmarkEnd w:id="95"/>
      <w:bookmarkEnd w:id="96"/>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97" w:name="_Toc219809806"/>
      <w:bookmarkStart w:id="98" w:name="_Toc220123246"/>
      <w:bookmarkStart w:id="99" w:name="_Toc10820"/>
      <w:r>
        <w:rPr>
          <w:rFonts w:cs="Calibri" w:asciiTheme="minorEastAsia" w:hAnsiTheme="minorEastAsia" w:eastAsiaTheme="minorEastAsia"/>
          <w:b/>
          <w:bCs/>
          <w:kern w:val="0"/>
          <w:sz w:val="22"/>
        </w:rPr>
        <w:t>9.2 对投标人的纪律要求</w:t>
      </w:r>
      <w:bookmarkEnd w:id="97"/>
      <w:bookmarkEnd w:id="98"/>
      <w:bookmarkEnd w:id="9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eastAsiaTheme="minorEastAsia"/>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0" w:name="_Toc219809807"/>
      <w:bookmarkStart w:id="101" w:name="_Toc220123247"/>
      <w:bookmarkStart w:id="102" w:name="_Toc10756"/>
      <w:r>
        <w:rPr>
          <w:rFonts w:cs="Calibri" w:asciiTheme="minorEastAsia" w:hAnsiTheme="minorEastAsia" w:eastAsiaTheme="minorEastAsia"/>
          <w:b/>
          <w:bCs/>
          <w:kern w:val="0"/>
          <w:sz w:val="22"/>
        </w:rPr>
        <w:t>9.3 对评标委员会成员的纪律要求</w:t>
      </w:r>
      <w:bookmarkEnd w:id="100"/>
      <w:bookmarkEnd w:id="101"/>
      <w:bookmarkEnd w:id="102"/>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章“评标办法及标准”没有规定的评审因素和标准进行评标。</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3" w:name="_Toc219809808"/>
      <w:bookmarkStart w:id="104" w:name="_Toc220123248"/>
      <w:bookmarkStart w:id="105" w:name="_Toc12792"/>
      <w:r>
        <w:rPr>
          <w:rFonts w:cs="Calibri" w:asciiTheme="minorEastAsia" w:hAnsiTheme="minorEastAsia" w:eastAsiaTheme="minorEastAsia"/>
          <w:b/>
          <w:bCs/>
          <w:kern w:val="0"/>
          <w:sz w:val="22"/>
        </w:rPr>
        <w:t>9.4 对评标活动有关的工作人员的纪律要求</w:t>
      </w:r>
      <w:bookmarkEnd w:id="103"/>
      <w:bookmarkEnd w:id="104"/>
      <w:bookmarkEnd w:id="105"/>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6" w:name="_Toc219809809"/>
      <w:bookmarkStart w:id="107" w:name="_Toc220123249"/>
      <w:bookmarkStart w:id="108" w:name="_Toc239"/>
      <w:r>
        <w:rPr>
          <w:rFonts w:cs="Calibri" w:asciiTheme="minorEastAsia" w:hAnsiTheme="minorEastAsia" w:eastAsiaTheme="minorEastAsia"/>
          <w:b/>
          <w:bCs/>
          <w:kern w:val="0"/>
          <w:sz w:val="22"/>
        </w:rPr>
        <w:t>9.5 投诉</w:t>
      </w:r>
      <w:bookmarkEnd w:id="106"/>
      <w:bookmarkEnd w:id="107"/>
      <w:bookmarkEnd w:id="108"/>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cs="Calibri" w:asciiTheme="minorEastAsia" w:hAnsiTheme="minorEastAsia" w:eastAsiaTheme="minorEastAsia"/>
          <w:b/>
          <w:bCs/>
          <w:kern w:val="0"/>
          <w:sz w:val="22"/>
        </w:rPr>
      </w:pPr>
      <w:bookmarkStart w:id="109" w:name="_Toc10817"/>
      <w:r>
        <w:rPr>
          <w:rFonts w:cs="Calibri" w:asciiTheme="minorEastAsia" w:hAnsiTheme="minorEastAsia" w:eastAsiaTheme="minorEastAsia"/>
          <w:b/>
          <w:bCs/>
          <w:kern w:val="0"/>
          <w:sz w:val="22"/>
        </w:rPr>
        <w:t>10. 需要补充的其他内容</w:t>
      </w:r>
      <w:bookmarkEnd w:id="109"/>
    </w:p>
    <w:p>
      <w:pPr>
        <w:autoSpaceDE w:val="0"/>
        <w:autoSpaceDN w:val="0"/>
        <w:adjustRightInd w:val="0"/>
        <w:snapToGrid w:val="0"/>
        <w:spacing w:line="360" w:lineRule="exact"/>
        <w:ind w:firstLine="440" w:firstLineChars="200"/>
        <w:jc w:val="left"/>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需要补充的其他内容：见投标人须知前附表。</w:t>
      </w:r>
    </w:p>
    <w:p>
      <w:pPr>
        <w:pStyle w:val="2"/>
        <w:snapToGrid w:val="0"/>
        <w:spacing w:before="0" w:after="0" w:line="360" w:lineRule="exact"/>
        <w:rPr>
          <w:rFonts w:asciiTheme="minorEastAsia" w:hAnsiTheme="minorEastAsia" w:eastAsiaTheme="minorEastAsia"/>
          <w:sz w:val="22"/>
          <w:szCs w:val="22"/>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spacing w:line="440" w:lineRule="exact"/>
        <w:jc w:val="center"/>
        <w:rPr>
          <w:rFonts w:ascii="仿宋_GB2312" w:hAnsi="宋体" w:eastAsia="仿宋_GB2312"/>
          <w:b/>
          <w:sz w:val="28"/>
          <w:szCs w:val="28"/>
        </w:rPr>
      </w:pPr>
      <w:bookmarkStart w:id="110" w:name="_Toc223327527"/>
      <w:bookmarkStart w:id="111" w:name="_Toc213036227"/>
      <w:r>
        <w:rPr>
          <w:rFonts w:eastAsia="黑体" w:cs="Calibri"/>
          <w:kern w:val="0"/>
          <w:sz w:val="32"/>
        </w:rPr>
        <w:t>第</w:t>
      </w:r>
      <w:r>
        <w:rPr>
          <w:rFonts w:hint="eastAsia" w:eastAsia="黑体" w:cs="Calibri"/>
          <w:kern w:val="0"/>
          <w:sz w:val="32"/>
        </w:rPr>
        <w:t>三</w:t>
      </w:r>
      <w:r>
        <w:rPr>
          <w:rFonts w:eastAsia="黑体" w:cs="Calibri"/>
          <w:kern w:val="0"/>
          <w:sz w:val="32"/>
        </w:rPr>
        <w:t xml:space="preserve">章  </w:t>
      </w:r>
      <w:r>
        <w:rPr>
          <w:rFonts w:hint="eastAsia" w:eastAsia="黑体" w:cs="Calibri"/>
          <w:kern w:val="0"/>
          <w:sz w:val="32"/>
        </w:rPr>
        <w:t>服务内容及要求</w:t>
      </w:r>
    </w:p>
    <w:bookmarkEnd w:id="110"/>
    <w:bookmarkEnd w:id="111"/>
    <w:p>
      <w:pPr>
        <w:spacing w:line="360" w:lineRule="exact"/>
        <w:rPr>
          <w:rFonts w:ascii="宋体" w:hAnsi="宋体"/>
          <w:b/>
          <w:sz w:val="22"/>
        </w:rPr>
      </w:pPr>
      <w:bookmarkStart w:id="112" w:name="_Toc16587"/>
    </w:p>
    <w:p>
      <w:pPr>
        <w:pStyle w:val="124"/>
        <w:numPr>
          <w:ilvl w:val="0"/>
          <w:numId w:val="1"/>
        </w:numPr>
        <w:spacing w:line="360" w:lineRule="exact"/>
        <w:ind w:firstLineChars="0"/>
        <w:rPr>
          <w:rFonts w:asciiTheme="minorEastAsia" w:hAnsiTheme="minorEastAsia" w:eastAsiaTheme="minorEastAsia"/>
          <w:b/>
          <w:sz w:val="22"/>
        </w:rPr>
      </w:pPr>
      <w:r>
        <w:rPr>
          <w:rFonts w:asciiTheme="minorEastAsia" w:hAnsiTheme="minorEastAsia" w:eastAsiaTheme="minorEastAsia"/>
          <w:b/>
          <w:sz w:val="22"/>
        </w:rPr>
        <w:t>总 则</w:t>
      </w:r>
      <w:bookmarkEnd w:id="112"/>
    </w:p>
    <w:p>
      <w:pPr>
        <w:pStyle w:val="3"/>
        <w:numPr>
          <w:ilvl w:val="1"/>
          <w:numId w:val="0"/>
        </w:numPr>
        <w:tabs>
          <w:tab w:val="left" w:pos="718"/>
        </w:tabs>
        <w:spacing w:line="360" w:lineRule="exact"/>
        <w:ind w:left="718" w:hanging="576"/>
        <w:rPr>
          <w:rFonts w:asciiTheme="minorEastAsia" w:hAnsiTheme="minorEastAsia" w:eastAsiaTheme="minorEastAsia"/>
          <w:sz w:val="22"/>
          <w:szCs w:val="22"/>
        </w:rPr>
      </w:pPr>
      <w:bookmarkStart w:id="113" w:name="_Toc492306223"/>
      <w:bookmarkStart w:id="114" w:name="_Toc18677"/>
      <w:r>
        <w:rPr>
          <w:rFonts w:hint="eastAsia" w:asciiTheme="minorEastAsia" w:hAnsiTheme="minorEastAsia" w:eastAsiaTheme="minorEastAsia"/>
          <w:sz w:val="22"/>
          <w:szCs w:val="22"/>
        </w:rPr>
        <w:t>1.1</w:t>
      </w:r>
      <w:r>
        <w:rPr>
          <w:rFonts w:asciiTheme="minorEastAsia" w:hAnsiTheme="minorEastAsia" w:eastAsiaTheme="minorEastAsia"/>
          <w:sz w:val="22"/>
          <w:szCs w:val="22"/>
        </w:rPr>
        <w:t>项目背景</w:t>
      </w:r>
      <w:bookmarkEnd w:id="113"/>
      <w:bookmarkEnd w:id="114"/>
    </w:p>
    <w:p>
      <w:pPr>
        <w:spacing w:line="360" w:lineRule="exact"/>
        <w:ind w:firstLine="440" w:firstLineChars="200"/>
        <w:rPr>
          <w:rFonts w:asciiTheme="minorEastAsia" w:hAnsiTheme="minorEastAsia" w:eastAsiaTheme="minorEastAsia"/>
          <w:sz w:val="22"/>
        </w:rPr>
      </w:pPr>
      <w:r>
        <w:rPr>
          <w:rFonts w:hint="eastAsia" w:asciiTheme="minorEastAsia" w:hAnsiTheme="minorEastAsia" w:eastAsiaTheme="minorEastAsia"/>
          <w:sz w:val="22"/>
        </w:rPr>
        <w:t>浙江省机场集团有限公司已于2017年11月17日正式揭牌成立。为进一步建设民航强省，打造航空大平台，现需加强市场及航线分析，提升浙江省内各机场，包括杭州、温州、宁波、舟山、衢州、台州、义乌等机场的航空通达性，进一步助力市场开拓。</w:t>
      </w:r>
    </w:p>
    <w:p>
      <w:pPr>
        <w:pStyle w:val="3"/>
        <w:numPr>
          <w:ilvl w:val="1"/>
          <w:numId w:val="0"/>
        </w:numPr>
        <w:tabs>
          <w:tab w:val="left" w:pos="718"/>
        </w:tabs>
        <w:spacing w:line="360" w:lineRule="exact"/>
        <w:ind w:left="718" w:hanging="576"/>
        <w:rPr>
          <w:rFonts w:asciiTheme="minorEastAsia" w:hAnsiTheme="minorEastAsia" w:eastAsiaTheme="minorEastAsia"/>
          <w:color w:val="000000"/>
          <w:sz w:val="22"/>
          <w:szCs w:val="22"/>
        </w:rPr>
      </w:pPr>
      <w:bookmarkStart w:id="115" w:name="_Toc5260"/>
      <w:bookmarkStart w:id="116" w:name="_Toc492306224"/>
      <w:r>
        <w:rPr>
          <w:rFonts w:hint="eastAsia" w:asciiTheme="minorEastAsia" w:hAnsiTheme="minorEastAsia" w:eastAsiaTheme="minorEastAsia"/>
          <w:color w:val="000000"/>
          <w:sz w:val="22"/>
          <w:szCs w:val="22"/>
        </w:rPr>
        <w:t>1.2</w:t>
      </w:r>
      <w:r>
        <w:rPr>
          <w:rFonts w:asciiTheme="minorEastAsia" w:hAnsiTheme="minorEastAsia" w:eastAsiaTheme="minorEastAsia"/>
          <w:color w:val="000000"/>
          <w:sz w:val="22"/>
          <w:szCs w:val="22"/>
        </w:rPr>
        <w:t>招标范围</w:t>
      </w:r>
      <w:bookmarkEnd w:id="115"/>
      <w:bookmarkEnd w:id="116"/>
    </w:p>
    <w:p>
      <w:pPr>
        <w:pStyle w:val="130"/>
        <w:tabs>
          <w:tab w:val="left" w:pos="851"/>
          <w:tab w:val="left" w:pos="8295"/>
        </w:tabs>
        <w:spacing w:line="360" w:lineRule="exact"/>
        <w:ind w:firstLine="440"/>
        <w:rPr>
          <w:rFonts w:asciiTheme="minorEastAsia" w:hAnsiTheme="minorEastAsia" w:eastAsiaTheme="minorEastAsia"/>
          <w:sz w:val="22"/>
        </w:rPr>
      </w:pPr>
      <w:r>
        <w:rPr>
          <w:rFonts w:hint="eastAsia" w:asciiTheme="minorEastAsia" w:hAnsiTheme="minorEastAsia" w:eastAsiaTheme="minorEastAsia"/>
          <w:sz w:val="22"/>
        </w:rPr>
        <w:t>1）</w:t>
      </w:r>
      <w:r>
        <w:rPr>
          <w:rFonts w:asciiTheme="minorEastAsia" w:hAnsiTheme="minorEastAsia" w:eastAsiaTheme="minorEastAsia"/>
          <w:sz w:val="22"/>
        </w:rPr>
        <w:t>提供</w:t>
      </w:r>
      <w:r>
        <w:rPr>
          <w:rFonts w:hint="eastAsia" w:asciiTheme="minorEastAsia" w:hAnsiTheme="minorEastAsia" w:eastAsiaTheme="minorEastAsia"/>
          <w:sz w:val="22"/>
        </w:rPr>
        <w:t>全球旅客（货邮）流量流向、运力安排及分析、中转机场等机会分析</w:t>
      </w:r>
    </w:p>
    <w:p>
      <w:pPr>
        <w:pStyle w:val="130"/>
        <w:tabs>
          <w:tab w:val="left" w:pos="851"/>
          <w:tab w:val="left" w:pos="8295"/>
        </w:tabs>
        <w:spacing w:line="360" w:lineRule="exact"/>
        <w:ind w:firstLine="440"/>
        <w:rPr>
          <w:rFonts w:asciiTheme="minorEastAsia" w:hAnsiTheme="minorEastAsia" w:eastAsiaTheme="minorEastAsia"/>
          <w:sz w:val="22"/>
        </w:rPr>
      </w:pPr>
      <w:r>
        <w:rPr>
          <w:rFonts w:hint="eastAsia" w:asciiTheme="minorEastAsia" w:hAnsiTheme="minorEastAsia" w:eastAsiaTheme="minorEastAsia"/>
          <w:sz w:val="22"/>
        </w:rPr>
        <w:t>2）提供现有航线销售数据、收益情况分析及新航线设计、现有航线加密等评估服务</w:t>
      </w:r>
    </w:p>
    <w:p>
      <w:pPr>
        <w:pStyle w:val="130"/>
        <w:tabs>
          <w:tab w:val="left" w:pos="851"/>
          <w:tab w:val="left" w:pos="8295"/>
        </w:tabs>
        <w:spacing w:line="360" w:lineRule="exact"/>
        <w:ind w:firstLine="440"/>
        <w:rPr>
          <w:rFonts w:asciiTheme="minorEastAsia" w:hAnsiTheme="minorEastAsia" w:eastAsiaTheme="minorEastAsia"/>
          <w:sz w:val="22"/>
        </w:rPr>
      </w:pPr>
    </w:p>
    <w:p>
      <w:pPr>
        <w:pStyle w:val="3"/>
        <w:numPr>
          <w:ilvl w:val="1"/>
          <w:numId w:val="0"/>
        </w:numPr>
        <w:tabs>
          <w:tab w:val="left" w:pos="718"/>
        </w:tabs>
        <w:spacing w:line="360" w:lineRule="exact"/>
        <w:ind w:left="718" w:hanging="576"/>
        <w:rPr>
          <w:rFonts w:asciiTheme="minorEastAsia" w:hAnsiTheme="minorEastAsia" w:eastAsiaTheme="minorEastAsia"/>
          <w:sz w:val="22"/>
          <w:szCs w:val="22"/>
        </w:rPr>
      </w:pPr>
      <w:bookmarkStart w:id="117" w:name="_Toc20417"/>
      <w:bookmarkStart w:id="118" w:name="_Toc492306225"/>
      <w:r>
        <w:rPr>
          <w:rFonts w:hint="eastAsia" w:asciiTheme="minorEastAsia" w:hAnsiTheme="minorEastAsia" w:eastAsiaTheme="minorEastAsia"/>
          <w:sz w:val="22"/>
          <w:szCs w:val="22"/>
        </w:rPr>
        <w:t>1.3</w:t>
      </w:r>
      <w:r>
        <w:rPr>
          <w:rFonts w:asciiTheme="minorEastAsia" w:hAnsiTheme="minorEastAsia" w:eastAsiaTheme="minorEastAsia"/>
          <w:sz w:val="22"/>
          <w:szCs w:val="22"/>
        </w:rPr>
        <w:t>项目目标</w:t>
      </w:r>
      <w:bookmarkEnd w:id="117"/>
      <w:bookmarkEnd w:id="118"/>
    </w:p>
    <w:p>
      <w:pPr>
        <w:spacing w:line="360" w:lineRule="exact"/>
        <w:ind w:firstLine="440" w:firstLineChars="200"/>
        <w:rPr>
          <w:rFonts w:asciiTheme="minorEastAsia" w:hAnsiTheme="minorEastAsia" w:eastAsiaTheme="minorEastAsia"/>
          <w:sz w:val="22"/>
        </w:rPr>
      </w:pPr>
      <w:r>
        <w:rPr>
          <w:rFonts w:hint="eastAsia" w:asciiTheme="minorEastAsia" w:hAnsiTheme="minorEastAsia" w:eastAsiaTheme="minorEastAsia"/>
          <w:sz w:val="22"/>
        </w:rPr>
        <w:t>全球航空市场数据服务</w:t>
      </w:r>
      <w:r>
        <w:rPr>
          <w:rFonts w:asciiTheme="minorEastAsia" w:hAnsiTheme="minorEastAsia" w:eastAsiaTheme="minorEastAsia"/>
          <w:sz w:val="22"/>
        </w:rPr>
        <w:t>主要实现以下目标</w:t>
      </w:r>
      <w:r>
        <w:rPr>
          <w:rFonts w:hint="eastAsia" w:asciiTheme="minorEastAsia" w:hAnsiTheme="minorEastAsia" w:eastAsiaTheme="minorEastAsia"/>
          <w:sz w:val="22"/>
        </w:rPr>
        <w:t>（包括但不限于）</w:t>
      </w:r>
      <w:r>
        <w:rPr>
          <w:rFonts w:asciiTheme="minorEastAsia" w:hAnsiTheme="minorEastAsia" w:eastAsiaTheme="minorEastAsia"/>
          <w:sz w:val="22"/>
        </w:rPr>
        <w:t>：</w:t>
      </w:r>
    </w:p>
    <w:p>
      <w:pPr>
        <w:pStyle w:val="139"/>
        <w:spacing w:line="360" w:lineRule="exact"/>
        <w:ind w:firstLine="440"/>
        <w:rPr>
          <w:rFonts w:asciiTheme="minorEastAsia" w:hAnsiTheme="minorEastAsia" w:eastAsiaTheme="minorEastAsia"/>
          <w:sz w:val="22"/>
        </w:rPr>
      </w:pPr>
      <w:r>
        <w:rPr>
          <w:rFonts w:hint="eastAsia" w:asciiTheme="minorEastAsia" w:hAnsiTheme="minorEastAsia" w:eastAsiaTheme="minorEastAsia"/>
          <w:sz w:val="22"/>
        </w:rPr>
        <w:t>1）旅客（货运）流量流向分析</w:t>
      </w:r>
    </w:p>
    <w:p>
      <w:pPr>
        <w:spacing w:line="360" w:lineRule="exact"/>
        <w:ind w:firstLine="440" w:firstLineChars="200"/>
        <w:rPr>
          <w:rFonts w:asciiTheme="minorEastAsia" w:hAnsiTheme="minorEastAsia" w:eastAsiaTheme="minorEastAsia"/>
          <w:sz w:val="22"/>
        </w:rPr>
      </w:pPr>
      <w:r>
        <w:rPr>
          <w:rFonts w:hint="eastAsia" w:asciiTheme="minorEastAsia" w:hAnsiTheme="minorEastAsia" w:eastAsiaTheme="minorEastAsia"/>
          <w:sz w:val="22"/>
        </w:rPr>
        <w:t>提供至少近5年内的全球航空市场旅客流量及流向（包括总流量，各航段、中转点流量，客座率、客源流失信息、始发地目的地客源等）数据</w:t>
      </w:r>
      <w:r>
        <w:rPr>
          <w:rFonts w:asciiTheme="minorEastAsia" w:hAnsiTheme="minorEastAsia" w:eastAsiaTheme="minorEastAsia"/>
          <w:sz w:val="22"/>
        </w:rPr>
        <w:t>；</w:t>
      </w:r>
    </w:p>
    <w:p>
      <w:pPr>
        <w:pStyle w:val="139"/>
        <w:spacing w:line="360" w:lineRule="exact"/>
        <w:ind w:left="480" w:firstLine="0" w:firstLineChars="0"/>
        <w:rPr>
          <w:rFonts w:asciiTheme="minorEastAsia" w:hAnsiTheme="minorEastAsia" w:eastAsiaTheme="minorEastAsia"/>
          <w:sz w:val="22"/>
        </w:rPr>
      </w:pPr>
      <w:r>
        <w:rPr>
          <w:rFonts w:hint="eastAsia" w:asciiTheme="minorEastAsia" w:hAnsiTheme="minorEastAsia" w:eastAsiaTheme="minorEastAsia"/>
          <w:sz w:val="22"/>
        </w:rPr>
        <w:t>2）运力分析</w:t>
      </w:r>
    </w:p>
    <w:p>
      <w:pPr>
        <w:spacing w:line="360" w:lineRule="exact"/>
        <w:ind w:firstLine="440" w:firstLineChars="200"/>
        <w:rPr>
          <w:rFonts w:asciiTheme="minorEastAsia" w:hAnsiTheme="minorEastAsia" w:eastAsiaTheme="minorEastAsia"/>
          <w:sz w:val="22"/>
        </w:rPr>
      </w:pPr>
      <w:r>
        <w:rPr>
          <w:rFonts w:hint="eastAsia" w:asciiTheme="minorEastAsia" w:hAnsiTheme="minorEastAsia" w:eastAsiaTheme="minorEastAsia"/>
          <w:sz w:val="22"/>
        </w:rPr>
        <w:t>提供至少近5年内的全球航班运营航班计划、班次、座位数、机型等相关信息</w:t>
      </w:r>
      <w:r>
        <w:rPr>
          <w:rFonts w:asciiTheme="minorEastAsia" w:hAnsiTheme="minorEastAsia" w:eastAsiaTheme="minorEastAsia"/>
          <w:sz w:val="22"/>
        </w:rPr>
        <w:t>；</w:t>
      </w:r>
    </w:p>
    <w:p>
      <w:pPr>
        <w:pStyle w:val="139"/>
        <w:spacing w:line="360" w:lineRule="exact"/>
        <w:ind w:left="480" w:firstLine="0" w:firstLineChars="0"/>
        <w:rPr>
          <w:rFonts w:asciiTheme="minorEastAsia" w:hAnsiTheme="minorEastAsia" w:eastAsiaTheme="minorEastAsia"/>
          <w:sz w:val="22"/>
        </w:rPr>
      </w:pPr>
      <w:r>
        <w:rPr>
          <w:rFonts w:hint="eastAsia" w:asciiTheme="minorEastAsia" w:hAnsiTheme="minorEastAsia" w:eastAsiaTheme="minorEastAsia"/>
          <w:sz w:val="22"/>
        </w:rPr>
        <w:t>3）收益销售数据分析</w:t>
      </w:r>
    </w:p>
    <w:p>
      <w:pPr>
        <w:pStyle w:val="139"/>
        <w:spacing w:line="360" w:lineRule="exact"/>
        <w:ind w:firstLineChars="0"/>
        <w:rPr>
          <w:rFonts w:asciiTheme="minorEastAsia" w:hAnsiTheme="minorEastAsia" w:eastAsiaTheme="minorEastAsia"/>
          <w:sz w:val="22"/>
        </w:rPr>
      </w:pPr>
      <w:r>
        <w:rPr>
          <w:rFonts w:hint="eastAsia" w:asciiTheme="minorEastAsia" w:hAnsiTheme="minorEastAsia" w:eastAsiaTheme="minorEastAsia"/>
          <w:sz w:val="22"/>
        </w:rPr>
        <w:t>提供至少近5年内的全球航班各航段的舱位信息、平均票价信息、座公里收益、实际结算旅客数量等数据</w:t>
      </w:r>
    </w:p>
    <w:p>
      <w:pPr>
        <w:spacing w:line="360" w:lineRule="exact"/>
        <w:rPr>
          <w:rFonts w:asciiTheme="minorEastAsia" w:hAnsiTheme="minorEastAsia" w:eastAsiaTheme="minorEastAsia"/>
          <w:sz w:val="22"/>
        </w:rPr>
      </w:pPr>
      <w:r>
        <w:rPr>
          <w:rFonts w:asciiTheme="minorEastAsia" w:hAnsiTheme="minorEastAsia" w:eastAsiaTheme="minorEastAsia"/>
          <w:sz w:val="22"/>
        </w:rPr>
        <w:t xml:space="preserve">  </w:t>
      </w:r>
    </w:p>
    <w:p>
      <w:pPr>
        <w:pStyle w:val="3"/>
        <w:numPr>
          <w:ilvl w:val="1"/>
          <w:numId w:val="0"/>
        </w:numPr>
        <w:tabs>
          <w:tab w:val="left" w:pos="718"/>
        </w:tabs>
        <w:spacing w:line="360" w:lineRule="exact"/>
        <w:ind w:left="718" w:hanging="576"/>
        <w:rPr>
          <w:rFonts w:asciiTheme="minorEastAsia" w:hAnsiTheme="minorEastAsia" w:eastAsiaTheme="minorEastAsia"/>
          <w:color w:val="000000"/>
          <w:sz w:val="22"/>
          <w:szCs w:val="22"/>
        </w:rPr>
      </w:pPr>
      <w:bookmarkStart w:id="119" w:name="_Toc15331"/>
      <w:bookmarkStart w:id="120" w:name="_Toc492306226"/>
      <w:r>
        <w:rPr>
          <w:rFonts w:hint="eastAsia" w:asciiTheme="minorEastAsia" w:hAnsiTheme="minorEastAsia" w:eastAsiaTheme="minorEastAsia"/>
          <w:color w:val="000000"/>
          <w:sz w:val="22"/>
          <w:szCs w:val="22"/>
        </w:rPr>
        <w:t>1.4</w:t>
      </w:r>
      <w:r>
        <w:rPr>
          <w:rFonts w:asciiTheme="minorEastAsia" w:hAnsiTheme="minorEastAsia" w:eastAsiaTheme="minorEastAsia"/>
          <w:color w:val="000000"/>
          <w:sz w:val="22"/>
          <w:szCs w:val="22"/>
        </w:rPr>
        <w:t>项目要求</w:t>
      </w:r>
      <w:bookmarkEnd w:id="119"/>
      <w:bookmarkEnd w:id="120"/>
    </w:p>
    <w:p>
      <w:pPr>
        <w:pStyle w:val="130"/>
        <w:tabs>
          <w:tab w:val="left" w:pos="851"/>
          <w:tab w:val="left" w:pos="8295"/>
        </w:tabs>
        <w:spacing w:line="360" w:lineRule="exact"/>
        <w:ind w:firstLine="440"/>
        <w:rPr>
          <w:rFonts w:asciiTheme="minorEastAsia" w:hAnsiTheme="minorEastAsia" w:eastAsiaTheme="minorEastAsia"/>
          <w:sz w:val="22"/>
        </w:rPr>
      </w:pPr>
      <w:r>
        <w:rPr>
          <w:rFonts w:hint="eastAsia" w:asciiTheme="minorEastAsia" w:hAnsiTheme="minorEastAsia" w:eastAsiaTheme="minorEastAsia"/>
          <w:sz w:val="22"/>
        </w:rPr>
        <w:t>1）中标人提供5个系统操作账户，费用包含在投标总价内，不得额外增加费用。</w:t>
      </w:r>
    </w:p>
    <w:p>
      <w:pPr>
        <w:pStyle w:val="130"/>
        <w:tabs>
          <w:tab w:val="left" w:pos="851"/>
          <w:tab w:val="left" w:pos="8295"/>
        </w:tabs>
        <w:spacing w:line="360" w:lineRule="exact"/>
        <w:ind w:firstLine="440"/>
        <w:rPr>
          <w:rFonts w:asciiTheme="minorEastAsia" w:hAnsiTheme="minorEastAsia" w:eastAsiaTheme="minorEastAsia"/>
          <w:sz w:val="22"/>
        </w:rPr>
      </w:pPr>
      <w:r>
        <w:rPr>
          <w:rFonts w:hint="eastAsia" w:asciiTheme="minorEastAsia" w:hAnsiTheme="minorEastAsia" w:eastAsiaTheme="minorEastAsia"/>
          <w:sz w:val="22"/>
        </w:rPr>
        <w:t>2）系统所提供的数据原则上不超过2-3个月的滞后</w:t>
      </w:r>
    </w:p>
    <w:p>
      <w:pPr>
        <w:pStyle w:val="3"/>
        <w:numPr>
          <w:ilvl w:val="1"/>
          <w:numId w:val="0"/>
        </w:numPr>
        <w:tabs>
          <w:tab w:val="left" w:pos="718"/>
        </w:tabs>
        <w:spacing w:line="360" w:lineRule="exact"/>
        <w:ind w:left="718" w:hanging="576"/>
        <w:rPr>
          <w:rFonts w:asciiTheme="minorEastAsia" w:hAnsiTheme="minorEastAsia" w:eastAsiaTheme="minorEastAsia"/>
          <w:sz w:val="22"/>
          <w:szCs w:val="22"/>
        </w:rPr>
      </w:pPr>
      <w:bookmarkStart w:id="121" w:name="_Toc492306227"/>
      <w:bookmarkStart w:id="122" w:name="_Toc31621"/>
      <w:r>
        <w:rPr>
          <w:rFonts w:hint="eastAsia" w:asciiTheme="minorEastAsia" w:hAnsiTheme="minorEastAsia" w:eastAsiaTheme="minorEastAsia"/>
          <w:sz w:val="22"/>
          <w:szCs w:val="22"/>
        </w:rPr>
        <w:t>1.5</w:t>
      </w:r>
      <w:r>
        <w:rPr>
          <w:rFonts w:asciiTheme="minorEastAsia" w:hAnsiTheme="minorEastAsia" w:eastAsiaTheme="minorEastAsia"/>
          <w:sz w:val="22"/>
          <w:szCs w:val="22"/>
        </w:rPr>
        <w:t>培训及文档</w:t>
      </w:r>
      <w:bookmarkEnd w:id="121"/>
      <w:bookmarkEnd w:id="122"/>
    </w:p>
    <w:p>
      <w:pPr>
        <w:pStyle w:val="130"/>
        <w:tabs>
          <w:tab w:val="left" w:pos="851"/>
          <w:tab w:val="left" w:pos="8295"/>
        </w:tabs>
        <w:spacing w:line="360" w:lineRule="exact"/>
        <w:ind w:firstLine="440"/>
        <w:rPr>
          <w:rFonts w:asciiTheme="minorEastAsia" w:hAnsiTheme="minorEastAsia" w:eastAsiaTheme="minorEastAsia"/>
          <w:sz w:val="22"/>
        </w:rPr>
      </w:pPr>
      <w:r>
        <w:rPr>
          <w:rFonts w:asciiTheme="minorEastAsia" w:hAnsiTheme="minorEastAsia" w:eastAsiaTheme="minorEastAsia"/>
          <w:sz w:val="22"/>
        </w:rPr>
        <w:t>须提供详细的</w:t>
      </w:r>
      <w:r>
        <w:rPr>
          <w:rFonts w:hint="eastAsia" w:asciiTheme="minorEastAsia" w:hAnsiTheme="minorEastAsia" w:eastAsiaTheme="minorEastAsia"/>
          <w:sz w:val="22"/>
        </w:rPr>
        <w:t>中文</w:t>
      </w:r>
      <w:r>
        <w:rPr>
          <w:rFonts w:asciiTheme="minorEastAsia" w:hAnsiTheme="minorEastAsia" w:eastAsiaTheme="minorEastAsia"/>
          <w:sz w:val="22"/>
        </w:rPr>
        <w:t>使用操作手册。提供方式包括电子版（微软Office格式或PDF格式）、纸质（</w:t>
      </w:r>
      <w:r>
        <w:rPr>
          <w:rFonts w:hint="eastAsia" w:asciiTheme="minorEastAsia" w:hAnsiTheme="minorEastAsia" w:eastAsiaTheme="minorEastAsia"/>
          <w:sz w:val="22"/>
        </w:rPr>
        <w:t>8</w:t>
      </w:r>
      <w:r>
        <w:rPr>
          <w:rFonts w:asciiTheme="minorEastAsia" w:hAnsiTheme="minorEastAsia" w:eastAsiaTheme="minorEastAsia"/>
          <w:sz w:val="22"/>
        </w:rPr>
        <w:t>套）。</w:t>
      </w:r>
    </w:p>
    <w:p>
      <w:pPr>
        <w:pStyle w:val="3"/>
        <w:numPr>
          <w:ilvl w:val="1"/>
          <w:numId w:val="0"/>
        </w:numPr>
        <w:tabs>
          <w:tab w:val="left" w:pos="718"/>
        </w:tabs>
        <w:spacing w:line="360" w:lineRule="exact"/>
        <w:ind w:left="718" w:hanging="576"/>
        <w:rPr>
          <w:rFonts w:asciiTheme="minorEastAsia" w:hAnsiTheme="minorEastAsia" w:eastAsiaTheme="minorEastAsia"/>
          <w:sz w:val="22"/>
          <w:szCs w:val="22"/>
        </w:rPr>
      </w:pPr>
      <w:bookmarkStart w:id="123" w:name="_Toc492306228"/>
      <w:bookmarkStart w:id="124" w:name="_Toc27735"/>
      <w:r>
        <w:rPr>
          <w:rFonts w:hint="eastAsia" w:asciiTheme="minorEastAsia" w:hAnsiTheme="minorEastAsia" w:eastAsiaTheme="minorEastAsia"/>
          <w:sz w:val="22"/>
          <w:szCs w:val="22"/>
        </w:rPr>
        <w:t>1.6售前、</w:t>
      </w:r>
      <w:r>
        <w:rPr>
          <w:rFonts w:asciiTheme="minorEastAsia" w:hAnsiTheme="minorEastAsia" w:eastAsiaTheme="minorEastAsia"/>
          <w:sz w:val="22"/>
          <w:szCs w:val="22"/>
        </w:rPr>
        <w:t>保修、售后服务</w:t>
      </w:r>
      <w:bookmarkEnd w:id="123"/>
      <w:bookmarkEnd w:id="124"/>
    </w:p>
    <w:p>
      <w:pPr>
        <w:pStyle w:val="130"/>
        <w:tabs>
          <w:tab w:val="left" w:pos="1280"/>
        </w:tabs>
        <w:spacing w:line="360" w:lineRule="exact"/>
        <w:ind w:firstLine="418" w:firstLineChars="190"/>
        <w:rPr>
          <w:rFonts w:asciiTheme="minorEastAsia" w:hAnsiTheme="minorEastAsia" w:eastAsiaTheme="minorEastAsia"/>
          <w:sz w:val="22"/>
        </w:rPr>
      </w:pPr>
      <w:r>
        <w:rPr>
          <w:rFonts w:hint="eastAsia" w:asciiTheme="minorEastAsia" w:hAnsiTheme="minorEastAsia" w:eastAsiaTheme="minorEastAsia"/>
          <w:sz w:val="22"/>
        </w:rPr>
        <w:t>1）标书中需包括相应培训计划。</w:t>
      </w:r>
    </w:p>
    <w:p>
      <w:pPr>
        <w:pStyle w:val="130"/>
        <w:tabs>
          <w:tab w:val="left" w:pos="851"/>
          <w:tab w:val="left" w:pos="8295"/>
        </w:tabs>
        <w:spacing w:line="360" w:lineRule="exact"/>
        <w:ind w:firstLine="418" w:firstLineChars="190"/>
        <w:rPr>
          <w:rFonts w:asciiTheme="minorEastAsia" w:hAnsiTheme="minorEastAsia" w:eastAsiaTheme="minorEastAsia"/>
          <w:sz w:val="22"/>
        </w:rPr>
      </w:pPr>
      <w:r>
        <w:rPr>
          <w:rFonts w:hint="eastAsia" w:asciiTheme="minorEastAsia" w:hAnsiTheme="minorEastAsia" w:eastAsiaTheme="minorEastAsia"/>
          <w:sz w:val="22"/>
        </w:rPr>
        <w:t>2）</w:t>
      </w:r>
      <w:r>
        <w:rPr>
          <w:rFonts w:asciiTheme="minorEastAsia" w:hAnsiTheme="minorEastAsia" w:eastAsiaTheme="minorEastAsia"/>
          <w:sz w:val="22"/>
        </w:rPr>
        <w:t>保修期内，维修系统所发生的费用，由承包商负责（应由业主负责的因素除外）。</w:t>
      </w:r>
    </w:p>
    <w:p>
      <w:pPr>
        <w:pStyle w:val="130"/>
        <w:tabs>
          <w:tab w:val="left" w:pos="851"/>
          <w:tab w:val="left" w:pos="8295"/>
        </w:tabs>
        <w:spacing w:line="360" w:lineRule="exact"/>
        <w:ind w:firstLine="440"/>
        <w:rPr>
          <w:rFonts w:asciiTheme="minorEastAsia" w:hAnsiTheme="minorEastAsia" w:eastAsiaTheme="minorEastAsia"/>
          <w:sz w:val="22"/>
        </w:rPr>
      </w:pPr>
      <w:r>
        <w:rPr>
          <w:rFonts w:hint="eastAsia" w:asciiTheme="minorEastAsia" w:hAnsiTheme="minorEastAsia" w:eastAsiaTheme="minorEastAsia"/>
          <w:sz w:val="22"/>
        </w:rPr>
        <w:t>3）</w:t>
      </w:r>
      <w:r>
        <w:rPr>
          <w:rFonts w:asciiTheme="minorEastAsia" w:hAnsiTheme="minorEastAsia" w:eastAsiaTheme="minorEastAsia"/>
          <w:sz w:val="22"/>
        </w:rPr>
        <w:t>中标人必须设立售后服务机构，接报修电话24小时可用。接到报修电话后立即开始修复工作，修复时间不得超过24小时。投标人在投标方案中应考虑远程维护方案，所需设备应纳入投标设备清单。</w:t>
      </w:r>
    </w:p>
    <w:p>
      <w:pPr>
        <w:pStyle w:val="130"/>
        <w:tabs>
          <w:tab w:val="left" w:pos="851"/>
          <w:tab w:val="left" w:pos="8295"/>
        </w:tabs>
        <w:spacing w:line="360" w:lineRule="exact"/>
        <w:ind w:firstLine="440"/>
        <w:rPr>
          <w:rFonts w:asciiTheme="minorEastAsia" w:hAnsiTheme="minorEastAsia" w:eastAsiaTheme="minorEastAsia"/>
          <w:sz w:val="22"/>
        </w:rPr>
      </w:pPr>
      <w:r>
        <w:rPr>
          <w:rFonts w:hint="eastAsia" w:asciiTheme="minorEastAsia" w:hAnsiTheme="minorEastAsia" w:eastAsiaTheme="minorEastAsia"/>
          <w:sz w:val="22"/>
        </w:rPr>
        <w:t>4）</w:t>
      </w:r>
      <w:r>
        <w:rPr>
          <w:rFonts w:asciiTheme="minorEastAsia" w:hAnsiTheme="minorEastAsia" w:eastAsiaTheme="minorEastAsia"/>
          <w:sz w:val="22"/>
        </w:rPr>
        <w:t>保修期内中标人每年至少两次派技术人员到现场对系统进行健康检查维护，每季度至少一次远程对系统进行健康检查维护。</w:t>
      </w:r>
    </w:p>
    <w:p>
      <w:pPr>
        <w:pStyle w:val="130"/>
        <w:tabs>
          <w:tab w:val="left" w:pos="851"/>
          <w:tab w:val="left" w:pos="8295"/>
        </w:tabs>
        <w:spacing w:line="360" w:lineRule="exact"/>
        <w:ind w:firstLine="440"/>
        <w:rPr>
          <w:rFonts w:asciiTheme="minorEastAsia" w:hAnsiTheme="minorEastAsia" w:eastAsiaTheme="minorEastAsia"/>
          <w:sz w:val="22"/>
        </w:rPr>
      </w:pPr>
      <w:r>
        <w:rPr>
          <w:rFonts w:hint="eastAsia" w:asciiTheme="minorEastAsia" w:hAnsiTheme="minorEastAsia" w:eastAsiaTheme="minorEastAsia"/>
          <w:sz w:val="22"/>
        </w:rPr>
        <w:t>5）中标人根据招标人需求每年至少提供2次对系统操作等方面的培训</w:t>
      </w:r>
    </w:p>
    <w:p>
      <w:pPr>
        <w:pStyle w:val="130"/>
        <w:tabs>
          <w:tab w:val="left" w:pos="851"/>
          <w:tab w:val="left" w:pos="8295"/>
        </w:tabs>
        <w:spacing w:line="360" w:lineRule="exact"/>
        <w:ind w:firstLine="440"/>
        <w:rPr>
          <w:rFonts w:asciiTheme="minorEastAsia" w:hAnsiTheme="minorEastAsia" w:eastAsiaTheme="minorEastAsia"/>
          <w:sz w:val="22"/>
        </w:rPr>
      </w:pPr>
      <w:r>
        <w:rPr>
          <w:rFonts w:hint="eastAsia" w:asciiTheme="minorEastAsia" w:hAnsiTheme="minorEastAsia" w:eastAsiaTheme="minorEastAsia"/>
          <w:sz w:val="22"/>
        </w:rPr>
        <w:t>6）在投标人的投标总价内，应包含可提供的免费增值服务，并详细做出说明</w:t>
      </w:r>
    </w:p>
    <w:p>
      <w:pPr>
        <w:pStyle w:val="130"/>
        <w:tabs>
          <w:tab w:val="left" w:pos="851"/>
          <w:tab w:val="left" w:pos="8295"/>
        </w:tabs>
        <w:spacing w:line="360" w:lineRule="exact"/>
        <w:ind w:firstLine="440"/>
        <w:rPr>
          <w:rFonts w:asciiTheme="minorEastAsia" w:hAnsiTheme="minorEastAsia" w:eastAsiaTheme="minorEastAsia"/>
          <w:sz w:val="22"/>
        </w:rPr>
      </w:pPr>
    </w:p>
    <w:p>
      <w:pPr>
        <w:spacing w:line="360" w:lineRule="exact"/>
        <w:rPr>
          <w:rFonts w:asciiTheme="minorEastAsia" w:hAnsiTheme="minorEastAsia" w:eastAsiaTheme="minorEastAsia"/>
          <w:sz w:val="22"/>
        </w:rPr>
      </w:pPr>
    </w:p>
    <w:p>
      <w:pPr>
        <w:spacing w:line="360" w:lineRule="exact"/>
        <w:rPr>
          <w:rFonts w:asciiTheme="minorEastAsia" w:hAnsiTheme="minorEastAsia" w:eastAsiaTheme="minorEastAsia"/>
          <w:b/>
          <w:sz w:val="22"/>
        </w:rPr>
      </w:pPr>
      <w:r>
        <w:rPr>
          <w:rFonts w:hint="eastAsia" w:asciiTheme="minorEastAsia" w:hAnsiTheme="minorEastAsia" w:eastAsiaTheme="minorEastAsia"/>
          <w:b/>
          <w:sz w:val="22"/>
        </w:rPr>
        <w:t>第2章  功能性要求</w:t>
      </w:r>
    </w:p>
    <w:p>
      <w:pPr>
        <w:tabs>
          <w:tab w:val="left" w:pos="720"/>
          <w:tab w:val="left" w:pos="8295"/>
        </w:tabs>
        <w:spacing w:line="360" w:lineRule="exact"/>
        <w:ind w:firstLine="440" w:firstLineChars="200"/>
        <w:rPr>
          <w:rFonts w:asciiTheme="minorEastAsia" w:hAnsiTheme="minorEastAsia" w:eastAsiaTheme="minorEastAsia"/>
          <w:sz w:val="22"/>
        </w:rPr>
      </w:pPr>
    </w:p>
    <w:p>
      <w:pPr>
        <w:tabs>
          <w:tab w:val="left" w:pos="720"/>
          <w:tab w:val="left" w:pos="8295"/>
        </w:tabs>
        <w:spacing w:line="360" w:lineRule="exact"/>
        <w:ind w:firstLine="440" w:firstLineChars="200"/>
        <w:rPr>
          <w:rFonts w:asciiTheme="minorEastAsia" w:hAnsiTheme="minorEastAsia" w:eastAsiaTheme="minorEastAsia"/>
          <w:sz w:val="22"/>
        </w:rPr>
      </w:pPr>
      <w:r>
        <w:rPr>
          <w:rFonts w:asciiTheme="minorEastAsia" w:hAnsiTheme="minorEastAsia" w:eastAsiaTheme="minorEastAsia"/>
          <w:sz w:val="22"/>
        </w:rPr>
        <w:t>投标方必须对提供的产品具有实际控制能力，能根据用户需求及时</w:t>
      </w:r>
      <w:r>
        <w:rPr>
          <w:rFonts w:hint="eastAsia" w:asciiTheme="minorEastAsia" w:hAnsiTheme="minorEastAsia" w:eastAsiaTheme="minorEastAsia"/>
          <w:sz w:val="22"/>
        </w:rPr>
        <w:t>调整修改所需</w:t>
      </w:r>
      <w:r>
        <w:rPr>
          <w:rFonts w:asciiTheme="minorEastAsia" w:hAnsiTheme="minorEastAsia" w:eastAsiaTheme="minorEastAsia"/>
          <w:sz w:val="22"/>
        </w:rPr>
        <w:t>。</w:t>
      </w:r>
    </w:p>
    <w:p>
      <w:pPr>
        <w:spacing w:line="360" w:lineRule="exact"/>
        <w:rPr>
          <w:rFonts w:asciiTheme="minorEastAsia" w:hAnsiTheme="minorEastAsia" w:eastAsiaTheme="minorEastAsia"/>
          <w:sz w:val="22"/>
        </w:rPr>
      </w:pPr>
      <w:bookmarkStart w:id="125" w:name="_Toc29864"/>
    </w:p>
    <w:p>
      <w:pPr>
        <w:spacing w:line="360" w:lineRule="exact"/>
        <w:rPr>
          <w:rFonts w:asciiTheme="minorEastAsia" w:hAnsiTheme="minorEastAsia" w:eastAsiaTheme="minorEastAsia"/>
          <w:b/>
          <w:sz w:val="22"/>
        </w:rPr>
      </w:pPr>
      <w:r>
        <w:rPr>
          <w:rFonts w:hint="eastAsia" w:asciiTheme="minorEastAsia" w:hAnsiTheme="minorEastAsia" w:eastAsiaTheme="minorEastAsia"/>
          <w:b/>
          <w:sz w:val="22"/>
        </w:rPr>
        <w:t xml:space="preserve">第3章  </w:t>
      </w:r>
      <w:r>
        <w:rPr>
          <w:rFonts w:asciiTheme="minorEastAsia" w:hAnsiTheme="minorEastAsia" w:eastAsiaTheme="minorEastAsia"/>
          <w:b/>
          <w:sz w:val="22"/>
        </w:rPr>
        <w:t>质量指标要求</w:t>
      </w:r>
      <w:bookmarkEnd w:id="125"/>
      <w:bookmarkStart w:id="126" w:name="_Toc492306231"/>
    </w:p>
    <w:p>
      <w:pPr>
        <w:spacing w:line="360" w:lineRule="exact"/>
        <w:rPr>
          <w:rFonts w:asciiTheme="minorEastAsia" w:hAnsiTheme="minorEastAsia" w:eastAsiaTheme="minorEastAsia"/>
          <w:b/>
          <w:sz w:val="22"/>
        </w:rPr>
      </w:pPr>
      <w:r>
        <w:rPr>
          <w:rFonts w:hint="eastAsia" w:asciiTheme="minorEastAsia" w:hAnsiTheme="minorEastAsia" w:eastAsiaTheme="minorEastAsia"/>
          <w:sz w:val="22"/>
        </w:rPr>
        <w:t>3.1</w:t>
      </w:r>
      <w:r>
        <w:rPr>
          <w:rFonts w:asciiTheme="minorEastAsia" w:hAnsiTheme="minorEastAsia" w:eastAsiaTheme="minorEastAsia"/>
          <w:sz w:val="22"/>
        </w:rPr>
        <w:t>功能要求</w:t>
      </w:r>
      <w:bookmarkEnd w:id="126"/>
    </w:p>
    <w:p>
      <w:pPr>
        <w:tabs>
          <w:tab w:val="left" w:pos="720"/>
          <w:tab w:val="left" w:pos="8295"/>
        </w:tabs>
        <w:spacing w:after="120" w:afterLines="50" w:line="360" w:lineRule="exact"/>
        <w:ind w:firstLine="440" w:firstLineChars="200"/>
        <w:rPr>
          <w:rFonts w:asciiTheme="minorEastAsia" w:hAnsiTheme="minorEastAsia" w:eastAsiaTheme="minorEastAsia"/>
          <w:sz w:val="22"/>
        </w:rPr>
      </w:pPr>
      <w:r>
        <w:rPr>
          <w:rFonts w:asciiTheme="minorEastAsia" w:hAnsiTheme="minorEastAsia" w:eastAsiaTheme="minorEastAsia"/>
          <w:sz w:val="22"/>
        </w:rPr>
        <w:t>系统设计必须保障符合功能性要求描述。</w:t>
      </w:r>
      <w:bookmarkStart w:id="127" w:name="_Toc492306232"/>
    </w:p>
    <w:p>
      <w:pPr>
        <w:tabs>
          <w:tab w:val="left" w:pos="720"/>
          <w:tab w:val="left" w:pos="8295"/>
        </w:tabs>
        <w:spacing w:after="120" w:afterLines="50" w:line="360" w:lineRule="exact"/>
        <w:rPr>
          <w:rFonts w:asciiTheme="minorEastAsia" w:hAnsiTheme="minorEastAsia" w:eastAsiaTheme="minorEastAsia"/>
          <w:sz w:val="22"/>
        </w:rPr>
      </w:pPr>
    </w:p>
    <w:p>
      <w:pPr>
        <w:tabs>
          <w:tab w:val="left" w:pos="720"/>
          <w:tab w:val="left" w:pos="8295"/>
        </w:tabs>
        <w:spacing w:after="120" w:afterLines="50" w:line="360" w:lineRule="exact"/>
        <w:rPr>
          <w:rFonts w:asciiTheme="minorEastAsia" w:hAnsiTheme="minorEastAsia" w:eastAsiaTheme="minorEastAsia"/>
          <w:sz w:val="22"/>
        </w:rPr>
      </w:pPr>
      <w:r>
        <w:rPr>
          <w:rFonts w:hint="eastAsia" w:asciiTheme="minorEastAsia" w:hAnsiTheme="minorEastAsia" w:eastAsiaTheme="minorEastAsia"/>
          <w:sz w:val="22"/>
        </w:rPr>
        <w:t>3.2</w:t>
      </w:r>
      <w:r>
        <w:rPr>
          <w:rFonts w:asciiTheme="minorEastAsia" w:hAnsiTheme="minorEastAsia" w:eastAsiaTheme="minorEastAsia"/>
          <w:sz w:val="22"/>
        </w:rPr>
        <w:t>操作性设计要求</w:t>
      </w:r>
      <w:bookmarkEnd w:id="127"/>
    </w:p>
    <w:p>
      <w:pPr>
        <w:tabs>
          <w:tab w:val="left" w:pos="720"/>
          <w:tab w:val="left" w:pos="8295"/>
        </w:tabs>
        <w:spacing w:after="120" w:afterLines="50"/>
        <w:ind w:firstLine="440" w:firstLineChars="200"/>
        <w:rPr>
          <w:rFonts w:asciiTheme="minorEastAsia" w:hAnsiTheme="minorEastAsia" w:eastAsiaTheme="minorEastAsia"/>
          <w:sz w:val="22"/>
        </w:rPr>
      </w:pPr>
      <w:r>
        <w:rPr>
          <w:rFonts w:asciiTheme="minorEastAsia" w:hAnsiTheme="minorEastAsia" w:eastAsiaTheme="minorEastAsia"/>
          <w:sz w:val="22"/>
        </w:rPr>
        <w:t>系统客户端要求参照window窗口式的操作习惯，系统界面要求简洁、内容丰富、具备强大的前端数据处理能力和灵活的操作性、方便的查询统计功能。</w:t>
      </w:r>
      <w:bookmarkStart w:id="128" w:name="_Toc492306233"/>
    </w:p>
    <w:p>
      <w:pPr>
        <w:tabs>
          <w:tab w:val="left" w:pos="720"/>
          <w:tab w:val="left" w:pos="8295"/>
        </w:tabs>
        <w:spacing w:after="120" w:afterLines="50"/>
        <w:rPr>
          <w:rFonts w:asciiTheme="minorEastAsia" w:hAnsiTheme="minorEastAsia" w:eastAsiaTheme="minorEastAsia"/>
          <w:sz w:val="22"/>
        </w:rPr>
      </w:pPr>
    </w:p>
    <w:p>
      <w:pPr>
        <w:tabs>
          <w:tab w:val="left" w:pos="720"/>
          <w:tab w:val="left" w:pos="8295"/>
        </w:tabs>
        <w:spacing w:after="120" w:afterLines="50"/>
        <w:rPr>
          <w:rFonts w:asciiTheme="minorEastAsia" w:hAnsiTheme="minorEastAsia" w:eastAsiaTheme="minorEastAsia"/>
          <w:sz w:val="22"/>
        </w:rPr>
      </w:pPr>
      <w:r>
        <w:rPr>
          <w:rFonts w:hint="eastAsia" w:asciiTheme="minorEastAsia" w:hAnsiTheme="minorEastAsia" w:eastAsiaTheme="minorEastAsia"/>
          <w:sz w:val="22"/>
        </w:rPr>
        <w:t>3.3</w:t>
      </w:r>
      <w:r>
        <w:rPr>
          <w:rFonts w:asciiTheme="minorEastAsia" w:hAnsiTheme="minorEastAsia" w:eastAsiaTheme="minorEastAsia"/>
          <w:sz w:val="22"/>
        </w:rPr>
        <w:t>兼容性设计要求</w:t>
      </w:r>
      <w:bookmarkEnd w:id="128"/>
    </w:p>
    <w:p>
      <w:pPr>
        <w:tabs>
          <w:tab w:val="left" w:pos="720"/>
          <w:tab w:val="left" w:pos="8295"/>
        </w:tabs>
        <w:spacing w:after="120" w:afterLines="50"/>
        <w:ind w:firstLine="440" w:firstLineChars="200"/>
        <w:rPr>
          <w:rFonts w:asciiTheme="minorEastAsia" w:hAnsiTheme="minorEastAsia" w:eastAsiaTheme="minorEastAsia"/>
          <w:sz w:val="22"/>
        </w:rPr>
      </w:pPr>
      <w:r>
        <w:rPr>
          <w:rFonts w:asciiTheme="minorEastAsia" w:hAnsiTheme="minorEastAsia" w:eastAsiaTheme="minorEastAsia"/>
          <w:sz w:val="22"/>
        </w:rPr>
        <w:t>遵行web2.0以上设计标准，兼容IE10以上及主流浏览器。</w:t>
      </w:r>
      <w:bookmarkStart w:id="129" w:name="_Toc492306234"/>
    </w:p>
    <w:p>
      <w:pPr>
        <w:tabs>
          <w:tab w:val="left" w:pos="720"/>
          <w:tab w:val="left" w:pos="8295"/>
        </w:tabs>
        <w:spacing w:after="120" w:afterLines="50"/>
        <w:rPr>
          <w:rFonts w:asciiTheme="minorEastAsia" w:hAnsiTheme="minorEastAsia" w:eastAsiaTheme="minorEastAsia"/>
          <w:sz w:val="22"/>
        </w:rPr>
      </w:pPr>
    </w:p>
    <w:p>
      <w:pPr>
        <w:tabs>
          <w:tab w:val="left" w:pos="720"/>
          <w:tab w:val="left" w:pos="8295"/>
        </w:tabs>
        <w:spacing w:after="120" w:afterLines="50"/>
        <w:rPr>
          <w:rFonts w:asciiTheme="minorEastAsia" w:hAnsiTheme="minorEastAsia" w:eastAsiaTheme="minorEastAsia"/>
          <w:sz w:val="22"/>
        </w:rPr>
      </w:pPr>
      <w:r>
        <w:rPr>
          <w:rFonts w:hint="eastAsia" w:asciiTheme="minorEastAsia" w:hAnsiTheme="minorEastAsia" w:eastAsiaTheme="minorEastAsia"/>
          <w:sz w:val="22"/>
        </w:rPr>
        <w:t>3.4</w:t>
      </w:r>
      <w:r>
        <w:rPr>
          <w:rFonts w:asciiTheme="minorEastAsia" w:hAnsiTheme="minorEastAsia" w:eastAsiaTheme="minorEastAsia"/>
          <w:sz w:val="22"/>
        </w:rPr>
        <w:t>扩展性设计要求</w:t>
      </w:r>
      <w:bookmarkEnd w:id="129"/>
    </w:p>
    <w:p>
      <w:pPr>
        <w:tabs>
          <w:tab w:val="left" w:pos="720"/>
          <w:tab w:val="left" w:pos="8295"/>
        </w:tabs>
        <w:spacing w:after="120" w:afterLines="50"/>
        <w:ind w:firstLine="440" w:firstLineChars="200"/>
        <w:rPr>
          <w:rFonts w:asciiTheme="minorEastAsia" w:hAnsiTheme="minorEastAsia" w:eastAsiaTheme="minorEastAsia"/>
          <w:sz w:val="22"/>
        </w:rPr>
      </w:pPr>
      <w:r>
        <w:rPr>
          <w:rFonts w:asciiTheme="minorEastAsia" w:hAnsiTheme="minorEastAsia" w:eastAsiaTheme="minorEastAsia"/>
          <w:sz w:val="22"/>
        </w:rPr>
        <w:t>系统设计必须保障随着业务的发展变化，具备相应的随需应变功能。</w:t>
      </w:r>
    </w:p>
    <w:p>
      <w:pPr>
        <w:rPr>
          <w:rFonts w:asciiTheme="minorEastAsia" w:hAnsiTheme="minorEastAsia" w:eastAsiaTheme="minorEastAsia"/>
          <w:sz w:val="22"/>
        </w:rPr>
      </w:pPr>
      <w:bookmarkStart w:id="130" w:name="_Toc24173"/>
    </w:p>
    <w:p>
      <w:pPr>
        <w:rPr>
          <w:rFonts w:asciiTheme="minorEastAsia" w:hAnsiTheme="minorEastAsia" w:eastAsiaTheme="minorEastAsia"/>
          <w:b/>
          <w:sz w:val="22"/>
        </w:rPr>
      </w:pPr>
      <w:r>
        <w:rPr>
          <w:rFonts w:hint="eastAsia" w:asciiTheme="minorEastAsia" w:hAnsiTheme="minorEastAsia" w:eastAsiaTheme="minorEastAsia"/>
          <w:b/>
          <w:sz w:val="22"/>
        </w:rPr>
        <w:t xml:space="preserve">第4章  </w:t>
      </w:r>
      <w:r>
        <w:rPr>
          <w:rFonts w:asciiTheme="minorEastAsia" w:hAnsiTheme="minorEastAsia" w:eastAsiaTheme="minorEastAsia"/>
          <w:b/>
          <w:sz w:val="22"/>
        </w:rPr>
        <w:t>安全性要求</w:t>
      </w:r>
      <w:bookmarkEnd w:id="130"/>
    </w:p>
    <w:p>
      <w:pPr>
        <w:tabs>
          <w:tab w:val="left" w:pos="720"/>
          <w:tab w:val="left" w:pos="8295"/>
        </w:tabs>
        <w:spacing w:after="120" w:afterLines="50"/>
        <w:ind w:firstLine="440" w:firstLineChars="200"/>
        <w:rPr>
          <w:rFonts w:asciiTheme="minorEastAsia" w:hAnsiTheme="minorEastAsia" w:eastAsiaTheme="minorEastAsia"/>
          <w:sz w:val="22"/>
        </w:rPr>
      </w:pPr>
      <w:r>
        <w:rPr>
          <w:rFonts w:hint="eastAsia" w:asciiTheme="minorEastAsia" w:hAnsiTheme="minorEastAsia" w:eastAsiaTheme="minorEastAsia"/>
          <w:sz w:val="22"/>
        </w:rPr>
        <w:t>1.</w:t>
      </w:r>
      <w:r>
        <w:rPr>
          <w:rFonts w:asciiTheme="minorEastAsia" w:hAnsiTheme="minorEastAsia" w:eastAsiaTheme="minorEastAsia"/>
          <w:sz w:val="22"/>
        </w:rPr>
        <w:t>用户密码、权限严格控制</w:t>
      </w:r>
    </w:p>
    <w:p>
      <w:pPr>
        <w:tabs>
          <w:tab w:val="left" w:pos="720"/>
          <w:tab w:val="left" w:pos="8295"/>
        </w:tabs>
        <w:spacing w:after="120" w:afterLines="50"/>
        <w:ind w:firstLine="440" w:firstLineChars="200"/>
        <w:rPr>
          <w:rFonts w:asciiTheme="minorEastAsia" w:hAnsiTheme="minorEastAsia" w:eastAsiaTheme="minorEastAsia"/>
          <w:sz w:val="22"/>
        </w:rPr>
      </w:pPr>
      <w:r>
        <w:rPr>
          <w:rFonts w:hint="eastAsia" w:asciiTheme="minorEastAsia" w:hAnsiTheme="minorEastAsia" w:eastAsiaTheme="minorEastAsia"/>
          <w:sz w:val="22"/>
        </w:rPr>
        <w:t>2.</w:t>
      </w:r>
      <w:r>
        <w:rPr>
          <w:rFonts w:asciiTheme="minorEastAsia" w:hAnsiTheme="minorEastAsia" w:eastAsiaTheme="minorEastAsia"/>
          <w:sz w:val="22"/>
        </w:rPr>
        <w:t>仅授权用户才能进行系统访问</w:t>
      </w:r>
    </w:p>
    <w:p>
      <w:pPr>
        <w:pStyle w:val="140"/>
        <w:spacing w:line="240" w:lineRule="auto"/>
        <w:ind w:firstLine="440"/>
        <w:rPr>
          <w:rFonts w:asciiTheme="minorEastAsia" w:hAnsiTheme="minorEastAsia" w:eastAsiaTheme="minorEastAsia"/>
          <w:sz w:val="22"/>
          <w:szCs w:val="22"/>
        </w:rPr>
      </w:pPr>
      <w:r>
        <w:rPr>
          <w:rFonts w:hint="eastAsia" w:asciiTheme="minorEastAsia" w:hAnsiTheme="minorEastAsia" w:eastAsiaTheme="minorEastAsia"/>
          <w:sz w:val="22"/>
          <w:szCs w:val="22"/>
        </w:rPr>
        <w:t>3.服务方需提供系统维护人员信息及联系方式</w:t>
      </w:r>
    </w:p>
    <w:p>
      <w:pPr>
        <w:pStyle w:val="140"/>
        <w:spacing w:line="240" w:lineRule="auto"/>
        <w:ind w:firstLine="440"/>
        <w:rPr>
          <w:rFonts w:asciiTheme="minorEastAsia" w:hAnsiTheme="minorEastAsia" w:eastAsiaTheme="minorEastAsia"/>
          <w:sz w:val="22"/>
          <w:szCs w:val="22"/>
        </w:rPr>
      </w:pPr>
    </w:p>
    <w:p>
      <w:pPr>
        <w:rPr>
          <w:rFonts w:asciiTheme="minorEastAsia" w:hAnsiTheme="minorEastAsia" w:eastAsiaTheme="minorEastAsia"/>
          <w:b/>
          <w:sz w:val="22"/>
        </w:rPr>
      </w:pPr>
      <w:bookmarkStart w:id="131" w:name="_Toc3395"/>
      <w:r>
        <w:rPr>
          <w:rFonts w:hint="eastAsia" w:asciiTheme="minorEastAsia" w:hAnsiTheme="minorEastAsia" w:eastAsiaTheme="minorEastAsia"/>
          <w:b/>
          <w:sz w:val="22"/>
        </w:rPr>
        <w:t xml:space="preserve">第5章   </w:t>
      </w:r>
      <w:r>
        <w:rPr>
          <w:rFonts w:asciiTheme="minorEastAsia" w:hAnsiTheme="minorEastAsia" w:eastAsiaTheme="minorEastAsia"/>
          <w:b/>
          <w:sz w:val="22"/>
        </w:rPr>
        <w:t>运用环境要求</w:t>
      </w:r>
      <w:bookmarkEnd w:id="131"/>
    </w:p>
    <w:p>
      <w:pPr>
        <w:pStyle w:val="140"/>
        <w:tabs>
          <w:tab w:val="left" w:pos="720"/>
          <w:tab w:val="left" w:pos="8295"/>
        </w:tabs>
        <w:spacing w:after="120" w:afterLines="50" w:line="240" w:lineRule="auto"/>
        <w:ind w:left="425" w:firstLine="0" w:firstLineChars="0"/>
        <w:rPr>
          <w:rFonts w:asciiTheme="minorEastAsia" w:hAnsiTheme="minorEastAsia" w:eastAsiaTheme="minorEastAsia"/>
          <w:sz w:val="22"/>
          <w:szCs w:val="22"/>
        </w:rPr>
      </w:pPr>
      <w:r>
        <w:rPr>
          <w:rFonts w:asciiTheme="minorEastAsia" w:hAnsiTheme="minorEastAsia" w:eastAsiaTheme="minorEastAsia"/>
          <w:sz w:val="22"/>
          <w:szCs w:val="22"/>
        </w:rPr>
        <w:t>操作系统：windows操作系统运行，界面要求简洁、内容丰富、具备强大的前端数据处理能力和灵活的操作性、方便的查询统计功能。</w:t>
      </w:r>
    </w:p>
    <w:p>
      <w:pPr>
        <w:widowControl/>
        <w:jc w:val="left"/>
        <w:rPr>
          <w:rFonts w:eastAsia="黑体" w:cs="Calibri"/>
          <w:b/>
          <w:bCs/>
          <w:kern w:val="0"/>
          <w:sz w:val="32"/>
          <w:szCs w:val="44"/>
        </w:rPr>
      </w:pPr>
      <w:bookmarkStart w:id="132" w:name="_Toc448002986"/>
      <w:r>
        <w:rPr>
          <w:rFonts w:eastAsia="黑体" w:cs="Calibri"/>
          <w:kern w:val="0"/>
          <w:sz w:val="32"/>
        </w:rPr>
        <w:br w:type="page"/>
      </w:r>
    </w:p>
    <w:p>
      <w:pPr>
        <w:pStyle w:val="2"/>
        <w:spacing w:before="0" w:after="0" w:line="360" w:lineRule="auto"/>
        <w:jc w:val="center"/>
        <w:rPr>
          <w:rFonts w:ascii="Calibri" w:hAnsi="Calibri" w:eastAsia="黑体" w:cs="Calibri"/>
          <w:kern w:val="0"/>
          <w:sz w:val="32"/>
        </w:rPr>
      </w:pPr>
      <w:r>
        <w:rPr>
          <w:rFonts w:hint="eastAsia" w:ascii="Calibri" w:hAnsi="Calibri" w:eastAsia="黑体" w:cs="Calibri"/>
          <w:kern w:val="0"/>
          <w:sz w:val="32"/>
        </w:rPr>
        <w:t xml:space="preserve">第四章  </w:t>
      </w:r>
      <w:r>
        <w:rPr>
          <w:rFonts w:ascii="Calibri" w:hAnsi="Calibri" w:eastAsia="黑体" w:cs="Calibri"/>
          <w:kern w:val="0"/>
          <w:sz w:val="32"/>
        </w:rPr>
        <w:t>合同条款</w:t>
      </w:r>
      <w:bookmarkEnd w:id="132"/>
      <w:r>
        <w:rPr>
          <w:rFonts w:hint="eastAsia" w:ascii="Calibri" w:hAnsi="Calibri" w:eastAsia="黑体" w:cs="Calibri"/>
          <w:kern w:val="0"/>
          <w:sz w:val="32"/>
        </w:rPr>
        <w:t>及格式</w:t>
      </w:r>
    </w:p>
    <w:p>
      <w:pPr>
        <w:spacing w:line="400" w:lineRule="exact"/>
        <w:ind w:firstLine="442" w:firstLineChars="200"/>
        <w:rPr>
          <w:rFonts w:ascii="宋体" w:hAnsi="宋体" w:cs="宋体"/>
          <w:b/>
          <w:color w:val="000000"/>
          <w:kern w:val="0"/>
          <w:sz w:val="22"/>
        </w:rPr>
      </w:pPr>
      <w:r>
        <w:rPr>
          <w:rFonts w:hint="eastAsia" w:ascii="宋体" w:hAnsi="宋体" w:cs="宋体"/>
          <w:b/>
          <w:color w:val="000000"/>
          <w:kern w:val="0"/>
          <w:sz w:val="22"/>
        </w:rPr>
        <w:t>委托方：浙江省机场集团有限公司</w:t>
      </w:r>
    </w:p>
    <w:p>
      <w:pPr>
        <w:spacing w:line="400" w:lineRule="exact"/>
        <w:ind w:firstLine="442" w:firstLineChars="200"/>
        <w:rPr>
          <w:rFonts w:ascii="宋体" w:hAnsi="宋体" w:cs="宋体"/>
          <w:b/>
          <w:color w:val="000000"/>
          <w:kern w:val="0"/>
          <w:sz w:val="22"/>
        </w:rPr>
      </w:pPr>
      <w:r>
        <w:rPr>
          <w:rFonts w:hint="eastAsia" w:ascii="宋体" w:hAnsi="宋体" w:cs="宋体"/>
          <w:b/>
          <w:color w:val="000000"/>
          <w:kern w:val="0"/>
          <w:sz w:val="22"/>
        </w:rPr>
        <w:t>住所地：</w:t>
      </w:r>
    </w:p>
    <w:p>
      <w:pPr>
        <w:spacing w:line="400" w:lineRule="exact"/>
        <w:ind w:firstLine="442" w:firstLineChars="200"/>
        <w:rPr>
          <w:rFonts w:ascii="宋体" w:hAnsi="宋体" w:cs="宋体"/>
          <w:b/>
          <w:color w:val="000000"/>
          <w:kern w:val="0"/>
          <w:sz w:val="22"/>
        </w:rPr>
      </w:pPr>
      <w:r>
        <w:rPr>
          <w:rFonts w:hint="eastAsia" w:ascii="宋体" w:hAnsi="宋体" w:cs="宋体"/>
          <w:b/>
          <w:color w:val="000000"/>
          <w:kern w:val="0"/>
          <w:sz w:val="22"/>
        </w:rPr>
        <w:t>服务方：</w:t>
      </w:r>
    </w:p>
    <w:p>
      <w:pPr>
        <w:spacing w:line="400" w:lineRule="exact"/>
        <w:ind w:firstLine="442" w:firstLineChars="200"/>
        <w:rPr>
          <w:rFonts w:ascii="宋体" w:hAnsi="宋体" w:cs="宋体"/>
          <w:b/>
          <w:color w:val="000000"/>
          <w:kern w:val="0"/>
          <w:sz w:val="22"/>
        </w:rPr>
      </w:pPr>
      <w:r>
        <w:rPr>
          <w:rFonts w:hint="eastAsia" w:ascii="宋体" w:hAnsi="宋体" w:cs="宋体"/>
          <w:b/>
          <w:color w:val="000000"/>
          <w:kern w:val="0"/>
          <w:sz w:val="22"/>
        </w:rPr>
        <w:t>住所地：</w:t>
      </w:r>
    </w:p>
    <w:p>
      <w:pPr>
        <w:spacing w:line="400" w:lineRule="exact"/>
        <w:ind w:firstLine="442" w:firstLineChars="200"/>
        <w:rPr>
          <w:rFonts w:ascii="宋体" w:hAnsi="宋体" w:cs="宋体"/>
          <w:b/>
          <w:color w:val="000000"/>
          <w:kern w:val="0"/>
          <w:sz w:val="22"/>
        </w:rPr>
      </w:pPr>
      <w:r>
        <w:rPr>
          <w:rFonts w:hint="eastAsia" w:ascii="宋体" w:hAnsi="宋体" w:cs="宋体"/>
          <w:b/>
          <w:color w:val="000000"/>
          <w:kern w:val="0"/>
          <w:sz w:val="22"/>
        </w:rPr>
        <w:t>根据《中华人民共和国合同法》、《中华人民共和国民法通则》等国家及地方有关管理法规和规章，甲乙双方本着平等、自愿的原则，经过友好协商，甲乙双方就</w:t>
      </w:r>
      <w:r>
        <w:rPr>
          <w:rFonts w:hint="eastAsia" w:ascii="宋体" w:hAnsi="宋体" w:cs="宋体"/>
          <w:b/>
          <w:color w:val="000000"/>
          <w:kern w:val="0"/>
          <w:sz w:val="22"/>
          <w:u w:val="single"/>
        </w:rPr>
        <w:t xml:space="preserve">浙江省机场集团全球航空数据服务采购项目 </w:t>
      </w:r>
      <w:r>
        <w:rPr>
          <w:rFonts w:hint="eastAsia" w:ascii="宋体" w:hAnsi="宋体" w:cs="宋体"/>
          <w:b/>
          <w:color w:val="000000"/>
          <w:kern w:val="0"/>
          <w:sz w:val="22"/>
        </w:rPr>
        <w:t>特订制本合同，以资信守。</w:t>
      </w:r>
    </w:p>
    <w:p>
      <w:pPr>
        <w:spacing w:line="400" w:lineRule="exact"/>
        <w:ind w:firstLine="431" w:firstLineChars="196"/>
        <w:rPr>
          <w:rFonts w:ascii="宋体" w:hAnsi="宋体"/>
          <w:sz w:val="22"/>
        </w:rPr>
      </w:pPr>
      <w:r>
        <w:rPr>
          <w:rFonts w:hint="eastAsia" w:ascii="宋体" w:hAnsi="宋体"/>
          <w:sz w:val="22"/>
        </w:rPr>
        <w:t>1．本协议书与下列文件一起构成合同文件，下列文件与合同具有同等法律效力：</w:t>
      </w:r>
    </w:p>
    <w:p>
      <w:pPr>
        <w:spacing w:line="400" w:lineRule="exact"/>
        <w:ind w:firstLine="440" w:firstLineChars="200"/>
        <w:rPr>
          <w:rFonts w:ascii="宋体" w:hAnsi="宋体"/>
          <w:sz w:val="22"/>
        </w:rPr>
      </w:pPr>
      <w:r>
        <w:rPr>
          <w:rFonts w:hint="eastAsia" w:ascii="宋体" w:hAnsi="宋体"/>
          <w:sz w:val="22"/>
        </w:rPr>
        <w:t>1)</w:t>
      </w:r>
      <w:r>
        <w:rPr>
          <w:rFonts w:hint="eastAsia" w:ascii="宋体" w:hAnsi="宋体"/>
          <w:sz w:val="22"/>
        </w:rPr>
        <w:tab/>
      </w:r>
      <w:r>
        <w:rPr>
          <w:rFonts w:hint="eastAsia" w:ascii="宋体" w:hAnsi="宋体"/>
          <w:sz w:val="22"/>
        </w:rPr>
        <w:t>合同协议书及其补充合同；</w:t>
      </w:r>
    </w:p>
    <w:p>
      <w:pPr>
        <w:spacing w:line="400" w:lineRule="exact"/>
        <w:ind w:firstLine="440" w:firstLineChars="200"/>
        <w:rPr>
          <w:rFonts w:ascii="宋体" w:hAnsi="宋体"/>
          <w:sz w:val="22"/>
        </w:rPr>
      </w:pPr>
      <w:r>
        <w:rPr>
          <w:rFonts w:hint="eastAsia" w:ascii="宋体" w:hAnsi="宋体"/>
          <w:sz w:val="22"/>
        </w:rPr>
        <w:t>2)  中标通知书；</w:t>
      </w:r>
      <w:r>
        <w:rPr>
          <w:rFonts w:hint="eastAsia" w:ascii="宋体" w:hAnsi="宋体"/>
          <w:sz w:val="22"/>
        </w:rPr>
        <w:tab/>
      </w:r>
    </w:p>
    <w:p>
      <w:pPr>
        <w:spacing w:line="400" w:lineRule="exact"/>
        <w:ind w:firstLine="440" w:firstLineChars="200"/>
        <w:rPr>
          <w:rFonts w:ascii="宋体" w:hAnsi="宋体"/>
          <w:sz w:val="22"/>
        </w:rPr>
      </w:pPr>
      <w:r>
        <w:rPr>
          <w:rFonts w:hint="eastAsia" w:ascii="宋体" w:hAnsi="宋体"/>
          <w:sz w:val="22"/>
        </w:rPr>
        <w:t>3)</w:t>
      </w:r>
      <w:r>
        <w:rPr>
          <w:rFonts w:hint="eastAsia" w:ascii="宋体" w:hAnsi="宋体"/>
          <w:sz w:val="22"/>
        </w:rPr>
        <w:tab/>
      </w:r>
      <w:r>
        <w:rPr>
          <w:rFonts w:hint="eastAsia" w:ascii="宋体" w:hAnsi="宋体"/>
          <w:sz w:val="22"/>
        </w:rPr>
        <w:t>招标文件及其附件、答疑纪要等；</w:t>
      </w:r>
    </w:p>
    <w:p>
      <w:pPr>
        <w:spacing w:line="400" w:lineRule="exact"/>
        <w:ind w:firstLine="440" w:firstLineChars="200"/>
        <w:rPr>
          <w:rFonts w:ascii="宋体" w:hAnsi="宋体"/>
          <w:sz w:val="22"/>
        </w:rPr>
      </w:pPr>
      <w:r>
        <w:rPr>
          <w:rFonts w:hint="eastAsia" w:ascii="宋体" w:hAnsi="宋体"/>
          <w:sz w:val="22"/>
        </w:rPr>
        <w:t>4)</w:t>
      </w:r>
      <w:r>
        <w:rPr>
          <w:rFonts w:hint="eastAsia" w:ascii="宋体" w:hAnsi="宋体"/>
          <w:sz w:val="22"/>
        </w:rPr>
        <w:tab/>
      </w:r>
      <w:r>
        <w:rPr>
          <w:rFonts w:hint="eastAsia" w:ascii="宋体" w:hAnsi="宋体"/>
          <w:sz w:val="22"/>
        </w:rPr>
        <w:t>投标文件及其附件（包括询标回复与有关承诺）；</w:t>
      </w:r>
    </w:p>
    <w:p>
      <w:pPr>
        <w:spacing w:line="400" w:lineRule="exact"/>
        <w:ind w:firstLine="440" w:firstLineChars="200"/>
        <w:rPr>
          <w:rFonts w:ascii="宋体" w:hAnsi="宋体"/>
          <w:sz w:val="22"/>
        </w:rPr>
      </w:pPr>
      <w:r>
        <w:rPr>
          <w:rFonts w:hint="eastAsia" w:ascii="宋体" w:hAnsi="宋体"/>
          <w:sz w:val="22"/>
        </w:rPr>
        <w:t>5)</w:t>
      </w:r>
      <w:r>
        <w:rPr>
          <w:rFonts w:hint="eastAsia" w:ascii="宋体" w:hAnsi="宋体"/>
          <w:sz w:val="22"/>
        </w:rPr>
        <w:tab/>
      </w:r>
      <w:r>
        <w:rPr>
          <w:rFonts w:hint="eastAsia" w:ascii="宋体" w:hAnsi="宋体"/>
          <w:sz w:val="22"/>
        </w:rPr>
        <w:t>本合同专用合同条款；</w:t>
      </w:r>
    </w:p>
    <w:p>
      <w:pPr>
        <w:spacing w:line="400" w:lineRule="exact"/>
        <w:ind w:firstLine="440" w:firstLineChars="200"/>
        <w:rPr>
          <w:rFonts w:ascii="宋体" w:hAnsi="宋体"/>
          <w:sz w:val="22"/>
        </w:rPr>
      </w:pPr>
      <w:r>
        <w:rPr>
          <w:rFonts w:hint="eastAsia" w:ascii="宋体" w:hAnsi="宋体"/>
          <w:sz w:val="22"/>
        </w:rPr>
        <w:t>6)</w:t>
      </w:r>
      <w:r>
        <w:rPr>
          <w:rFonts w:hint="eastAsia" w:ascii="宋体" w:hAnsi="宋体"/>
          <w:sz w:val="22"/>
        </w:rPr>
        <w:tab/>
      </w:r>
      <w:r>
        <w:rPr>
          <w:rFonts w:hint="eastAsia" w:ascii="宋体" w:hAnsi="宋体"/>
          <w:sz w:val="22"/>
        </w:rPr>
        <w:t>本合同通用合同条款；</w:t>
      </w:r>
    </w:p>
    <w:p>
      <w:pPr>
        <w:spacing w:line="400" w:lineRule="exact"/>
        <w:ind w:firstLine="440" w:firstLineChars="200"/>
        <w:rPr>
          <w:rFonts w:ascii="宋体" w:hAnsi="宋体"/>
          <w:sz w:val="22"/>
        </w:rPr>
      </w:pPr>
      <w:r>
        <w:rPr>
          <w:rFonts w:hint="eastAsia" w:ascii="宋体" w:hAnsi="宋体"/>
          <w:sz w:val="22"/>
        </w:rPr>
        <w:t>7)</w:t>
      </w:r>
      <w:r>
        <w:rPr>
          <w:rFonts w:hint="eastAsia" w:ascii="宋体" w:hAnsi="宋体"/>
          <w:sz w:val="22"/>
        </w:rPr>
        <w:tab/>
      </w:r>
      <w:r>
        <w:rPr>
          <w:rFonts w:hint="eastAsia" w:ascii="宋体" w:hAnsi="宋体"/>
          <w:sz w:val="22"/>
        </w:rPr>
        <w:t>标准、规范和技术说明及有关技术文件；</w:t>
      </w:r>
    </w:p>
    <w:p>
      <w:pPr>
        <w:spacing w:line="400" w:lineRule="exact"/>
        <w:ind w:firstLine="440" w:firstLineChars="200"/>
        <w:rPr>
          <w:rFonts w:ascii="宋体" w:hAnsi="宋体"/>
          <w:sz w:val="22"/>
        </w:rPr>
      </w:pPr>
      <w:r>
        <w:rPr>
          <w:rFonts w:hint="eastAsia" w:ascii="宋体" w:hAnsi="宋体"/>
          <w:sz w:val="22"/>
        </w:rPr>
        <w:t>8）附录同容包括：</w:t>
      </w:r>
    </w:p>
    <w:p>
      <w:pPr>
        <w:spacing w:line="400" w:lineRule="exact"/>
        <w:ind w:firstLine="440" w:firstLineChars="200"/>
        <w:rPr>
          <w:rFonts w:ascii="宋体" w:hAnsi="宋体"/>
          <w:sz w:val="22"/>
        </w:rPr>
      </w:pPr>
      <w:r>
        <w:rPr>
          <w:rFonts w:hint="eastAsia" w:ascii="宋体" w:hAnsi="宋体"/>
          <w:sz w:val="22"/>
        </w:rPr>
        <w:t>附录A 相关服务的范围和内容；</w:t>
      </w:r>
    </w:p>
    <w:p>
      <w:pPr>
        <w:spacing w:line="400" w:lineRule="exact"/>
        <w:ind w:firstLine="440" w:firstLineChars="200"/>
        <w:rPr>
          <w:rFonts w:ascii="宋体" w:hAnsi="宋体"/>
          <w:sz w:val="22"/>
        </w:rPr>
      </w:pPr>
      <w:r>
        <w:rPr>
          <w:rFonts w:hint="eastAsia" w:ascii="宋体" w:hAnsi="宋体"/>
          <w:sz w:val="22"/>
        </w:rPr>
        <w:t>附录B 廉政责任协议书；</w:t>
      </w:r>
    </w:p>
    <w:p>
      <w:pPr>
        <w:spacing w:line="400" w:lineRule="exact"/>
        <w:ind w:firstLine="440" w:firstLineChars="200"/>
        <w:rPr>
          <w:rFonts w:ascii="宋体" w:hAnsi="宋体"/>
          <w:sz w:val="22"/>
        </w:rPr>
      </w:pPr>
      <w:r>
        <w:rPr>
          <w:rFonts w:hint="eastAsia" w:ascii="宋体" w:hAnsi="宋体"/>
          <w:sz w:val="22"/>
        </w:rPr>
        <w:t>附录C 服务人员名单；</w:t>
      </w:r>
    </w:p>
    <w:p>
      <w:pPr>
        <w:spacing w:line="400" w:lineRule="exact"/>
        <w:ind w:firstLine="440" w:firstLineChars="200"/>
        <w:rPr>
          <w:rFonts w:ascii="宋体" w:hAnsi="宋体"/>
          <w:sz w:val="22"/>
        </w:rPr>
      </w:pPr>
      <w:r>
        <w:rPr>
          <w:rFonts w:hint="eastAsia" w:ascii="宋体" w:hAnsi="宋体"/>
          <w:sz w:val="22"/>
        </w:rPr>
        <w:t xml:space="preserve">附录D </w:t>
      </w:r>
      <w:r>
        <w:rPr>
          <w:rFonts w:hint="eastAsia" w:ascii="宋体" w:hAnsi="宋体"/>
          <w:sz w:val="22"/>
          <w:u w:val="single"/>
        </w:rPr>
        <w:t xml:space="preserve"> </w:t>
      </w:r>
      <w:r>
        <w:rPr>
          <w:rFonts w:ascii="宋体" w:hAnsi="宋体"/>
          <w:sz w:val="22"/>
          <w:u w:val="single"/>
        </w:rPr>
        <w:t xml:space="preserve">      </w:t>
      </w:r>
      <w:r>
        <w:rPr>
          <w:rFonts w:hint="eastAsia" w:ascii="宋体" w:hAnsi="宋体"/>
          <w:sz w:val="22"/>
        </w:rPr>
        <w:t>部关于《</w:t>
      </w:r>
      <w:r>
        <w:rPr>
          <w:rFonts w:hint="eastAsia" w:ascii="宋体" w:hAnsi="宋体"/>
          <w:sz w:val="22"/>
          <w:u w:val="single"/>
        </w:rPr>
        <w:t xml:space="preserve"> </w:t>
      </w:r>
      <w:r>
        <w:rPr>
          <w:rFonts w:ascii="宋体" w:hAnsi="宋体"/>
          <w:sz w:val="22"/>
          <w:u w:val="single"/>
        </w:rPr>
        <w:t xml:space="preserve">    </w:t>
      </w:r>
      <w:r>
        <w:rPr>
          <w:rFonts w:ascii="宋体" w:hAnsi="宋体"/>
          <w:sz w:val="22"/>
        </w:rPr>
        <w:t xml:space="preserve"> </w:t>
      </w:r>
      <w:r>
        <w:rPr>
          <w:rFonts w:hint="eastAsia" w:ascii="宋体" w:hAnsi="宋体"/>
          <w:sz w:val="22"/>
        </w:rPr>
        <w:t>考核办法》；</w:t>
      </w:r>
    </w:p>
    <w:p>
      <w:pPr>
        <w:spacing w:line="400" w:lineRule="exact"/>
        <w:ind w:firstLine="440" w:firstLineChars="200"/>
        <w:rPr>
          <w:rFonts w:ascii="宋体" w:hAnsi="宋体"/>
          <w:sz w:val="22"/>
        </w:rPr>
      </w:pPr>
      <w:r>
        <w:rPr>
          <w:rFonts w:hint="eastAsia" w:ascii="宋体" w:hAnsi="宋体"/>
          <w:sz w:val="22"/>
        </w:rPr>
        <w:t>2．上述文件互相补充和解释，如有不明确或不一致之处，以合同约定次序在先者为准。(如</w:t>
      </w:r>
      <w:r>
        <w:rPr>
          <w:rFonts w:hint="eastAsia" w:ascii="宋体" w:hAnsi="宋体" w:cs="宋体"/>
          <w:kern w:val="0"/>
          <w:sz w:val="22"/>
        </w:rPr>
        <w:t>服务人</w:t>
      </w:r>
      <w:r>
        <w:rPr>
          <w:rFonts w:hint="eastAsia" w:ascii="宋体" w:hAnsi="宋体"/>
          <w:sz w:val="22"/>
        </w:rPr>
        <w:t>提供服务正偏离于投标文件规格，以合同约定条款为依据)</w:t>
      </w:r>
    </w:p>
    <w:p>
      <w:pPr>
        <w:spacing w:line="400" w:lineRule="exact"/>
        <w:ind w:firstLine="440" w:firstLineChars="200"/>
        <w:rPr>
          <w:rFonts w:ascii="宋体" w:hAnsi="宋体"/>
          <w:sz w:val="22"/>
        </w:rPr>
      </w:pPr>
    </w:p>
    <w:p>
      <w:pPr>
        <w:adjustRightInd w:val="0"/>
        <w:snapToGrid w:val="0"/>
        <w:spacing w:line="400" w:lineRule="exact"/>
        <w:ind w:firstLine="331" w:firstLineChars="150"/>
        <w:rPr>
          <w:rFonts w:ascii="宋体" w:hAnsi="宋体"/>
          <w:b/>
          <w:sz w:val="22"/>
          <w:u w:val="single"/>
        </w:rPr>
      </w:pPr>
      <w:r>
        <w:rPr>
          <w:rFonts w:hint="eastAsia" w:ascii="宋体" w:hAnsi="宋体"/>
          <w:b/>
          <w:sz w:val="22"/>
        </w:rPr>
        <w:t xml:space="preserve"> 第一条 项目服务概况</w:t>
      </w:r>
    </w:p>
    <w:p>
      <w:pPr>
        <w:pStyle w:val="130"/>
        <w:tabs>
          <w:tab w:val="left" w:pos="851"/>
          <w:tab w:val="left" w:pos="8295"/>
        </w:tabs>
        <w:spacing w:line="360" w:lineRule="exact"/>
        <w:ind w:firstLine="440"/>
        <w:rPr>
          <w:rFonts w:asciiTheme="minorEastAsia" w:hAnsiTheme="minorEastAsia" w:eastAsiaTheme="minorEastAsia"/>
          <w:sz w:val="22"/>
        </w:rPr>
      </w:pPr>
      <w:r>
        <w:rPr>
          <w:rFonts w:hint="eastAsia" w:ascii="宋体" w:hAnsi="宋体"/>
          <w:sz w:val="22"/>
        </w:rPr>
        <w:t xml:space="preserve"> 1.服务内容：①</w:t>
      </w:r>
      <w:r>
        <w:rPr>
          <w:rFonts w:asciiTheme="minorEastAsia" w:hAnsiTheme="minorEastAsia" w:eastAsiaTheme="minorEastAsia"/>
          <w:sz w:val="22"/>
        </w:rPr>
        <w:t>提供</w:t>
      </w:r>
      <w:r>
        <w:rPr>
          <w:rFonts w:hint="eastAsia" w:asciiTheme="minorEastAsia" w:hAnsiTheme="minorEastAsia" w:eastAsiaTheme="minorEastAsia"/>
          <w:sz w:val="22"/>
        </w:rPr>
        <w:t>全球旅客（货邮）流量流向、运力安排及分析、中转机场等机会分析</w:t>
      </w:r>
      <w:r>
        <w:rPr>
          <w:rFonts w:hint="eastAsia" w:ascii="宋体" w:hAnsi="宋体"/>
          <w:sz w:val="22"/>
        </w:rPr>
        <w:t>；②</w:t>
      </w:r>
      <w:r>
        <w:rPr>
          <w:rFonts w:hint="eastAsia" w:asciiTheme="minorEastAsia" w:hAnsiTheme="minorEastAsia" w:eastAsiaTheme="minorEastAsia"/>
          <w:sz w:val="22"/>
        </w:rPr>
        <w:t>提供现有航线销售数据、收益情况分析及新航线设计、现有航线加密等评估服务</w:t>
      </w:r>
    </w:p>
    <w:p>
      <w:pPr>
        <w:spacing w:line="400" w:lineRule="exact"/>
        <w:ind w:firstLine="440" w:firstLineChars="200"/>
        <w:rPr>
          <w:rFonts w:ascii="宋体" w:hAnsi="宋体"/>
          <w:sz w:val="22"/>
        </w:rPr>
      </w:pPr>
      <w:r>
        <w:rPr>
          <w:rFonts w:hint="eastAsia" w:ascii="宋体" w:hAnsi="宋体"/>
          <w:sz w:val="22"/>
        </w:rPr>
        <w:t>2.服务地点：杭州萧山国际机场</w:t>
      </w:r>
    </w:p>
    <w:p>
      <w:pPr>
        <w:spacing w:line="400" w:lineRule="exact"/>
        <w:ind w:firstLine="440" w:firstLineChars="200"/>
        <w:rPr>
          <w:rFonts w:ascii="宋体" w:hAnsi="宋体"/>
          <w:sz w:val="22"/>
        </w:rPr>
      </w:pPr>
      <w:r>
        <w:rPr>
          <w:rFonts w:hint="eastAsia" w:ascii="宋体" w:hAnsi="宋体"/>
          <w:sz w:val="22"/>
        </w:rPr>
        <w:t>3.服务期限：36个月</w:t>
      </w:r>
    </w:p>
    <w:p>
      <w:pPr>
        <w:spacing w:line="400" w:lineRule="exact"/>
        <w:ind w:firstLine="442" w:firstLineChars="200"/>
        <w:rPr>
          <w:rFonts w:ascii="宋体" w:hAnsi="宋体"/>
          <w:b/>
          <w:sz w:val="22"/>
        </w:rPr>
      </w:pPr>
    </w:p>
    <w:p>
      <w:pPr>
        <w:adjustRightInd w:val="0"/>
        <w:snapToGrid w:val="0"/>
        <w:spacing w:line="400" w:lineRule="exact"/>
        <w:ind w:left="570"/>
        <w:rPr>
          <w:rFonts w:ascii="宋体" w:hAnsi="宋体"/>
          <w:b/>
          <w:sz w:val="22"/>
        </w:rPr>
      </w:pPr>
      <w:r>
        <w:rPr>
          <w:rFonts w:hint="eastAsia" w:ascii="宋体" w:hAnsi="宋体"/>
          <w:b/>
          <w:sz w:val="22"/>
        </w:rPr>
        <w:t>第二条   双方的权利和义务</w:t>
      </w:r>
    </w:p>
    <w:p>
      <w:pPr>
        <w:numPr>
          <w:ilvl w:val="0"/>
          <w:numId w:val="2"/>
        </w:numPr>
        <w:spacing w:line="400" w:lineRule="exact"/>
        <w:rPr>
          <w:rFonts w:ascii="宋体" w:hAnsi="宋体"/>
          <w:sz w:val="22"/>
        </w:rPr>
      </w:pPr>
      <w:r>
        <w:rPr>
          <w:rFonts w:hint="eastAsia" w:ascii="宋体" w:hAnsi="宋体"/>
          <w:sz w:val="22"/>
        </w:rPr>
        <w:t>委托人的权利和义务：</w:t>
      </w:r>
    </w:p>
    <w:p>
      <w:pPr>
        <w:spacing w:line="400" w:lineRule="exact"/>
        <w:ind w:left="780"/>
        <w:rPr>
          <w:rFonts w:ascii="宋体" w:hAnsi="宋体"/>
          <w:sz w:val="22"/>
        </w:rPr>
      </w:pPr>
      <w:r>
        <w:rPr>
          <w:rFonts w:hint="eastAsia" w:ascii="宋体" w:hAnsi="宋体"/>
          <w:sz w:val="22"/>
        </w:rPr>
        <w:t>（1）按照合同约定支付服务人进度款。</w:t>
      </w:r>
    </w:p>
    <w:p>
      <w:pPr>
        <w:spacing w:line="400" w:lineRule="exact"/>
        <w:ind w:left="780"/>
        <w:rPr>
          <w:rFonts w:ascii="宋体" w:hAnsi="宋体"/>
          <w:sz w:val="22"/>
        </w:rPr>
      </w:pPr>
      <w:r>
        <w:rPr>
          <w:rFonts w:hint="eastAsia" w:ascii="宋体" w:hAnsi="宋体"/>
          <w:sz w:val="22"/>
        </w:rPr>
        <w:t>（2）为服务人提供技术资料或其他支持。</w:t>
      </w:r>
    </w:p>
    <w:p>
      <w:pPr>
        <w:spacing w:line="400" w:lineRule="exact"/>
        <w:ind w:firstLine="444" w:firstLineChars="202"/>
        <w:rPr>
          <w:rFonts w:ascii="宋体" w:hAnsi="宋体"/>
          <w:sz w:val="22"/>
        </w:rPr>
      </w:pPr>
      <w:r>
        <w:rPr>
          <w:rFonts w:hint="eastAsia" w:ascii="宋体" w:hAnsi="宋体"/>
          <w:sz w:val="22"/>
        </w:rPr>
        <w:t>2、</w:t>
      </w:r>
      <w:r>
        <w:rPr>
          <w:rFonts w:hint="eastAsia" w:ascii="宋体" w:hAnsi="宋体" w:cs="宋体"/>
          <w:kern w:val="0"/>
          <w:sz w:val="22"/>
        </w:rPr>
        <w:t>服务人</w:t>
      </w:r>
      <w:r>
        <w:rPr>
          <w:rFonts w:hint="eastAsia" w:ascii="宋体" w:hAnsi="宋体"/>
          <w:sz w:val="22"/>
        </w:rPr>
        <w:t>的权利和义务：</w:t>
      </w:r>
    </w:p>
    <w:p>
      <w:pPr>
        <w:spacing w:line="400" w:lineRule="exact"/>
        <w:ind w:firstLine="660" w:firstLineChars="300"/>
        <w:rPr>
          <w:rFonts w:ascii="宋体" w:hAnsi="宋体"/>
          <w:sz w:val="22"/>
        </w:rPr>
      </w:pPr>
      <w:r>
        <w:rPr>
          <w:rFonts w:hint="eastAsia" w:ascii="宋体" w:hAnsi="宋体"/>
          <w:sz w:val="22"/>
        </w:rPr>
        <w:t>（1）符合技术要求的相关规定</w:t>
      </w:r>
    </w:p>
    <w:p>
      <w:pPr>
        <w:spacing w:line="400" w:lineRule="exact"/>
        <w:ind w:firstLine="660" w:firstLineChars="300"/>
        <w:rPr>
          <w:rFonts w:ascii="宋体" w:hAnsi="宋体"/>
          <w:sz w:val="22"/>
        </w:rPr>
      </w:pPr>
      <w:r>
        <w:rPr>
          <w:rFonts w:hint="eastAsia" w:ascii="宋体" w:hAnsi="宋体"/>
          <w:sz w:val="22"/>
        </w:rPr>
        <w:t>（2）项目有人员证书或资格要求的，在合同签订前，中标人须向招标人提供拟派人员的相关证书或证件（身份证除外），待项目竣工验收合格后返还。</w:t>
      </w:r>
    </w:p>
    <w:p>
      <w:pPr>
        <w:spacing w:line="400" w:lineRule="exact"/>
        <w:ind w:firstLine="660" w:firstLineChars="300"/>
        <w:rPr>
          <w:rFonts w:ascii="宋体" w:hAnsi="宋体"/>
          <w:sz w:val="22"/>
        </w:rPr>
      </w:pPr>
      <w:r>
        <w:rPr>
          <w:rFonts w:hint="eastAsia" w:ascii="宋体" w:hAnsi="宋体"/>
          <w:sz w:val="22"/>
        </w:rPr>
        <w:t>（3）服务人根据甲方需求每年至少提供2次对系统操作等方面的培训。</w:t>
      </w:r>
    </w:p>
    <w:p>
      <w:pPr>
        <w:adjustRightInd w:val="0"/>
        <w:snapToGrid w:val="0"/>
        <w:spacing w:line="400" w:lineRule="exact"/>
        <w:ind w:left="570"/>
        <w:rPr>
          <w:rFonts w:ascii="宋体" w:hAnsi="宋体"/>
          <w:b/>
          <w:sz w:val="22"/>
        </w:rPr>
      </w:pPr>
      <w:r>
        <w:rPr>
          <w:rFonts w:hint="eastAsia" w:ascii="宋体" w:hAnsi="宋体"/>
          <w:b/>
          <w:sz w:val="22"/>
        </w:rPr>
        <w:t>第三条 合同费用及支付方式</w:t>
      </w:r>
    </w:p>
    <w:p>
      <w:pPr>
        <w:spacing w:line="400" w:lineRule="exact"/>
        <w:ind w:firstLine="440" w:firstLineChars="200"/>
        <w:rPr>
          <w:rFonts w:ascii="宋体" w:hAnsi="宋体"/>
          <w:sz w:val="22"/>
        </w:rPr>
      </w:pPr>
      <w:r>
        <w:rPr>
          <w:rFonts w:hint="eastAsia" w:ascii="宋体" w:hAnsi="宋体"/>
          <w:sz w:val="22"/>
        </w:rPr>
        <w:t>1.合同总金额：</w:t>
      </w:r>
    </w:p>
    <w:p>
      <w:pPr>
        <w:spacing w:line="400" w:lineRule="exact"/>
        <w:ind w:firstLine="440" w:firstLineChars="200"/>
        <w:rPr>
          <w:rFonts w:ascii="宋体" w:hAnsi="宋体"/>
          <w:sz w:val="22"/>
        </w:rPr>
      </w:pPr>
      <w:r>
        <w:rPr>
          <w:rFonts w:hint="eastAsia" w:ascii="宋体" w:hAnsi="宋体"/>
          <w:sz w:val="22"/>
        </w:rPr>
        <w:t>2.支付方式：</w:t>
      </w:r>
      <w:r>
        <w:rPr>
          <w:rFonts w:hint="eastAsia" w:asciiTheme="minorEastAsia" w:hAnsiTheme="minorEastAsia" w:eastAsiaTheme="minorEastAsia"/>
          <w:sz w:val="22"/>
        </w:rPr>
        <w:t>费用按年结算，具体金额和结算方式如下表</w:t>
      </w:r>
    </w:p>
    <w:tbl>
      <w:tblPr>
        <w:tblStyle w:val="5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合同时间</w:t>
            </w:r>
          </w:p>
        </w:tc>
        <w:tc>
          <w:tcPr>
            <w:tcW w:w="2130" w:type="dxa"/>
          </w:tcPr>
          <w:p>
            <w:pPr>
              <w:spacing w:line="36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金额</w:t>
            </w:r>
          </w:p>
        </w:tc>
        <w:tc>
          <w:tcPr>
            <w:tcW w:w="4920" w:type="dxa"/>
          </w:tcPr>
          <w:p>
            <w:pPr>
              <w:spacing w:line="36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第一年：2019年1月</w:t>
            </w:r>
            <w:r>
              <w:rPr>
                <w:rFonts w:hint="eastAsia" w:asciiTheme="minorEastAsia" w:hAnsiTheme="minorEastAsia" w:eastAsiaTheme="minorEastAsia"/>
                <w:kern w:val="0"/>
                <w:sz w:val="22"/>
                <w:lang w:val="en-US" w:eastAsia="zh-CN"/>
              </w:rPr>
              <w:t>24</w:t>
            </w:r>
            <w:r>
              <w:rPr>
                <w:rFonts w:hint="eastAsia" w:asciiTheme="minorEastAsia" w:hAnsiTheme="minorEastAsia" w:eastAsiaTheme="minorEastAsia"/>
                <w:kern w:val="0"/>
                <w:sz w:val="22"/>
              </w:rPr>
              <w:t>日至2019年12月31日</w:t>
            </w:r>
          </w:p>
        </w:tc>
        <w:tc>
          <w:tcPr>
            <w:tcW w:w="2130" w:type="dxa"/>
          </w:tcPr>
          <w:p>
            <w:pPr>
              <w:spacing w:line="360" w:lineRule="exact"/>
              <w:jc w:val="left"/>
              <w:rPr>
                <w:rFonts w:asciiTheme="minorEastAsia" w:hAnsiTheme="minorEastAsia" w:eastAsiaTheme="minorEastAsia"/>
                <w:kern w:val="0"/>
                <w:sz w:val="22"/>
              </w:rPr>
            </w:pPr>
          </w:p>
        </w:tc>
        <w:tc>
          <w:tcPr>
            <w:tcW w:w="4920" w:type="dxa"/>
          </w:tcPr>
          <w:p>
            <w:pPr>
              <w:spacing w:line="36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在本合同开始第一个月内甲方收到乙方开具的6%税率的增值税发票后10日内，甲方向乙方支付本年度费用的30%；本年度余款在乙方履行完本合同项下义务满12个月后7日内付清。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第二年：2020年1月1日至2020年12月31日</w:t>
            </w:r>
          </w:p>
        </w:tc>
        <w:tc>
          <w:tcPr>
            <w:tcW w:w="2130" w:type="dxa"/>
          </w:tcPr>
          <w:p>
            <w:pPr>
              <w:spacing w:line="360" w:lineRule="exact"/>
              <w:jc w:val="left"/>
              <w:rPr>
                <w:rFonts w:asciiTheme="minorEastAsia" w:hAnsiTheme="minorEastAsia" w:eastAsiaTheme="minorEastAsia"/>
                <w:kern w:val="0"/>
                <w:sz w:val="22"/>
              </w:rPr>
            </w:pPr>
          </w:p>
        </w:tc>
        <w:tc>
          <w:tcPr>
            <w:tcW w:w="4920" w:type="dxa"/>
          </w:tcPr>
          <w:p>
            <w:pPr>
              <w:spacing w:line="36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在本年度开始第一个月内甲方收到乙方开具的6%税率的增值税发票后10日内，甲方向乙方支付本年度费用的30%；本年度余款在乙方履行完本合同项下义务满12个月后7日内付清。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第三年：2021年1月1日至2021年12月31日</w:t>
            </w:r>
          </w:p>
        </w:tc>
        <w:tc>
          <w:tcPr>
            <w:tcW w:w="2130" w:type="dxa"/>
          </w:tcPr>
          <w:p>
            <w:pPr>
              <w:spacing w:line="360" w:lineRule="exact"/>
              <w:jc w:val="left"/>
              <w:rPr>
                <w:rFonts w:asciiTheme="minorEastAsia" w:hAnsiTheme="minorEastAsia" w:eastAsiaTheme="minorEastAsia"/>
                <w:kern w:val="0"/>
                <w:sz w:val="22"/>
              </w:rPr>
            </w:pPr>
          </w:p>
        </w:tc>
        <w:tc>
          <w:tcPr>
            <w:tcW w:w="4920" w:type="dxa"/>
          </w:tcPr>
          <w:p>
            <w:pPr>
              <w:spacing w:line="360" w:lineRule="exact"/>
              <w:jc w:val="left"/>
              <w:rPr>
                <w:rFonts w:asciiTheme="minorEastAsia" w:hAnsiTheme="minorEastAsia" w:eastAsiaTheme="minorEastAsia"/>
                <w:kern w:val="0"/>
                <w:sz w:val="22"/>
              </w:rPr>
            </w:pPr>
            <w:r>
              <w:rPr>
                <w:rFonts w:hint="eastAsia" w:asciiTheme="minorEastAsia" w:hAnsiTheme="minorEastAsia" w:eastAsiaTheme="minorEastAsia"/>
                <w:kern w:val="0"/>
                <w:sz w:val="22"/>
              </w:rPr>
              <w:t>在本年度开始第一个月内甲方收到乙方开具的6%税率的增值税发票后10日内，甲方向乙方支付本年度费用的30%；本年度余款在乙方履行完本合同项下义务满12个月后7日内付清。</w:t>
            </w:r>
          </w:p>
        </w:tc>
      </w:tr>
    </w:tbl>
    <w:p>
      <w:pPr>
        <w:spacing w:line="400" w:lineRule="exact"/>
        <w:rPr>
          <w:rFonts w:ascii="宋体" w:hAnsi="宋体"/>
          <w:sz w:val="22"/>
        </w:rPr>
      </w:pPr>
    </w:p>
    <w:p>
      <w:pPr>
        <w:spacing w:line="400" w:lineRule="exact"/>
        <w:ind w:firstLine="552" w:firstLineChars="250"/>
        <w:rPr>
          <w:rFonts w:ascii="宋体" w:hAnsi="宋体"/>
          <w:b/>
          <w:sz w:val="22"/>
        </w:rPr>
      </w:pPr>
      <w:r>
        <w:rPr>
          <w:rFonts w:hint="eastAsia" w:ascii="宋体" w:hAnsi="宋体"/>
          <w:b/>
          <w:sz w:val="22"/>
        </w:rPr>
        <w:t>第四条  保密协定</w:t>
      </w:r>
    </w:p>
    <w:p>
      <w:pPr>
        <w:spacing w:line="400" w:lineRule="exact"/>
        <w:ind w:firstLine="440" w:firstLineChars="200"/>
        <w:rPr>
          <w:rFonts w:ascii="宋体" w:hAnsi="宋体"/>
          <w:sz w:val="22"/>
        </w:rPr>
      </w:pPr>
      <w:r>
        <w:rPr>
          <w:rFonts w:hint="eastAsia" w:ascii="宋体" w:hAnsi="宋体"/>
          <w:sz w:val="22"/>
        </w:rPr>
        <w:t>服务人对委托人所提供资料中涉及到委托人内部信息及商业秘密，以及本项目研究结果、实施步骤等内容，以及可能对委托人经营业务和发展造成直接或间接负面影响的任何信息，均负有完整的、长期性的保密义务。除非是经委托人书面同意，服务人严禁把本中有关的信息、数据透漏给第三方。</w:t>
      </w:r>
    </w:p>
    <w:p>
      <w:pPr>
        <w:spacing w:line="400" w:lineRule="exact"/>
        <w:ind w:firstLine="440" w:firstLineChars="200"/>
        <w:rPr>
          <w:rFonts w:ascii="宋体" w:hAnsi="宋体"/>
          <w:sz w:val="22"/>
        </w:rPr>
      </w:pPr>
      <w:r>
        <w:rPr>
          <w:rFonts w:hint="eastAsia" w:ascii="Tahoma" w:hAnsi="Tahoma" w:cs="Tahoma"/>
          <w:color w:val="000000"/>
          <w:kern w:val="0"/>
          <w:sz w:val="22"/>
          <w:lang w:val="zh-CN"/>
        </w:rPr>
        <w:t>如因服务违反本条规定的保密义务而导致委托人遭受损失的，则服务人应向委托人承担赔偿责任。</w:t>
      </w:r>
    </w:p>
    <w:p>
      <w:pPr>
        <w:adjustRightInd w:val="0"/>
        <w:snapToGrid w:val="0"/>
        <w:spacing w:line="400" w:lineRule="exact"/>
        <w:ind w:firstLine="570"/>
        <w:rPr>
          <w:rFonts w:ascii="宋体" w:hAnsi="宋体"/>
          <w:b/>
          <w:sz w:val="22"/>
        </w:rPr>
      </w:pPr>
      <w:r>
        <w:rPr>
          <w:rFonts w:hint="eastAsia" w:ascii="宋体" w:hAnsi="宋体"/>
          <w:b/>
          <w:sz w:val="22"/>
        </w:rPr>
        <w:t>第五条 项目验收</w:t>
      </w:r>
    </w:p>
    <w:p>
      <w:pPr>
        <w:spacing w:line="400" w:lineRule="exact"/>
        <w:ind w:firstLine="440" w:firstLineChars="200"/>
        <w:rPr>
          <w:rFonts w:ascii="宋体" w:hAnsi="宋体"/>
          <w:sz w:val="22"/>
        </w:rPr>
      </w:pPr>
      <w:r>
        <w:rPr>
          <w:rFonts w:hint="eastAsia" w:ascii="宋体" w:hAnsi="宋体"/>
          <w:sz w:val="22"/>
        </w:rPr>
        <w:t>双方约定，按以下标准和方式对服务人提交的工作成果进行验收：</w:t>
      </w:r>
    </w:p>
    <w:p>
      <w:pPr>
        <w:spacing w:line="400" w:lineRule="exact"/>
        <w:ind w:firstLine="550" w:firstLineChars="250"/>
        <w:rPr>
          <w:rFonts w:ascii="宋体" w:hAnsi="宋体"/>
          <w:sz w:val="22"/>
        </w:rPr>
      </w:pPr>
      <w:r>
        <w:rPr>
          <w:rFonts w:hint="eastAsia" w:ascii="宋体" w:hAnsi="宋体"/>
          <w:sz w:val="22"/>
        </w:rPr>
        <w:t>软件功能完整、软件使用通畅、软件运行稳定</w:t>
      </w:r>
    </w:p>
    <w:p>
      <w:pPr>
        <w:adjustRightInd w:val="0"/>
        <w:snapToGrid w:val="0"/>
        <w:spacing w:line="400" w:lineRule="exact"/>
        <w:ind w:firstLine="570"/>
        <w:rPr>
          <w:rFonts w:ascii="宋体" w:hAnsi="宋体"/>
          <w:b/>
          <w:sz w:val="22"/>
        </w:rPr>
      </w:pPr>
      <w:r>
        <w:rPr>
          <w:rFonts w:hint="eastAsia" w:ascii="宋体" w:hAnsi="宋体"/>
          <w:b/>
          <w:sz w:val="22"/>
        </w:rPr>
        <w:t>第六条 合同变更</w:t>
      </w:r>
    </w:p>
    <w:p>
      <w:pPr>
        <w:spacing w:line="400" w:lineRule="exact"/>
        <w:ind w:firstLine="440" w:firstLineChars="200"/>
        <w:rPr>
          <w:rFonts w:ascii="宋体" w:hAnsi="宋体"/>
          <w:sz w:val="22"/>
        </w:rPr>
      </w:pPr>
      <w:r>
        <w:rPr>
          <w:rFonts w:hint="eastAsia" w:ascii="宋体" w:hAnsi="宋体"/>
          <w:sz w:val="22"/>
        </w:rPr>
        <w:t>本合同的变更必须由双方协商一致，并以书面形式确定。</w:t>
      </w:r>
    </w:p>
    <w:p>
      <w:pPr>
        <w:pStyle w:val="25"/>
        <w:spacing w:line="400" w:lineRule="exact"/>
        <w:ind w:firstLine="110" w:firstLineChars="50"/>
        <w:rPr>
          <w:b/>
          <w:sz w:val="22"/>
          <w:szCs w:val="22"/>
        </w:rPr>
      </w:pPr>
      <w:r>
        <w:rPr>
          <w:b/>
          <w:sz w:val="22"/>
          <w:szCs w:val="22"/>
        </w:rPr>
        <w:t>第七条 合同补充</w:t>
      </w:r>
    </w:p>
    <w:p>
      <w:pPr>
        <w:spacing w:line="400" w:lineRule="exact"/>
        <w:ind w:firstLine="440" w:firstLineChars="200"/>
        <w:rPr>
          <w:rFonts w:ascii="宋体" w:hAnsi="宋体"/>
          <w:sz w:val="22"/>
        </w:rPr>
      </w:pPr>
      <w:r>
        <w:rPr>
          <w:rFonts w:hint="eastAsia" w:ascii="宋体" w:hAnsi="宋体"/>
          <w:sz w:val="22"/>
        </w:rPr>
        <w:t>在本项目研究过程中，发生或出现具有全局性或重要意义的事件或事态，并可能影响本项目最终研究成果的准确性和指导性，委托人和服务人双方经协商后可签署补充协议、修改相关内容，本合同的相关协议与合同约定条款同等效力。</w:t>
      </w:r>
    </w:p>
    <w:p>
      <w:pPr>
        <w:adjustRightInd w:val="0"/>
        <w:snapToGrid w:val="0"/>
        <w:spacing w:line="400" w:lineRule="exact"/>
        <w:ind w:firstLine="442" w:firstLineChars="200"/>
        <w:rPr>
          <w:rFonts w:ascii="宋体" w:hAnsi="宋体"/>
          <w:b/>
          <w:sz w:val="22"/>
        </w:rPr>
      </w:pPr>
      <w:r>
        <w:rPr>
          <w:rFonts w:hint="eastAsia" w:ascii="宋体" w:hAnsi="宋体"/>
          <w:b/>
          <w:sz w:val="22"/>
        </w:rPr>
        <w:t xml:space="preserve"> 第八条 合同解除</w:t>
      </w:r>
    </w:p>
    <w:p>
      <w:pPr>
        <w:spacing w:line="400" w:lineRule="exact"/>
        <w:ind w:firstLine="440" w:firstLineChars="200"/>
        <w:rPr>
          <w:rFonts w:ascii="宋体" w:hAnsi="宋体"/>
          <w:sz w:val="22"/>
        </w:rPr>
      </w:pPr>
      <w:r>
        <w:rPr>
          <w:rFonts w:hint="eastAsia" w:ascii="宋体" w:hAnsi="宋体"/>
          <w:sz w:val="22"/>
        </w:rPr>
        <w:t>双方约定，出现下列情形，致使本合同的履行成为不必要或不可能的，可以解除本合同：</w:t>
      </w:r>
    </w:p>
    <w:p>
      <w:pPr>
        <w:spacing w:line="400" w:lineRule="exact"/>
        <w:ind w:firstLine="440" w:firstLineChars="200"/>
        <w:rPr>
          <w:rFonts w:ascii="宋体" w:hAnsi="宋体"/>
          <w:sz w:val="22"/>
        </w:rPr>
      </w:pPr>
      <w:r>
        <w:rPr>
          <w:rFonts w:hint="eastAsia" w:ascii="宋体" w:hAnsi="宋体"/>
          <w:sz w:val="22"/>
        </w:rPr>
        <w:t>一、双方确定的权利与义务履行完毕；</w:t>
      </w:r>
    </w:p>
    <w:p>
      <w:pPr>
        <w:spacing w:line="400" w:lineRule="exact"/>
        <w:ind w:firstLine="440" w:firstLineChars="200"/>
        <w:rPr>
          <w:rFonts w:ascii="宋体" w:hAnsi="宋体"/>
          <w:sz w:val="22"/>
        </w:rPr>
      </w:pPr>
      <w:r>
        <w:rPr>
          <w:rFonts w:hint="eastAsia" w:ascii="宋体" w:hAnsi="宋体"/>
          <w:sz w:val="22"/>
        </w:rPr>
        <w:t>二、双方经共同协商解除本合同；</w:t>
      </w:r>
    </w:p>
    <w:p>
      <w:pPr>
        <w:spacing w:line="400" w:lineRule="exact"/>
        <w:ind w:firstLine="440" w:firstLineChars="200"/>
        <w:rPr>
          <w:rFonts w:ascii="宋体" w:hAnsi="宋体"/>
          <w:sz w:val="22"/>
        </w:rPr>
      </w:pPr>
      <w:r>
        <w:rPr>
          <w:rFonts w:hint="eastAsia" w:ascii="宋体" w:hAnsi="宋体"/>
          <w:sz w:val="22"/>
        </w:rPr>
        <w:t>三、因发生战争、地震、水灾、火灾、传染病、政府的限制等不可抗力。</w:t>
      </w:r>
    </w:p>
    <w:p>
      <w:pPr>
        <w:adjustRightInd w:val="0"/>
        <w:snapToGrid w:val="0"/>
        <w:spacing w:line="400" w:lineRule="exact"/>
        <w:ind w:firstLine="555"/>
        <w:rPr>
          <w:rFonts w:ascii="宋体" w:hAnsi="宋体"/>
          <w:b/>
          <w:sz w:val="22"/>
        </w:rPr>
      </w:pPr>
      <w:r>
        <w:rPr>
          <w:rFonts w:hint="eastAsia" w:ascii="宋体" w:hAnsi="宋体"/>
          <w:b/>
          <w:sz w:val="22"/>
        </w:rPr>
        <w:t>第九条 违约责任</w:t>
      </w:r>
    </w:p>
    <w:p>
      <w:pPr>
        <w:spacing w:line="400" w:lineRule="exact"/>
        <w:ind w:firstLine="440" w:firstLineChars="200"/>
        <w:rPr>
          <w:rFonts w:ascii="宋体" w:hAnsi="宋体"/>
          <w:sz w:val="22"/>
        </w:rPr>
      </w:pPr>
      <w:r>
        <w:rPr>
          <w:rFonts w:hint="eastAsia" w:ascii="宋体" w:hAnsi="宋体"/>
          <w:sz w:val="22"/>
        </w:rPr>
        <w:t>1、若服务人因自身原因未按时完成项目，或服务人违反本合同约定条款造成重大影响的，委托人有权要求服务人承担本合同总价款的5%为违约金，并有权解除本合同，本合同因此解除的，服务人应返还委托人全部已付项目合同费用。</w:t>
      </w:r>
    </w:p>
    <w:p>
      <w:pPr>
        <w:spacing w:line="400" w:lineRule="exact"/>
        <w:ind w:firstLine="440" w:firstLineChars="200"/>
        <w:rPr>
          <w:rFonts w:ascii="宋体" w:hAnsi="宋体"/>
          <w:sz w:val="22"/>
        </w:rPr>
      </w:pPr>
      <w:r>
        <w:rPr>
          <w:rFonts w:hint="eastAsia" w:ascii="宋体" w:hAnsi="宋体"/>
          <w:sz w:val="22"/>
        </w:rPr>
        <w:t>2、若因委托人违反本合同约定条款的，服务人有权要求委托人承担本合同总价款的5%为违约金，并有权解除本合同，本合同因此解除的，委托人应支付服务人所完成工作对应项目合同费用。</w:t>
      </w:r>
    </w:p>
    <w:p>
      <w:pPr>
        <w:spacing w:line="400" w:lineRule="exact"/>
        <w:ind w:firstLine="433" w:firstLineChars="196"/>
        <w:rPr>
          <w:rFonts w:ascii="宋体" w:hAnsi="宋体" w:cs="宋体"/>
          <w:b/>
          <w:kern w:val="0"/>
          <w:sz w:val="22"/>
        </w:rPr>
      </w:pPr>
      <w:r>
        <w:rPr>
          <w:rFonts w:hint="eastAsia" w:ascii="宋体" w:hAnsi="宋体" w:cs="宋体"/>
          <w:b/>
          <w:kern w:val="0"/>
          <w:sz w:val="22"/>
        </w:rPr>
        <w:t>第十条  争议的解决</w:t>
      </w:r>
    </w:p>
    <w:p>
      <w:pPr>
        <w:spacing w:line="400" w:lineRule="exact"/>
        <w:ind w:firstLine="440" w:firstLineChars="200"/>
        <w:rPr>
          <w:rFonts w:ascii="宋体" w:hAnsi="宋体"/>
          <w:sz w:val="22"/>
        </w:rPr>
      </w:pPr>
      <w:r>
        <w:rPr>
          <w:rFonts w:hint="eastAsia" w:ascii="宋体" w:hAnsi="宋体"/>
          <w:sz w:val="22"/>
        </w:rPr>
        <w:t>因履行本合同引起的或与本合同有关的争议，甲、乙双方应首先通过友好协商解决，如果协商不能解决争议，向合同签订地有管辖权的人民法院提起诉讼，在诉讼期间，本合同应继续履行。</w:t>
      </w:r>
    </w:p>
    <w:p>
      <w:pPr>
        <w:spacing w:line="400" w:lineRule="exact"/>
        <w:ind w:firstLine="433" w:firstLineChars="196"/>
        <w:rPr>
          <w:rFonts w:ascii="宋体" w:hAnsi="宋体" w:cs="宋体"/>
          <w:b/>
          <w:kern w:val="0"/>
          <w:sz w:val="22"/>
        </w:rPr>
      </w:pPr>
      <w:r>
        <w:rPr>
          <w:rFonts w:hint="eastAsia" w:ascii="宋体" w:hAnsi="宋体" w:cs="宋体"/>
          <w:b/>
          <w:kern w:val="0"/>
          <w:sz w:val="22"/>
        </w:rPr>
        <w:t>第十一条　合同生效及其他</w:t>
      </w:r>
    </w:p>
    <w:p>
      <w:pPr>
        <w:spacing w:line="400" w:lineRule="exact"/>
        <w:ind w:firstLine="440" w:firstLineChars="200"/>
        <w:rPr>
          <w:rFonts w:ascii="宋体" w:hAnsi="宋体"/>
          <w:sz w:val="22"/>
        </w:rPr>
      </w:pPr>
      <w:r>
        <w:rPr>
          <w:rFonts w:hint="eastAsia" w:ascii="宋体" w:hAnsi="宋体"/>
          <w:sz w:val="22"/>
        </w:rPr>
        <w:t>1、本合同一式六份，委托人四份，服务人二份，均具有同等法律效力自签订之日起生效。</w:t>
      </w:r>
    </w:p>
    <w:p>
      <w:pPr>
        <w:spacing w:line="400" w:lineRule="exact"/>
        <w:ind w:firstLine="440" w:firstLineChars="200"/>
        <w:rPr>
          <w:rFonts w:ascii="宋体" w:hAnsi="宋体"/>
          <w:sz w:val="22"/>
        </w:rPr>
      </w:pPr>
      <w:r>
        <w:rPr>
          <w:rFonts w:hint="eastAsia" w:ascii="宋体" w:hAnsi="宋体"/>
          <w:sz w:val="22"/>
        </w:rPr>
        <w:t>2、本合同应按照中华人民共和国的现行法律进行解释。</w:t>
      </w:r>
    </w:p>
    <w:p>
      <w:pPr>
        <w:spacing w:line="400" w:lineRule="exact"/>
        <w:ind w:firstLine="440" w:firstLineChars="200"/>
        <w:rPr>
          <w:rFonts w:ascii="宋体" w:hAnsi="宋体"/>
          <w:sz w:val="22"/>
        </w:rPr>
      </w:pPr>
      <w:r>
        <w:rPr>
          <w:rFonts w:hint="eastAsia" w:ascii="宋体" w:hAnsi="宋体"/>
          <w:sz w:val="22"/>
        </w:rPr>
        <w:t>3、因委托人原因需增加或减少服务时，以委托人书面通知为准，价格按所报的投标文件执行，合同总价款随之做相应的调整，所增加附件与本合同具有同等法律效力。</w:t>
      </w:r>
    </w:p>
    <w:p>
      <w:pPr>
        <w:adjustRightInd w:val="0"/>
        <w:snapToGrid w:val="0"/>
        <w:spacing w:line="360" w:lineRule="auto"/>
        <w:rPr>
          <w:rFonts w:ascii="宋体" w:hAnsi="宋体"/>
          <w:sz w:val="22"/>
        </w:rPr>
      </w:pPr>
    </w:p>
    <w:p>
      <w:pPr>
        <w:spacing w:line="560" w:lineRule="exact"/>
        <w:rPr>
          <w:rFonts w:ascii="宋体" w:hAnsi="宋体" w:cs="宋体"/>
          <w:kern w:val="0"/>
          <w:sz w:val="22"/>
        </w:rPr>
      </w:pPr>
      <w:r>
        <w:rPr>
          <w:rFonts w:hint="eastAsia" w:ascii="宋体" w:hAnsi="宋体" w:cs="宋体"/>
          <w:kern w:val="0"/>
          <w:sz w:val="22"/>
        </w:rPr>
        <w:t>委托人：（盖章）                      服务人：（盖章）</w:t>
      </w:r>
    </w:p>
    <w:p>
      <w:pPr>
        <w:spacing w:line="560" w:lineRule="exact"/>
        <w:rPr>
          <w:rFonts w:ascii="宋体" w:hAnsi="宋体" w:cs="宋体"/>
          <w:kern w:val="0"/>
          <w:sz w:val="22"/>
        </w:rPr>
      </w:pPr>
    </w:p>
    <w:p>
      <w:pPr>
        <w:spacing w:line="560" w:lineRule="exact"/>
        <w:rPr>
          <w:rFonts w:ascii="宋体" w:hAnsi="宋体" w:cs="宋体"/>
          <w:kern w:val="0"/>
          <w:sz w:val="22"/>
          <w:u w:val="single"/>
        </w:rPr>
      </w:pPr>
      <w:r>
        <w:rPr>
          <w:rFonts w:hint="eastAsia" w:ascii="宋体" w:hAnsi="宋体" w:cs="宋体"/>
          <w:kern w:val="0"/>
          <w:sz w:val="22"/>
        </w:rPr>
        <w:t>法定（授权）代表人</w:t>
      </w:r>
      <w:r>
        <w:rPr>
          <w:rFonts w:hint="eastAsia" w:ascii="宋体" w:hAnsi="宋体" w:cs="宋体"/>
          <w:kern w:val="0"/>
          <w:sz w:val="22"/>
          <w:u w:val="single"/>
        </w:rPr>
        <w:t xml:space="preserve">              </w:t>
      </w:r>
      <w:r>
        <w:rPr>
          <w:rFonts w:hint="eastAsia" w:ascii="宋体" w:hAnsi="宋体" w:cs="宋体"/>
          <w:kern w:val="0"/>
          <w:sz w:val="22"/>
        </w:rPr>
        <w:t xml:space="preserve"> 法定（授权）代表人：</w:t>
      </w:r>
      <w:r>
        <w:rPr>
          <w:rFonts w:hint="eastAsia" w:ascii="宋体" w:hAnsi="宋体" w:cs="宋体"/>
          <w:kern w:val="0"/>
          <w:sz w:val="22"/>
          <w:u w:val="single"/>
        </w:rPr>
        <w:t xml:space="preserve">                      </w:t>
      </w:r>
    </w:p>
    <w:p>
      <w:pPr>
        <w:spacing w:line="560" w:lineRule="exact"/>
        <w:rPr>
          <w:rFonts w:ascii="宋体" w:hAnsi="宋体" w:cs="宋体"/>
          <w:kern w:val="0"/>
          <w:sz w:val="22"/>
        </w:rPr>
      </w:pPr>
    </w:p>
    <w:p>
      <w:pPr>
        <w:spacing w:line="560" w:lineRule="exact"/>
        <w:rPr>
          <w:rFonts w:ascii="宋体" w:hAnsi="宋体" w:cs="宋体"/>
          <w:kern w:val="0"/>
          <w:sz w:val="22"/>
          <w:u w:val="single"/>
        </w:rPr>
      </w:pPr>
      <w:r>
        <w:rPr>
          <w:rFonts w:hint="eastAsia" w:ascii="宋体" w:hAnsi="宋体" w:cs="宋体"/>
          <w:kern w:val="0"/>
          <w:sz w:val="22"/>
        </w:rPr>
        <w:t>电      话：</w:t>
      </w:r>
      <w:r>
        <w:rPr>
          <w:rFonts w:hint="eastAsia" w:ascii="宋体" w:hAnsi="宋体" w:cs="宋体"/>
          <w:kern w:val="0"/>
          <w:sz w:val="22"/>
          <w:u w:val="single"/>
        </w:rPr>
        <w:t xml:space="preserve">                  </w:t>
      </w:r>
      <w:r>
        <w:rPr>
          <w:rFonts w:hint="eastAsia" w:ascii="宋体" w:hAnsi="宋体" w:cs="宋体"/>
          <w:kern w:val="0"/>
          <w:sz w:val="22"/>
        </w:rPr>
        <w:t xml:space="preserve">      电     话：</w:t>
      </w:r>
      <w:r>
        <w:rPr>
          <w:rFonts w:hint="eastAsia" w:ascii="宋体" w:hAnsi="宋体" w:cs="宋体"/>
          <w:kern w:val="0"/>
          <w:sz w:val="22"/>
          <w:u w:val="single"/>
        </w:rPr>
        <w:t xml:space="preserve">                 </w:t>
      </w:r>
    </w:p>
    <w:p>
      <w:pPr>
        <w:spacing w:line="560" w:lineRule="exact"/>
        <w:ind w:left="5830" w:hanging="5830" w:hangingChars="2650"/>
        <w:rPr>
          <w:rFonts w:ascii="宋体" w:hAnsi="宋体" w:cs="宋体"/>
          <w:kern w:val="0"/>
          <w:sz w:val="22"/>
        </w:rPr>
      </w:pPr>
    </w:p>
    <w:p>
      <w:pPr>
        <w:spacing w:line="560" w:lineRule="exact"/>
        <w:ind w:left="5830" w:hanging="5830" w:hangingChars="2650"/>
        <w:rPr>
          <w:rFonts w:ascii="宋体" w:hAnsi="宋体" w:cs="宋体"/>
          <w:kern w:val="0"/>
          <w:sz w:val="22"/>
          <w:u w:val="single"/>
        </w:rPr>
      </w:pPr>
      <w:r>
        <w:rPr>
          <w:rFonts w:hint="eastAsia" w:ascii="宋体" w:hAnsi="宋体" w:cs="宋体"/>
          <w:kern w:val="0"/>
          <w:sz w:val="22"/>
        </w:rPr>
        <w:t>住      所：</w:t>
      </w:r>
      <w:r>
        <w:rPr>
          <w:rFonts w:hint="eastAsia" w:ascii="宋体" w:hAnsi="宋体" w:cs="宋体"/>
          <w:kern w:val="0"/>
          <w:sz w:val="22"/>
          <w:u w:val="single"/>
        </w:rPr>
        <w:t xml:space="preserve">                </w:t>
      </w:r>
      <w:r>
        <w:rPr>
          <w:rFonts w:hint="eastAsia" w:ascii="宋体" w:hAnsi="宋体" w:cs="宋体"/>
          <w:kern w:val="0"/>
          <w:sz w:val="22"/>
        </w:rPr>
        <w:t xml:space="preserve">        住     所： </w:t>
      </w:r>
      <w:r>
        <w:rPr>
          <w:rFonts w:hint="eastAsia" w:ascii="宋体" w:hAnsi="宋体" w:cs="宋体"/>
          <w:kern w:val="0"/>
          <w:sz w:val="22"/>
          <w:u w:val="single"/>
        </w:rPr>
        <w:t xml:space="preserve">                 </w:t>
      </w:r>
    </w:p>
    <w:p>
      <w:pPr>
        <w:spacing w:line="560" w:lineRule="exact"/>
        <w:rPr>
          <w:rFonts w:ascii="宋体" w:hAnsi="宋体"/>
          <w:sz w:val="22"/>
        </w:rPr>
      </w:pPr>
    </w:p>
    <w:p>
      <w:pPr>
        <w:widowControl/>
        <w:jc w:val="left"/>
        <w:rPr>
          <w:rFonts w:cs="Calibri"/>
          <w:bCs/>
          <w:kern w:val="0"/>
          <w:sz w:val="22"/>
        </w:rPr>
        <w:sectPr>
          <w:headerReference r:id="rId7" w:type="first"/>
          <w:pgSz w:w="11906" w:h="16838"/>
          <w:pgMar w:top="1134" w:right="1247" w:bottom="1134" w:left="1247" w:header="851" w:footer="1134" w:gutter="0"/>
          <w:pgNumType w:fmt="numberInDash"/>
          <w:cols w:space="720" w:num="1"/>
          <w:docGrid w:linePitch="312" w:charSpace="0"/>
        </w:sectPr>
      </w:pPr>
    </w:p>
    <w:p>
      <w:pPr>
        <w:pStyle w:val="2"/>
        <w:spacing w:before="0" w:after="0" w:line="360" w:lineRule="auto"/>
        <w:jc w:val="center"/>
        <w:rPr>
          <w:rFonts w:ascii="Calibri" w:hAnsi="Calibri" w:eastAsia="黑体" w:cs="Calibri"/>
          <w:kern w:val="0"/>
          <w:sz w:val="32"/>
        </w:rPr>
      </w:pPr>
      <w:bookmarkStart w:id="133"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33"/>
    </w:p>
    <w:p>
      <w:pPr>
        <w:pStyle w:val="21"/>
        <w:spacing w:line="360" w:lineRule="exact"/>
        <w:ind w:firstLine="420"/>
        <w:rPr>
          <w:rFonts w:hAnsi="宋体" w:cs="Calibri"/>
          <w:bCs/>
          <w:sz w:val="22"/>
          <w:szCs w:val="22"/>
        </w:rPr>
      </w:pPr>
      <w:bookmarkStart w:id="134"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21"/>
        <w:spacing w:line="360" w:lineRule="exact"/>
        <w:rPr>
          <w:rFonts w:hAnsi="宋体" w:cs="Calibri"/>
          <w:b/>
          <w:bCs/>
          <w:sz w:val="22"/>
          <w:szCs w:val="22"/>
        </w:rPr>
      </w:pPr>
      <w:r>
        <w:rPr>
          <w:rFonts w:hAnsi="宋体" w:cs="Calibri"/>
          <w:b/>
          <w:bCs/>
          <w:sz w:val="22"/>
          <w:szCs w:val="22"/>
        </w:rPr>
        <w:t>一、评标原则</w:t>
      </w:r>
    </w:p>
    <w:p>
      <w:pPr>
        <w:pStyle w:val="21"/>
        <w:spacing w:line="360" w:lineRule="exact"/>
        <w:ind w:firstLine="420"/>
        <w:rPr>
          <w:rFonts w:hAnsi="宋体" w:cs="Calibri"/>
          <w:sz w:val="22"/>
          <w:szCs w:val="22"/>
        </w:rPr>
      </w:pPr>
      <w:r>
        <w:rPr>
          <w:rFonts w:hAnsi="宋体" w:cs="Calibri"/>
          <w:bCs/>
          <w:sz w:val="22"/>
          <w:szCs w:val="22"/>
        </w:rPr>
        <w:t>评标应遵循公平、公正、科学、择优的原则。</w:t>
      </w:r>
    </w:p>
    <w:p>
      <w:pPr>
        <w:pStyle w:val="21"/>
        <w:spacing w:line="360" w:lineRule="exact"/>
        <w:rPr>
          <w:rFonts w:hAnsi="宋体" w:cs="Calibri"/>
          <w:b/>
          <w:bCs/>
          <w:sz w:val="22"/>
          <w:szCs w:val="22"/>
        </w:rPr>
      </w:pPr>
      <w:r>
        <w:rPr>
          <w:rFonts w:hAnsi="宋体" w:cs="Calibri"/>
          <w:b/>
          <w:bCs/>
          <w:sz w:val="22"/>
          <w:szCs w:val="22"/>
        </w:rPr>
        <w:t>二、评标组织</w:t>
      </w:r>
    </w:p>
    <w:p>
      <w:pPr>
        <w:pStyle w:val="2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21"/>
        <w:spacing w:line="360" w:lineRule="exact"/>
        <w:rPr>
          <w:rFonts w:hAnsi="宋体" w:cs="Calibri"/>
          <w:b/>
          <w:bCs/>
          <w:sz w:val="22"/>
          <w:szCs w:val="22"/>
        </w:rPr>
      </w:pPr>
      <w:r>
        <w:rPr>
          <w:rFonts w:hAnsi="宋体" w:cs="Calibri"/>
          <w:b/>
          <w:bCs/>
          <w:sz w:val="22"/>
          <w:szCs w:val="22"/>
        </w:rPr>
        <w:t>三、投标文件的评审</w:t>
      </w:r>
    </w:p>
    <w:p>
      <w:pPr>
        <w:pStyle w:val="2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1"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1"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1"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1"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1"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1"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2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21"/>
        <w:numPr>
          <w:ilvl w:val="0"/>
          <w:numId w:val="3"/>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21"/>
        <w:numPr>
          <w:ilvl w:val="0"/>
          <w:numId w:val="3"/>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2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2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2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2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2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 60分</w:t>
      </w:r>
    </w:p>
    <w:p>
      <w:pPr>
        <w:pStyle w:val="2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数平均值与次低价的算数平均值作为评标基准价，如有效投标报价的数量小于4个，则评标基准价为所有有效投标报价的算数平均值与最低价的算数平均值。</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投标人的投标价等于评标基准价的得6</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21"/>
        <w:numPr>
          <w:ilvl w:val="0"/>
          <w:numId w:val="2"/>
        </w:numPr>
        <w:adjustRightInd w:val="0"/>
        <w:snapToGrid w:val="0"/>
        <w:spacing w:line="360" w:lineRule="exact"/>
        <w:rPr>
          <w:rFonts w:hAnsi="宋体" w:cs="Calibri"/>
          <w:sz w:val="22"/>
          <w:szCs w:val="22"/>
        </w:rPr>
      </w:pPr>
      <w:r>
        <w:rPr>
          <w:rFonts w:hint="eastAsia" w:hAnsi="宋体" w:cs="Calibri"/>
          <w:sz w:val="22"/>
          <w:szCs w:val="22"/>
        </w:rPr>
        <w:t>资信及技术评分  0-40分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p>
      <w:pPr>
        <w:widowControl/>
        <w:jc w:val="left"/>
        <w:rPr>
          <w:rFonts w:hAnsi="宋体" w:cs="Calibri"/>
          <w:sz w:val="22"/>
        </w:rPr>
      </w:pPr>
    </w:p>
    <w:tbl>
      <w:tblPr>
        <w:tblStyle w:val="53"/>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701"/>
        <w:gridCol w:w="505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trPr>
        <w:tc>
          <w:tcPr>
            <w:tcW w:w="160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2"/>
              </w:rPr>
            </w:pPr>
            <w:r>
              <w:rPr>
                <w:rFonts w:hint="eastAsia" w:ascii="宋体" w:hAnsi="宋体"/>
                <w:sz w:val="22"/>
              </w:rPr>
              <w:t>评分因素</w:t>
            </w:r>
          </w:p>
          <w:p>
            <w:pPr>
              <w:snapToGrid w:val="0"/>
              <w:jc w:val="center"/>
              <w:rPr>
                <w:rFonts w:ascii="宋体" w:hAnsi="宋体"/>
                <w:sz w:val="22"/>
              </w:rPr>
            </w:pPr>
            <w:r>
              <w:rPr>
                <w:rFonts w:hint="eastAsia" w:ascii="宋体" w:hAnsi="宋体"/>
                <w:sz w:val="22"/>
              </w:rPr>
              <w:t>及分值权重</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2"/>
              </w:rPr>
            </w:pPr>
            <w:r>
              <w:rPr>
                <w:rFonts w:hint="eastAsia" w:ascii="宋体" w:hAnsi="宋体"/>
                <w:sz w:val="22"/>
              </w:rPr>
              <w:t>评审因素子项</w:t>
            </w:r>
          </w:p>
        </w:tc>
        <w:tc>
          <w:tcPr>
            <w:tcW w:w="50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2"/>
              </w:rPr>
            </w:pPr>
            <w:r>
              <w:rPr>
                <w:rFonts w:hint="eastAsia" w:ascii="宋体" w:hAnsi="宋体"/>
                <w:sz w:val="22"/>
              </w:rPr>
              <w:t>评分标准</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2"/>
              </w:rPr>
            </w:pPr>
            <w:r>
              <w:rPr>
                <w:rFonts w:hint="eastAsia" w:ascii="宋体" w:hAnsi="宋体"/>
                <w:sz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606" w:type="dxa"/>
            <w:vMerge w:val="restart"/>
            <w:vAlign w:val="center"/>
          </w:tcPr>
          <w:p>
            <w:pPr>
              <w:snapToGrid w:val="0"/>
              <w:jc w:val="center"/>
              <w:rPr>
                <w:rFonts w:ascii="宋体" w:hAnsi="宋体"/>
                <w:sz w:val="22"/>
              </w:rPr>
            </w:pPr>
            <w:r>
              <w:rPr>
                <w:rFonts w:hint="eastAsia" w:ascii="宋体" w:hAnsi="宋体"/>
                <w:sz w:val="22"/>
              </w:rPr>
              <w:t>技术标评分（满分30分）</w:t>
            </w:r>
          </w:p>
        </w:tc>
        <w:tc>
          <w:tcPr>
            <w:tcW w:w="1701" w:type="dxa"/>
            <w:vAlign w:val="center"/>
          </w:tcPr>
          <w:p>
            <w:pPr>
              <w:jc w:val="center"/>
              <w:rPr>
                <w:rFonts w:ascii="宋体" w:hAnsi="宋体"/>
                <w:sz w:val="22"/>
              </w:rPr>
            </w:pPr>
            <w:r>
              <w:rPr>
                <w:rFonts w:hint="eastAsia" w:ascii="宋体" w:hAnsi="宋体"/>
                <w:sz w:val="22"/>
              </w:rPr>
              <w:t>标书完整性</w:t>
            </w:r>
          </w:p>
        </w:tc>
        <w:tc>
          <w:tcPr>
            <w:tcW w:w="5057" w:type="dxa"/>
            <w:vAlign w:val="center"/>
          </w:tcPr>
          <w:p>
            <w:pPr>
              <w:jc w:val="left"/>
              <w:rPr>
                <w:rFonts w:ascii="宋体" w:hAnsi="宋体"/>
                <w:sz w:val="22"/>
              </w:rPr>
            </w:pPr>
            <w:r>
              <w:rPr>
                <w:rFonts w:hint="eastAsia" w:ascii="宋体" w:hAnsi="宋体"/>
                <w:sz w:val="22"/>
              </w:rPr>
              <w:t>按标书要求提供，缺一项扣</w:t>
            </w:r>
            <w:r>
              <w:rPr>
                <w:rFonts w:ascii="宋体" w:hAnsi="宋体"/>
                <w:sz w:val="22"/>
              </w:rPr>
              <w:t>1分，扣完为止</w:t>
            </w:r>
          </w:p>
        </w:tc>
        <w:tc>
          <w:tcPr>
            <w:tcW w:w="1276" w:type="dxa"/>
            <w:vAlign w:val="center"/>
          </w:tcPr>
          <w:p>
            <w:pPr>
              <w:snapToGrid w:val="0"/>
              <w:jc w:val="center"/>
              <w:rPr>
                <w:rFonts w:ascii="宋体" w:hAnsi="宋体"/>
                <w:b/>
                <w:sz w:val="22"/>
              </w:rPr>
            </w:pPr>
            <w:r>
              <w:rPr>
                <w:rFonts w:ascii="宋体" w:hAnsi="宋体"/>
                <w:b/>
                <w:sz w:val="22"/>
              </w:rPr>
              <w:t>0-</w:t>
            </w:r>
            <w:r>
              <w:rPr>
                <w:rFonts w:hint="eastAsia" w:ascii="宋体" w:hAnsi="宋体"/>
                <w:b/>
                <w:sz w:val="22"/>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606" w:type="dxa"/>
            <w:vMerge w:val="continue"/>
            <w:vAlign w:val="center"/>
          </w:tcPr>
          <w:p>
            <w:pPr>
              <w:snapToGrid w:val="0"/>
              <w:jc w:val="center"/>
              <w:rPr>
                <w:rFonts w:ascii="宋体" w:hAnsi="宋体"/>
                <w:sz w:val="22"/>
              </w:rPr>
            </w:pPr>
          </w:p>
        </w:tc>
        <w:tc>
          <w:tcPr>
            <w:tcW w:w="1701" w:type="dxa"/>
            <w:vMerge w:val="restart"/>
            <w:vAlign w:val="center"/>
          </w:tcPr>
          <w:p>
            <w:pPr>
              <w:jc w:val="center"/>
              <w:rPr>
                <w:rFonts w:ascii="宋体" w:hAnsi="宋体"/>
                <w:sz w:val="22"/>
              </w:rPr>
            </w:pPr>
            <w:r>
              <w:rPr>
                <w:rFonts w:hint="eastAsia" w:ascii="宋体" w:hAnsi="宋体"/>
                <w:sz w:val="22"/>
              </w:rPr>
              <w:t>方案及功能实现</w:t>
            </w:r>
          </w:p>
        </w:tc>
        <w:tc>
          <w:tcPr>
            <w:tcW w:w="5057" w:type="dxa"/>
          </w:tcPr>
          <w:p>
            <w:pPr>
              <w:jc w:val="left"/>
              <w:rPr>
                <w:sz w:val="22"/>
              </w:rPr>
            </w:pPr>
            <w:r>
              <w:rPr>
                <w:rFonts w:hint="eastAsia"/>
                <w:sz w:val="22"/>
              </w:rPr>
              <w:t>理解项目需求，功能描述清晰，提供满足要求的数据使用系统：</w:t>
            </w:r>
          </w:p>
          <w:p>
            <w:pPr>
              <w:jc w:val="left"/>
              <w:rPr>
                <w:rFonts w:ascii="宋体" w:hAnsi="宋体"/>
                <w:sz w:val="22"/>
              </w:rPr>
            </w:pPr>
            <w:r>
              <w:rPr>
                <w:rFonts w:hint="eastAsia" w:ascii="宋体" w:hAnsi="宋体"/>
                <w:sz w:val="22"/>
              </w:rPr>
              <w:t>根据需求内容，点对点演示；分项详细说明得8分，未满足一项扣1分。</w:t>
            </w:r>
          </w:p>
        </w:tc>
        <w:tc>
          <w:tcPr>
            <w:tcW w:w="1276" w:type="dxa"/>
            <w:vAlign w:val="center"/>
          </w:tcPr>
          <w:p>
            <w:pPr>
              <w:snapToGrid w:val="0"/>
              <w:jc w:val="center"/>
              <w:rPr>
                <w:rFonts w:ascii="宋体" w:hAnsi="宋体"/>
                <w:b/>
                <w:sz w:val="22"/>
              </w:rPr>
            </w:pPr>
            <w:r>
              <w:rPr>
                <w:rFonts w:ascii="宋体" w:hAnsi="宋体"/>
                <w:b/>
                <w:sz w:val="22"/>
              </w:rPr>
              <w:t>0-</w:t>
            </w:r>
            <w:r>
              <w:rPr>
                <w:rFonts w:hint="eastAsia" w:ascii="宋体" w:hAnsi="宋体"/>
                <w:b/>
                <w:sz w:val="22"/>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trPr>
        <w:tc>
          <w:tcPr>
            <w:tcW w:w="1606" w:type="dxa"/>
            <w:vMerge w:val="continue"/>
            <w:vAlign w:val="center"/>
          </w:tcPr>
          <w:p>
            <w:pPr>
              <w:snapToGrid w:val="0"/>
              <w:jc w:val="center"/>
              <w:rPr>
                <w:rFonts w:ascii="宋体" w:hAnsi="宋体"/>
                <w:sz w:val="22"/>
              </w:rPr>
            </w:pPr>
          </w:p>
        </w:tc>
        <w:tc>
          <w:tcPr>
            <w:tcW w:w="1701" w:type="dxa"/>
            <w:vMerge w:val="continue"/>
            <w:vAlign w:val="center"/>
          </w:tcPr>
          <w:p>
            <w:pPr>
              <w:snapToGrid w:val="0"/>
              <w:jc w:val="center"/>
              <w:rPr>
                <w:rFonts w:ascii="宋体" w:hAnsi="宋体"/>
                <w:snapToGrid w:val="0"/>
                <w:kern w:val="0"/>
                <w:sz w:val="22"/>
              </w:rPr>
            </w:pPr>
          </w:p>
        </w:tc>
        <w:tc>
          <w:tcPr>
            <w:tcW w:w="5057" w:type="dxa"/>
          </w:tcPr>
          <w:p>
            <w:pPr>
              <w:snapToGrid w:val="0"/>
              <w:jc w:val="left"/>
              <w:rPr>
                <w:rFonts w:ascii="宋体" w:hAnsi="宋体"/>
                <w:sz w:val="22"/>
              </w:rPr>
            </w:pPr>
            <w:r>
              <w:rPr>
                <w:rFonts w:hint="eastAsia"/>
                <w:sz w:val="22"/>
              </w:rPr>
              <w:t>系统扩展性，</w:t>
            </w:r>
            <w:r>
              <w:rPr>
                <w:rFonts w:asciiTheme="minorEastAsia" w:hAnsiTheme="minorEastAsia" w:eastAsiaTheme="minorEastAsia"/>
                <w:sz w:val="22"/>
              </w:rPr>
              <w:t>能根据用户需求及时</w:t>
            </w:r>
            <w:r>
              <w:rPr>
                <w:rFonts w:hint="eastAsia" w:asciiTheme="minorEastAsia" w:hAnsiTheme="minorEastAsia" w:eastAsiaTheme="minorEastAsia"/>
                <w:sz w:val="22"/>
              </w:rPr>
              <w:t>调整修改相应功能模块。此项酌情给分。</w:t>
            </w:r>
          </w:p>
        </w:tc>
        <w:tc>
          <w:tcPr>
            <w:tcW w:w="1276" w:type="dxa"/>
            <w:vAlign w:val="center"/>
          </w:tcPr>
          <w:p>
            <w:pPr>
              <w:snapToGrid w:val="0"/>
              <w:jc w:val="center"/>
              <w:rPr>
                <w:rFonts w:ascii="宋体" w:hAnsi="宋体"/>
                <w:b/>
                <w:sz w:val="22"/>
              </w:rPr>
            </w:pPr>
            <w:r>
              <w:rPr>
                <w:rFonts w:hint="eastAsia" w:ascii="宋体" w:hAnsi="宋体"/>
                <w:b/>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trPr>
        <w:tc>
          <w:tcPr>
            <w:tcW w:w="1606" w:type="dxa"/>
            <w:vMerge w:val="continue"/>
            <w:vAlign w:val="center"/>
          </w:tcPr>
          <w:p>
            <w:pPr>
              <w:snapToGrid w:val="0"/>
              <w:jc w:val="center"/>
              <w:rPr>
                <w:rFonts w:ascii="宋体" w:hAnsi="宋体"/>
                <w:sz w:val="22"/>
              </w:rPr>
            </w:pPr>
          </w:p>
        </w:tc>
        <w:tc>
          <w:tcPr>
            <w:tcW w:w="1701" w:type="dxa"/>
            <w:vMerge w:val="continue"/>
            <w:tcBorders>
              <w:bottom w:val="single" w:color="auto" w:sz="4" w:space="0"/>
            </w:tcBorders>
            <w:vAlign w:val="center"/>
          </w:tcPr>
          <w:p>
            <w:pPr>
              <w:snapToGrid w:val="0"/>
              <w:jc w:val="center"/>
              <w:rPr>
                <w:rFonts w:ascii="宋体" w:hAnsi="宋体"/>
                <w:sz w:val="22"/>
              </w:rPr>
            </w:pPr>
          </w:p>
        </w:tc>
        <w:tc>
          <w:tcPr>
            <w:tcW w:w="5057" w:type="dxa"/>
          </w:tcPr>
          <w:p>
            <w:pPr>
              <w:snapToGrid w:val="0"/>
              <w:jc w:val="left"/>
              <w:rPr>
                <w:rFonts w:ascii="宋体" w:hAnsi="宋体"/>
                <w:sz w:val="22"/>
                <w:highlight w:val="yellow"/>
              </w:rPr>
            </w:pPr>
            <w:r>
              <w:rPr>
                <w:rFonts w:hint="eastAsia" w:ascii="宋体" w:hAnsi="宋体"/>
                <w:sz w:val="22"/>
              </w:rPr>
              <w:t>数据时效性，数据延后不超过3个月。数据延后4个月，得1分；数据延后3个月，得2分；数据延后2个月，得3分；延后1个月，得4分。延后超过4个月，得0分。</w:t>
            </w:r>
          </w:p>
        </w:tc>
        <w:tc>
          <w:tcPr>
            <w:tcW w:w="1276" w:type="dxa"/>
            <w:vAlign w:val="center"/>
          </w:tcPr>
          <w:p>
            <w:pPr>
              <w:snapToGrid w:val="0"/>
              <w:jc w:val="center"/>
              <w:rPr>
                <w:rFonts w:ascii="宋体" w:hAnsi="宋体"/>
                <w:b/>
                <w:sz w:val="22"/>
              </w:rPr>
            </w:pPr>
            <w:r>
              <w:rPr>
                <w:rFonts w:hint="eastAsia" w:ascii="宋体" w:hAnsi="宋体"/>
                <w:b/>
                <w:sz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2" w:hRule="atLeast"/>
        </w:trPr>
        <w:tc>
          <w:tcPr>
            <w:tcW w:w="1606" w:type="dxa"/>
            <w:vMerge w:val="continue"/>
            <w:vAlign w:val="center"/>
          </w:tcPr>
          <w:p>
            <w:pPr>
              <w:snapToGrid w:val="0"/>
              <w:jc w:val="center"/>
              <w:rPr>
                <w:rFonts w:ascii="宋体" w:hAnsi="宋体"/>
                <w:sz w:val="22"/>
              </w:rPr>
            </w:pPr>
          </w:p>
        </w:tc>
        <w:tc>
          <w:tcPr>
            <w:tcW w:w="1701" w:type="dxa"/>
            <w:vAlign w:val="center"/>
          </w:tcPr>
          <w:p>
            <w:pPr>
              <w:jc w:val="center"/>
              <w:rPr>
                <w:rFonts w:ascii="宋体" w:hAnsi="宋体"/>
                <w:snapToGrid w:val="0"/>
                <w:kern w:val="0"/>
                <w:sz w:val="22"/>
              </w:rPr>
            </w:pPr>
            <w:r>
              <w:rPr>
                <w:rFonts w:hint="eastAsia" w:ascii="宋体" w:hAnsi="宋体"/>
                <w:snapToGrid w:val="0"/>
                <w:kern w:val="0"/>
                <w:sz w:val="22"/>
              </w:rPr>
              <w:t>培训方案</w:t>
            </w:r>
          </w:p>
        </w:tc>
        <w:tc>
          <w:tcPr>
            <w:tcW w:w="5057" w:type="dxa"/>
            <w:vAlign w:val="center"/>
          </w:tcPr>
          <w:p>
            <w:pPr>
              <w:jc w:val="left"/>
              <w:rPr>
                <w:rFonts w:ascii="宋体" w:hAnsi="宋体"/>
                <w:sz w:val="22"/>
              </w:rPr>
            </w:pPr>
            <w:r>
              <w:rPr>
                <w:rFonts w:hint="eastAsia" w:ascii="宋体" w:hAnsi="宋体"/>
                <w:sz w:val="22"/>
              </w:rPr>
              <w:t>操作人员、管理员和技术平台培训方案健全得2分，缺一项得0分。能前往异地（如宁波、温州）提供培训的，多前往一个地点加1分。</w:t>
            </w:r>
          </w:p>
        </w:tc>
        <w:tc>
          <w:tcPr>
            <w:tcW w:w="1276" w:type="dxa"/>
            <w:vAlign w:val="center"/>
          </w:tcPr>
          <w:p>
            <w:pPr>
              <w:snapToGrid w:val="0"/>
              <w:jc w:val="center"/>
              <w:rPr>
                <w:rFonts w:ascii="宋体" w:hAnsi="宋体"/>
                <w:b/>
                <w:sz w:val="22"/>
              </w:rPr>
            </w:pPr>
            <w:r>
              <w:rPr>
                <w:rFonts w:hint="eastAsia" w:ascii="宋体" w:hAnsi="宋体"/>
                <w:b/>
                <w:sz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606" w:type="dxa"/>
            <w:vMerge w:val="continue"/>
            <w:vAlign w:val="center"/>
          </w:tcPr>
          <w:p>
            <w:pPr>
              <w:snapToGrid w:val="0"/>
              <w:jc w:val="center"/>
              <w:rPr>
                <w:rFonts w:ascii="宋体" w:hAnsi="宋体"/>
                <w:sz w:val="22"/>
              </w:rPr>
            </w:pPr>
          </w:p>
        </w:tc>
        <w:tc>
          <w:tcPr>
            <w:tcW w:w="1701" w:type="dxa"/>
            <w:vMerge w:val="restart"/>
            <w:vAlign w:val="center"/>
          </w:tcPr>
          <w:p>
            <w:pPr>
              <w:jc w:val="center"/>
              <w:rPr>
                <w:rFonts w:ascii="宋体" w:hAnsi="宋体"/>
                <w:sz w:val="22"/>
              </w:rPr>
            </w:pPr>
            <w:r>
              <w:rPr>
                <w:rFonts w:hint="eastAsia" w:ascii="宋体" w:hAnsi="宋体"/>
                <w:sz w:val="22"/>
              </w:rPr>
              <w:t>售后及增值服务</w:t>
            </w:r>
          </w:p>
        </w:tc>
        <w:tc>
          <w:tcPr>
            <w:tcW w:w="5057" w:type="dxa"/>
            <w:vAlign w:val="center"/>
          </w:tcPr>
          <w:p>
            <w:pPr>
              <w:jc w:val="left"/>
              <w:rPr>
                <w:rFonts w:ascii="宋体" w:hAnsi="宋体"/>
                <w:sz w:val="22"/>
              </w:rPr>
            </w:pPr>
            <w:r>
              <w:rPr>
                <w:rFonts w:hint="eastAsia" w:ascii="宋体" w:hAnsi="宋体"/>
                <w:sz w:val="22"/>
              </w:rPr>
              <w:t>提供售后服务方案，满足标书要求得1分，超出得2-3分（酌情给分）</w:t>
            </w:r>
          </w:p>
        </w:tc>
        <w:tc>
          <w:tcPr>
            <w:tcW w:w="1276" w:type="dxa"/>
            <w:vAlign w:val="center"/>
          </w:tcPr>
          <w:p>
            <w:pPr>
              <w:snapToGrid w:val="0"/>
              <w:jc w:val="center"/>
              <w:rPr>
                <w:rFonts w:ascii="宋体" w:hAnsi="宋体"/>
                <w:b/>
                <w:sz w:val="22"/>
              </w:rPr>
            </w:pPr>
            <w:r>
              <w:rPr>
                <w:rFonts w:hint="eastAsia" w:ascii="宋体" w:hAnsi="宋体"/>
                <w:b/>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trPr>
        <w:tc>
          <w:tcPr>
            <w:tcW w:w="1606" w:type="dxa"/>
            <w:vMerge w:val="continue"/>
            <w:vAlign w:val="center"/>
          </w:tcPr>
          <w:p>
            <w:pPr>
              <w:snapToGrid w:val="0"/>
              <w:jc w:val="center"/>
              <w:rPr>
                <w:rFonts w:ascii="宋体" w:hAnsi="宋体"/>
                <w:sz w:val="22"/>
              </w:rPr>
            </w:pPr>
          </w:p>
        </w:tc>
        <w:tc>
          <w:tcPr>
            <w:tcW w:w="1701" w:type="dxa"/>
            <w:vMerge w:val="continue"/>
            <w:vAlign w:val="center"/>
          </w:tcPr>
          <w:p>
            <w:pPr>
              <w:jc w:val="center"/>
              <w:rPr>
                <w:rFonts w:ascii="宋体" w:hAnsi="宋体"/>
                <w:sz w:val="22"/>
              </w:rPr>
            </w:pPr>
          </w:p>
        </w:tc>
        <w:tc>
          <w:tcPr>
            <w:tcW w:w="5057" w:type="dxa"/>
            <w:vAlign w:val="center"/>
          </w:tcPr>
          <w:p>
            <w:pPr>
              <w:jc w:val="left"/>
              <w:rPr>
                <w:rFonts w:ascii="宋体" w:hAnsi="宋体"/>
                <w:sz w:val="22"/>
              </w:rPr>
            </w:pPr>
            <w:r>
              <w:rPr>
                <w:rFonts w:hint="eastAsia" w:ascii="宋体" w:hAnsi="宋体"/>
                <w:sz w:val="22"/>
              </w:rPr>
              <w:t>免费额外提供的增值服务项目及其他优惠条件。综合评议，根据服务内容酌情给分，最高得3分。</w:t>
            </w:r>
          </w:p>
        </w:tc>
        <w:tc>
          <w:tcPr>
            <w:tcW w:w="1276" w:type="dxa"/>
            <w:vAlign w:val="center"/>
          </w:tcPr>
          <w:p>
            <w:pPr>
              <w:snapToGrid w:val="0"/>
              <w:jc w:val="center"/>
              <w:rPr>
                <w:rFonts w:ascii="宋体" w:hAnsi="宋体"/>
                <w:b/>
                <w:sz w:val="22"/>
              </w:rPr>
            </w:pPr>
            <w:r>
              <w:rPr>
                <w:rFonts w:hint="eastAsia" w:ascii="宋体" w:hAnsi="宋体"/>
                <w:b/>
                <w:sz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4" w:hRule="atLeast"/>
        </w:trPr>
        <w:tc>
          <w:tcPr>
            <w:tcW w:w="1606" w:type="dxa"/>
            <w:vMerge w:val="restart"/>
            <w:vAlign w:val="center"/>
          </w:tcPr>
          <w:p>
            <w:pPr>
              <w:snapToGrid w:val="0"/>
              <w:jc w:val="center"/>
              <w:rPr>
                <w:rFonts w:ascii="宋体" w:hAnsi="宋体"/>
                <w:sz w:val="22"/>
              </w:rPr>
            </w:pPr>
            <w:r>
              <w:rPr>
                <w:rFonts w:hint="eastAsia" w:ascii="宋体" w:hAnsi="宋体"/>
                <w:sz w:val="22"/>
              </w:rPr>
              <w:t>资信评分（满分10分）</w:t>
            </w:r>
          </w:p>
        </w:tc>
        <w:tc>
          <w:tcPr>
            <w:tcW w:w="1701" w:type="dxa"/>
            <w:vAlign w:val="center"/>
          </w:tcPr>
          <w:p>
            <w:pPr>
              <w:spacing w:line="400" w:lineRule="exact"/>
              <w:rPr>
                <w:rFonts w:ascii="宋体" w:hAnsi="宋体"/>
                <w:color w:val="000000"/>
                <w:sz w:val="22"/>
              </w:rPr>
            </w:pPr>
            <w:r>
              <w:rPr>
                <w:rFonts w:hint="eastAsia" w:ascii="宋体" w:hAnsi="宋体"/>
                <w:color w:val="000000"/>
                <w:sz w:val="22"/>
              </w:rPr>
              <w:t>财务状况</w:t>
            </w:r>
          </w:p>
        </w:tc>
        <w:tc>
          <w:tcPr>
            <w:tcW w:w="5057" w:type="dxa"/>
            <w:vAlign w:val="center"/>
          </w:tcPr>
          <w:p>
            <w:pPr>
              <w:spacing w:line="400" w:lineRule="exact"/>
              <w:rPr>
                <w:rFonts w:ascii="宋体" w:hAnsi="宋体"/>
                <w:sz w:val="22"/>
              </w:rPr>
            </w:pPr>
            <w:r>
              <w:rPr>
                <w:rFonts w:hint="eastAsia" w:ascii="宋体" w:hAnsi="宋体"/>
                <w:sz w:val="22"/>
              </w:rPr>
              <w:t>提供近三年经第三方审计的财务报表及审计报告，企业成立不足三年的按实际经营年度提供。根据财务状况进行横向比较后评分。</w:t>
            </w:r>
          </w:p>
        </w:tc>
        <w:tc>
          <w:tcPr>
            <w:tcW w:w="1276" w:type="dxa"/>
            <w:vAlign w:val="center"/>
          </w:tcPr>
          <w:p>
            <w:pPr>
              <w:snapToGrid w:val="0"/>
              <w:jc w:val="center"/>
              <w:rPr>
                <w:rFonts w:ascii="宋体" w:hAnsi="宋体"/>
                <w:b/>
                <w:bCs/>
                <w:sz w:val="22"/>
              </w:rPr>
            </w:pPr>
            <w:r>
              <w:rPr>
                <w:rFonts w:ascii="宋体" w:hAnsi="宋体"/>
                <w:b/>
                <w:bCs/>
                <w:sz w:val="22"/>
              </w:rPr>
              <w:t>0-</w:t>
            </w:r>
            <w:r>
              <w:rPr>
                <w:rFonts w:hint="eastAsia" w:ascii="宋体" w:hAnsi="宋体"/>
                <w:b/>
                <w:bCs/>
                <w:sz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atLeast"/>
        </w:trPr>
        <w:tc>
          <w:tcPr>
            <w:tcW w:w="1606" w:type="dxa"/>
            <w:vMerge w:val="continue"/>
            <w:vAlign w:val="center"/>
          </w:tcPr>
          <w:p>
            <w:pPr>
              <w:snapToGrid w:val="0"/>
              <w:jc w:val="center"/>
              <w:rPr>
                <w:rFonts w:ascii="宋体" w:hAnsi="宋体"/>
                <w:sz w:val="22"/>
              </w:rPr>
            </w:pPr>
          </w:p>
        </w:tc>
        <w:tc>
          <w:tcPr>
            <w:tcW w:w="1701" w:type="dxa"/>
            <w:vAlign w:val="center"/>
          </w:tcPr>
          <w:p>
            <w:pPr>
              <w:spacing w:line="400" w:lineRule="exact"/>
              <w:rPr>
                <w:rFonts w:ascii="宋体" w:hAnsi="宋体"/>
                <w:color w:val="000000"/>
                <w:sz w:val="22"/>
              </w:rPr>
            </w:pPr>
            <w:r>
              <w:rPr>
                <w:rFonts w:hint="eastAsia" w:ascii="宋体" w:hAnsi="宋体"/>
                <w:sz w:val="22"/>
              </w:rPr>
              <w:t>项目实施团队</w:t>
            </w:r>
          </w:p>
        </w:tc>
        <w:tc>
          <w:tcPr>
            <w:tcW w:w="5057" w:type="dxa"/>
            <w:vAlign w:val="center"/>
          </w:tcPr>
          <w:p>
            <w:pPr>
              <w:spacing w:line="400" w:lineRule="exact"/>
              <w:rPr>
                <w:sz w:val="22"/>
              </w:rPr>
            </w:pPr>
            <w:r>
              <w:rPr>
                <w:rFonts w:hint="eastAsia"/>
                <w:sz w:val="22"/>
              </w:rPr>
              <w:t>项目经理：在相关行业工作年限超过</w:t>
            </w:r>
            <w:r>
              <w:rPr>
                <w:sz w:val="22"/>
              </w:rPr>
              <w:t>2</w:t>
            </w:r>
            <w:r>
              <w:rPr>
                <w:rFonts w:hint="eastAsia"/>
                <w:sz w:val="22"/>
              </w:rPr>
              <w:t>年得0.5分。实施过相关行业大型数据系统项目得0.5分。</w:t>
            </w:r>
          </w:p>
          <w:p>
            <w:pPr>
              <w:spacing w:line="400" w:lineRule="exact"/>
              <w:rPr>
                <w:rFonts w:ascii="宋体" w:hAnsi="宋体"/>
                <w:sz w:val="22"/>
              </w:rPr>
            </w:pPr>
            <w:r>
              <w:rPr>
                <w:rFonts w:hint="eastAsia"/>
                <w:sz w:val="22"/>
              </w:rPr>
              <w:t>项目实施团队：团队成员在相关行业工作年限超过</w:t>
            </w:r>
            <w:r>
              <w:rPr>
                <w:sz w:val="22"/>
              </w:rPr>
              <w:t>2</w:t>
            </w:r>
            <w:r>
              <w:rPr>
                <w:rFonts w:hint="eastAsia"/>
                <w:sz w:val="22"/>
              </w:rPr>
              <w:t>年得0.5分。实施过相关数据服务系统项目得0.5  分。</w:t>
            </w:r>
          </w:p>
        </w:tc>
        <w:tc>
          <w:tcPr>
            <w:tcW w:w="1276" w:type="dxa"/>
            <w:vAlign w:val="center"/>
          </w:tcPr>
          <w:p>
            <w:pPr>
              <w:snapToGrid w:val="0"/>
              <w:jc w:val="center"/>
              <w:rPr>
                <w:rFonts w:ascii="宋体" w:hAnsi="宋体"/>
                <w:b/>
                <w:bCs/>
                <w:sz w:val="22"/>
              </w:rPr>
            </w:pPr>
            <w:r>
              <w:rPr>
                <w:rFonts w:ascii="宋体" w:hAnsi="宋体"/>
                <w:b/>
                <w:bCs/>
                <w:sz w:val="22"/>
              </w:rPr>
              <w:t>0-</w:t>
            </w:r>
            <w:r>
              <w:rPr>
                <w:rFonts w:hint="eastAsia" w:ascii="宋体" w:hAnsi="宋体"/>
                <w:b/>
                <w:bCs/>
                <w:sz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606" w:type="dxa"/>
            <w:vMerge w:val="continue"/>
            <w:vAlign w:val="center"/>
          </w:tcPr>
          <w:p>
            <w:pPr>
              <w:snapToGrid w:val="0"/>
              <w:jc w:val="center"/>
              <w:rPr>
                <w:rFonts w:ascii="宋体" w:hAnsi="宋体"/>
                <w:sz w:val="22"/>
              </w:rPr>
            </w:pPr>
          </w:p>
        </w:tc>
        <w:tc>
          <w:tcPr>
            <w:tcW w:w="1701" w:type="dxa"/>
            <w:vAlign w:val="center"/>
          </w:tcPr>
          <w:p>
            <w:pPr>
              <w:spacing w:line="400" w:lineRule="exact"/>
              <w:rPr>
                <w:rFonts w:ascii="宋体" w:hAnsi="宋体"/>
                <w:color w:val="000000"/>
                <w:sz w:val="22"/>
              </w:rPr>
            </w:pPr>
            <w:r>
              <w:rPr>
                <w:rFonts w:hint="eastAsia" w:ascii="宋体" w:hAnsi="宋体"/>
                <w:color w:val="000000"/>
                <w:sz w:val="22"/>
              </w:rPr>
              <w:t>类似项目业绩</w:t>
            </w:r>
          </w:p>
        </w:tc>
        <w:tc>
          <w:tcPr>
            <w:tcW w:w="5057" w:type="dxa"/>
            <w:vAlign w:val="center"/>
          </w:tcPr>
          <w:p>
            <w:pPr>
              <w:spacing w:line="400" w:lineRule="exact"/>
              <w:rPr>
                <w:rFonts w:ascii="宋体" w:hAnsi="宋体"/>
                <w:sz w:val="22"/>
              </w:rPr>
            </w:pPr>
            <w:r>
              <w:rPr>
                <w:rStyle w:val="142"/>
                <w:rFonts w:hint="eastAsia" w:ascii="宋体" w:hAnsi="宋体"/>
                <w:sz w:val="22"/>
              </w:rPr>
              <w:t>竞标人于近三年内在相关航空产业数据招标中中标记录超过7个的得3分，少一个减0.5分，给国内前十大机场或三大航提供过数据使用的，每增加一个，加0.5分。本项最高得6分。（需提供合同复印件或中标通知书作为证明材料，否则不得分）。</w:t>
            </w:r>
          </w:p>
        </w:tc>
        <w:tc>
          <w:tcPr>
            <w:tcW w:w="1276" w:type="dxa"/>
            <w:vAlign w:val="center"/>
          </w:tcPr>
          <w:p>
            <w:pPr>
              <w:snapToGrid w:val="0"/>
              <w:jc w:val="center"/>
              <w:rPr>
                <w:rFonts w:ascii="宋体" w:hAnsi="宋体"/>
                <w:b/>
                <w:bCs/>
                <w:sz w:val="22"/>
              </w:rPr>
            </w:pPr>
            <w:r>
              <w:rPr>
                <w:rFonts w:hint="eastAsia" w:ascii="宋体" w:hAnsi="宋体"/>
                <w:b/>
                <w:bCs/>
                <w:sz w:val="22"/>
              </w:rPr>
              <w:t>0-6分</w:t>
            </w:r>
          </w:p>
        </w:tc>
      </w:tr>
    </w:tbl>
    <w:p>
      <w:pPr>
        <w:pStyle w:val="21"/>
        <w:spacing w:line="360" w:lineRule="exact"/>
        <w:rPr>
          <w:rFonts w:hAnsi="宋体" w:cs="Calibri"/>
          <w:b/>
          <w:sz w:val="22"/>
          <w:szCs w:val="22"/>
        </w:rPr>
      </w:pPr>
    </w:p>
    <w:p>
      <w:pPr>
        <w:pStyle w:val="21"/>
        <w:spacing w:line="360" w:lineRule="exact"/>
        <w:rPr>
          <w:rFonts w:hAnsi="宋体" w:cs="Calibri"/>
          <w:b/>
          <w:sz w:val="22"/>
          <w:szCs w:val="22"/>
        </w:rPr>
      </w:pPr>
    </w:p>
    <w:p>
      <w:pPr>
        <w:pStyle w:val="21"/>
        <w:spacing w:line="360" w:lineRule="exact"/>
        <w:rPr>
          <w:rFonts w:hAnsi="宋体" w:cs="Calibri"/>
          <w:b/>
          <w:sz w:val="22"/>
          <w:szCs w:val="22"/>
        </w:rPr>
      </w:pPr>
      <w:r>
        <w:rPr>
          <w:rFonts w:hAnsi="宋体" w:cs="Calibri"/>
          <w:b/>
          <w:sz w:val="22"/>
          <w:szCs w:val="22"/>
        </w:rPr>
        <w:t>3.4推荐中标候选人</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3.3.1当有效投标文件大于等于二名时，评标委员会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3.3.3当有效投标文件只有一名时，则由评标委员会确定是否推荐为中标候选人。</w:t>
      </w:r>
    </w:p>
    <w:p>
      <w:pPr>
        <w:pStyle w:val="2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2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21"/>
        <w:adjustRightInd w:val="0"/>
        <w:snapToGrid w:val="0"/>
        <w:spacing w:line="360" w:lineRule="exact"/>
        <w:ind w:firstLine="442" w:firstLineChars="200"/>
        <w:rPr>
          <w:rFonts w:hAnsi="宋体" w:cs="Calibri"/>
          <w:b/>
          <w:sz w:val="22"/>
          <w:szCs w:val="22"/>
        </w:rPr>
      </w:pPr>
      <w:r>
        <w:rPr>
          <w:rFonts w:hint="eastAsia" w:hAnsi="宋体" w:cs="Calibri"/>
          <w:b/>
          <w:sz w:val="22"/>
          <w:szCs w:val="22"/>
        </w:rPr>
        <w:t>4.4</w:t>
      </w:r>
      <w:r>
        <w:rPr>
          <w:rFonts w:hint="eastAsia" w:cs="Calibri" w:asciiTheme="minorEastAsia" w:hAnsiTheme="minorEastAsia" w:eastAsiaTheme="minorEastAsia"/>
          <w:b/>
          <w:color w:val="000000"/>
          <w:sz w:val="22"/>
        </w:rPr>
        <w:t>招标人对评标、定标结果不负责解释。</w:t>
      </w:r>
    </w:p>
    <w:bookmarkEnd w:id="134"/>
    <w:p>
      <w:pPr>
        <w:spacing w:line="360" w:lineRule="exact"/>
        <w:rPr>
          <w:rFonts w:ascii="宋体" w:hAnsi="宋体"/>
          <w:szCs w:val="21"/>
        </w:rPr>
      </w:pPr>
    </w:p>
    <w:p>
      <w:pPr>
        <w:pStyle w:val="2"/>
        <w:spacing w:before="0" w:after="0" w:line="360" w:lineRule="auto"/>
        <w:jc w:val="center"/>
        <w:rPr>
          <w:rFonts w:ascii="Calibri" w:hAnsi="Calibri" w:eastAsia="黑体" w:cs="Calibri"/>
          <w:kern w:val="0"/>
          <w:sz w:val="32"/>
        </w:rPr>
      </w:pPr>
      <w:r>
        <w:br w:type="page"/>
      </w:r>
      <w:bookmarkStart w:id="135" w:name="_Toc448002988"/>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投标文件格式</w:t>
      </w:r>
      <w:bookmarkEnd w:id="135"/>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一、</w:t>
      </w:r>
      <w:r>
        <w:rPr>
          <w:rFonts w:cs="Calibri" w:asciiTheme="minorEastAsia" w:hAnsiTheme="minorEastAsia" w:eastAsiaTheme="minorEastAsia"/>
          <w:color w:val="000000"/>
          <w:sz w:val="22"/>
        </w:rPr>
        <w:t>投标函；</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二、</w:t>
      </w:r>
      <w:r>
        <w:rPr>
          <w:rFonts w:cs="Calibri" w:asciiTheme="minorEastAsia" w:hAnsiTheme="minorEastAsia" w:eastAsiaTheme="minorEastAsia"/>
          <w:color w:val="000000"/>
          <w:sz w:val="22"/>
        </w:rPr>
        <w:t>投标报价表；</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三、</w:t>
      </w:r>
      <w:r>
        <w:rPr>
          <w:rFonts w:cs="Calibri" w:asciiTheme="minorEastAsia" w:hAnsiTheme="minorEastAsia" w:eastAsiaTheme="minorEastAsia"/>
          <w:color w:val="000000"/>
          <w:sz w:val="22"/>
        </w:rPr>
        <w:t>法定代表人资格证明书；</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四、</w:t>
      </w:r>
      <w:r>
        <w:rPr>
          <w:rFonts w:cs="Calibri" w:asciiTheme="minorEastAsia" w:hAnsiTheme="minorEastAsia" w:eastAsiaTheme="minorEastAsia"/>
          <w:color w:val="000000"/>
          <w:sz w:val="22"/>
        </w:rPr>
        <w:t>授权委托书；</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五、</w:t>
      </w:r>
      <w:r>
        <w:rPr>
          <w:rFonts w:cs="Calibri" w:asciiTheme="minorEastAsia" w:hAnsiTheme="minorEastAsia" w:eastAsiaTheme="minorEastAsia"/>
          <w:color w:val="000000"/>
          <w:sz w:val="22"/>
        </w:rPr>
        <w:t>投标人资格证明文件：</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（1）投标人一般情况</w:t>
      </w:r>
      <w:r>
        <w:rPr>
          <w:rFonts w:hint="eastAsia" w:cs="Calibri" w:asciiTheme="minorEastAsia" w:hAnsiTheme="minorEastAsia" w:eastAsiaTheme="minorEastAsia"/>
          <w:color w:val="000000"/>
          <w:sz w:val="22"/>
        </w:rPr>
        <w:t>及</w:t>
      </w:r>
      <w:r>
        <w:rPr>
          <w:rFonts w:cs="Calibri" w:asciiTheme="minorEastAsia" w:hAnsiTheme="minorEastAsia" w:eastAsiaTheme="minorEastAsia"/>
          <w:color w:val="000000"/>
          <w:sz w:val="22"/>
        </w:rPr>
        <w:t>有关证明投标人法律地位的文件（包括营业执照</w:t>
      </w:r>
      <w:r>
        <w:rPr>
          <w:rFonts w:hint="eastAsia" w:cs="Calibri" w:asciiTheme="minorEastAsia" w:hAnsiTheme="minorEastAsia" w:eastAsiaTheme="minorEastAsia"/>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cs="Calibri" w:asciiTheme="minorEastAsia" w:hAnsiTheme="minorEastAsia" w:eastAsiaTheme="minorEastAsia"/>
          <w:color w:val="000000"/>
          <w:sz w:val="22"/>
        </w:rPr>
        <w:t>资质</w:t>
      </w:r>
      <w:r>
        <w:rPr>
          <w:rFonts w:hint="eastAsia" w:cs="Calibri" w:asciiTheme="minorEastAsia" w:hAnsiTheme="minorEastAsia" w:eastAsiaTheme="minorEastAsia"/>
          <w:color w:val="000000"/>
          <w:sz w:val="22"/>
        </w:rPr>
        <w:t>证书</w:t>
      </w:r>
      <w:r>
        <w:rPr>
          <w:rFonts w:cs="Calibri" w:asciiTheme="minorEastAsia" w:hAnsiTheme="minorEastAsia" w:eastAsiaTheme="minorEastAsia"/>
          <w:color w:val="000000"/>
          <w:sz w:val="22"/>
        </w:rPr>
        <w:t>等），说明投标人的注册地点和主要经营范围；</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（2）有关证明投标人的企业信誉及获得各种奖励等资料；</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（3）投标人经济实力：包括企业注册资金、财务报告与报表中反映的财务状况</w:t>
      </w:r>
      <w:r>
        <w:rPr>
          <w:rFonts w:hint="eastAsia" w:cs="Calibri" w:asciiTheme="minorEastAsia" w:hAnsiTheme="minorEastAsia" w:eastAsiaTheme="minorEastAsia"/>
          <w:color w:val="000000"/>
          <w:sz w:val="22"/>
        </w:rPr>
        <w:t>；</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w:t>
      </w:r>
      <w:r>
        <w:rPr>
          <w:rFonts w:cs="Calibri" w:asciiTheme="minorEastAsia" w:hAnsiTheme="minorEastAsia" w:eastAsiaTheme="minorEastAsia"/>
          <w:color w:val="000000"/>
          <w:sz w:val="22"/>
        </w:rPr>
        <w:t>近三年完成类似项目业绩情况</w:t>
      </w:r>
      <w:r>
        <w:rPr>
          <w:rFonts w:hint="eastAsia" w:cs="Calibri" w:asciiTheme="minorEastAsia" w:hAnsiTheme="minorEastAsia" w:eastAsiaTheme="minorEastAsia"/>
          <w:color w:val="000000"/>
          <w:sz w:val="22"/>
        </w:rPr>
        <w:t>；</w:t>
      </w:r>
    </w:p>
    <w:p>
      <w:pPr>
        <w:adjustRightInd w:val="0"/>
        <w:snapToGrid w:val="0"/>
        <w:spacing w:line="40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（5）招标文件投标人资格要求中提供的相关材料。</w:t>
      </w:r>
    </w:p>
    <w:p>
      <w:pPr>
        <w:adjustRightInd w:val="0"/>
        <w:snapToGrid w:val="0"/>
        <w:spacing w:line="400" w:lineRule="exact"/>
        <w:ind w:firstLine="440" w:firstLineChars="200"/>
        <w:rPr>
          <w:rFonts w:ascii="宋体" w:hAnsi="宋体" w:cs="Calibri"/>
          <w:color w:val="000000"/>
          <w:sz w:val="22"/>
        </w:rPr>
      </w:pPr>
      <w:r>
        <w:rPr>
          <w:rFonts w:hint="eastAsia" w:cs="Calibri" w:asciiTheme="minorEastAsia" w:hAnsiTheme="minorEastAsia" w:eastAsiaTheme="minorEastAsia"/>
          <w:color w:val="000000"/>
          <w:sz w:val="22"/>
        </w:rPr>
        <w:t>六、产品</w:t>
      </w:r>
      <w:r>
        <w:rPr>
          <w:rFonts w:ascii="宋体" w:hAnsi="宋体" w:cs="Calibri"/>
          <w:color w:val="000000"/>
          <w:sz w:val="22"/>
        </w:rPr>
        <w:t>服务大纲</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（1）产品技术规格书或使用系统说明</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（2）产品运行、安全、服务等相关管理方案</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（3）</w:t>
      </w:r>
      <w:r>
        <w:rPr>
          <w:rFonts w:cs="Calibri" w:asciiTheme="minorEastAsia" w:hAnsiTheme="minorEastAsia" w:eastAsiaTheme="minorEastAsia"/>
          <w:color w:val="000000"/>
          <w:sz w:val="22"/>
        </w:rPr>
        <w:t>对本</w:t>
      </w:r>
      <w:r>
        <w:rPr>
          <w:rFonts w:hint="eastAsia" w:cs="Calibri" w:asciiTheme="minorEastAsia" w:hAnsiTheme="minorEastAsia" w:eastAsiaTheme="minorEastAsia"/>
          <w:color w:val="000000"/>
          <w:sz w:val="22"/>
        </w:rPr>
        <w:t>产品</w:t>
      </w:r>
      <w:r>
        <w:rPr>
          <w:rFonts w:cs="Calibri" w:asciiTheme="minorEastAsia" w:hAnsiTheme="minorEastAsia" w:eastAsiaTheme="minorEastAsia"/>
          <w:color w:val="000000"/>
          <w:sz w:val="22"/>
        </w:rPr>
        <w:t>的实施意见及重点</w:t>
      </w:r>
      <w:r>
        <w:rPr>
          <w:rFonts w:hint="eastAsia" w:cs="Calibri" w:asciiTheme="minorEastAsia" w:hAnsiTheme="minorEastAsia" w:eastAsiaTheme="minorEastAsia"/>
          <w:color w:val="000000"/>
          <w:sz w:val="22"/>
        </w:rPr>
        <w:t>、</w:t>
      </w:r>
      <w:r>
        <w:rPr>
          <w:rFonts w:cs="Calibri" w:asciiTheme="minorEastAsia" w:hAnsiTheme="minorEastAsia" w:eastAsiaTheme="minorEastAsia"/>
          <w:color w:val="000000"/>
          <w:sz w:val="22"/>
        </w:rPr>
        <w:t>难点控制</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（4）对产品的人力、设备等配置情况</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hint="eastAsia" w:cs="Calibri" w:asciiTheme="minorEastAsia" w:hAnsiTheme="minorEastAsia" w:eastAsiaTheme="minorEastAsia"/>
          <w:color w:val="000000"/>
          <w:sz w:val="22"/>
        </w:rPr>
        <w:t>（5）对产品特殊情况的承诺以及突发事件的应急预案</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w:t>
      </w:r>
      <w:r>
        <w:rPr>
          <w:rFonts w:hint="eastAsia" w:cs="Calibri" w:asciiTheme="minorEastAsia" w:hAnsiTheme="minorEastAsia" w:eastAsiaTheme="minorEastAsia"/>
          <w:color w:val="000000"/>
          <w:sz w:val="22"/>
        </w:rPr>
        <w:t>6</w:t>
      </w:r>
      <w:r>
        <w:rPr>
          <w:rFonts w:cs="Calibri" w:asciiTheme="minorEastAsia" w:hAnsiTheme="minorEastAsia" w:eastAsiaTheme="minorEastAsia"/>
          <w:color w:val="000000"/>
          <w:sz w:val="22"/>
        </w:rPr>
        <w:t>）投入到本项目的项目负责人、其他人员的情况汇总表及业绩、经历、能力介绍、资格证明材料及人员到位率的承诺；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cs="Calibri"/>
          <w:color w:val="000000"/>
          <w:sz w:val="22"/>
        </w:rPr>
      </w:pPr>
      <w:r>
        <w:rPr>
          <w:rFonts w:hint="eastAsia" w:cs="Calibri" w:asciiTheme="minorEastAsia" w:hAnsiTheme="minorEastAsia" w:eastAsiaTheme="minorEastAsia"/>
          <w:color w:val="000000"/>
          <w:sz w:val="22"/>
        </w:rPr>
        <w:t>七、</w:t>
      </w:r>
      <w:r>
        <w:rPr>
          <w:rFonts w:hint="eastAsia" w:cs="Arial" w:asciiTheme="minorEastAsia" w:hAnsiTheme="minorEastAsia" w:eastAsiaTheme="minorEastAsia"/>
          <w:color w:val="000000"/>
          <w:sz w:val="22"/>
        </w:rPr>
        <w:t>投标人认为</w:t>
      </w:r>
      <w:r>
        <w:rPr>
          <w:rFonts w:cs="Arial" w:asciiTheme="minorEastAsia" w:hAnsiTheme="minorEastAsia" w:eastAsiaTheme="minorEastAsia"/>
          <w:color w:val="000000"/>
          <w:sz w:val="22"/>
        </w:rPr>
        <w:t>应该提供的其他材料</w:t>
      </w:r>
      <w:r>
        <w:rPr>
          <w:rFonts w:hint="eastAsia" w:cs="Arial" w:asciiTheme="minorEastAsia" w:hAnsiTheme="minorEastAsia" w:eastAsiaTheme="minorEastAsia"/>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36" w:name="_Toc171421958"/>
      <w:r>
        <w:rPr>
          <w:rFonts w:cs="Calibri"/>
          <w:color w:val="000000"/>
        </w:rPr>
        <w:t>封面</w:t>
      </w:r>
      <w:bookmarkEnd w:id="136"/>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浙江省机场集团全球航空数据服务采购项目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cs="Calibri" w:asciiTheme="minorEastAsia" w:hAnsiTheme="minorEastAsia" w:eastAsiaTheme="minorEastAsia"/>
          <w:b/>
          <w:bCs/>
          <w:sz w:val="24"/>
          <w:szCs w:val="24"/>
        </w:rPr>
      </w:pPr>
      <w:r>
        <w:rPr>
          <w:rFonts w:ascii="宋体" w:hAnsi="宋体"/>
          <w:sz w:val="24"/>
          <w:szCs w:val="24"/>
        </w:rPr>
        <w:t>致：</w:t>
      </w:r>
      <w:r>
        <w:rPr>
          <w:rFonts w:hint="eastAsia" w:ascii="宋体" w:hAnsi="宋体"/>
          <w:sz w:val="24"/>
          <w:szCs w:val="24"/>
        </w:rPr>
        <w:t>浙江省机场集团有限公司</w:t>
      </w:r>
    </w:p>
    <w:p>
      <w:pPr>
        <w:snapToGrid w:val="0"/>
        <w:spacing w:line="360" w:lineRule="auto"/>
        <w:ind w:firstLine="600" w:firstLineChars="250"/>
        <w:rPr>
          <w:rFonts w:cs="Calibri" w:asciiTheme="minorEastAsia" w:hAnsiTheme="minorEastAsia" w:eastAsiaTheme="minorEastAsia"/>
          <w:sz w:val="24"/>
        </w:rPr>
      </w:pPr>
      <w:r>
        <w:rPr>
          <w:rFonts w:cs="Calibri" w:asciiTheme="minorEastAsia" w:hAnsiTheme="minorEastAsia" w:eastAsiaTheme="minorEastAsia"/>
          <w:sz w:val="24"/>
        </w:rPr>
        <w:t>1、根据已收到的</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招标文件，遵照《中华人民共和国招标投标法》等有关规定，经考察现场和研究上述招标文件后，我方愿以投标总价</w:t>
      </w:r>
      <w:r>
        <w:rPr>
          <w:rFonts w:hint="eastAsia" w:cs="Calibri" w:asciiTheme="minorEastAsia" w:hAnsiTheme="minorEastAsia" w:eastAsiaTheme="minorEastAsia"/>
          <w:sz w:val="24"/>
        </w:rPr>
        <w:t>为</w:t>
      </w:r>
      <w:r>
        <w:rPr>
          <w:rFonts w:cs="Calibri" w:asciiTheme="minorEastAsia" w:hAnsiTheme="minorEastAsia" w:eastAsiaTheme="minorEastAsia"/>
          <w:sz w:val="24"/>
        </w:rPr>
        <w:t>人民币 (大写)：</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元（RMB</w:t>
      </w:r>
      <w:r>
        <w:rPr>
          <w:rFonts w:cs="Calibri" w:asciiTheme="minorEastAsia" w:hAnsiTheme="minorEastAsia" w:eastAsiaTheme="minorEastAsia"/>
          <w:sz w:val="24"/>
          <w:u w:val="single"/>
        </w:rPr>
        <w:t xml:space="preserve">         </w:t>
      </w:r>
      <w:r>
        <w:rPr>
          <w:rFonts w:cs="Calibri" w:asciiTheme="minorEastAsia" w:hAnsiTheme="minorEastAsia" w:eastAsiaTheme="minorEastAsia"/>
          <w:sz w:val="24"/>
        </w:rPr>
        <w:t>元）报价并按上述招标文件要求承揽上述项目</w:t>
      </w:r>
      <w:r>
        <w:rPr>
          <w:rFonts w:hint="eastAsia" w:cs="Calibri" w:asciiTheme="minorEastAsia" w:hAnsiTheme="minorEastAsia" w:eastAsiaTheme="minorEastAsia"/>
          <w:bCs/>
          <w:sz w:val="24"/>
        </w:rPr>
        <w:t>所有</w:t>
      </w:r>
      <w:r>
        <w:rPr>
          <w:rFonts w:cs="Calibri" w:asciiTheme="minorEastAsia" w:hAnsiTheme="minorEastAsia" w:eastAsiaTheme="minorEastAsia"/>
          <w:bCs/>
          <w:sz w:val="24"/>
        </w:rPr>
        <w:t>等工作</w:t>
      </w:r>
      <w:r>
        <w:rPr>
          <w:rFonts w:cs="Calibri" w:asciiTheme="minorEastAsia" w:hAnsiTheme="minorEastAsia" w:eastAsiaTheme="minorEastAsia"/>
          <w:sz w:val="24"/>
          <w:szCs w:val="21"/>
        </w:rPr>
        <w:t>。</w:t>
      </w:r>
      <w:r>
        <w:rPr>
          <w:rFonts w:cs="Calibri" w:asciiTheme="minorEastAsia" w:hAnsiTheme="minorEastAsia" w:eastAsiaTheme="minorEastAsia"/>
          <w:sz w:val="24"/>
        </w:rPr>
        <w:t xml:space="preserve"> </w:t>
      </w:r>
    </w:p>
    <w:p>
      <w:pPr>
        <w:snapToGrid w:val="0"/>
        <w:spacing w:line="360" w:lineRule="auto"/>
        <w:ind w:firstLine="600" w:firstLineChars="250"/>
        <w:rPr>
          <w:rFonts w:cs="Calibri" w:asciiTheme="minorEastAsia" w:hAnsiTheme="minorEastAsia" w:eastAsiaTheme="minorEastAsia"/>
          <w:b/>
          <w:sz w:val="24"/>
        </w:rPr>
      </w:pPr>
      <w:r>
        <w:rPr>
          <w:rFonts w:cs="Calibri" w:asciiTheme="minorEastAsia" w:hAnsiTheme="minorEastAsia" w:eastAsiaTheme="minorEastAsia"/>
          <w:sz w:val="24"/>
        </w:rPr>
        <w:t>2、一旦我方中标，我方保证在</w:t>
      </w:r>
      <w:r>
        <w:rPr>
          <w:rFonts w:hint="eastAsia" w:cs="Calibri" w:asciiTheme="minorEastAsia" w:hAnsiTheme="minorEastAsia" w:eastAsiaTheme="minorEastAsia"/>
          <w:sz w:val="24"/>
        </w:rPr>
        <w:t>服务期</w:t>
      </w:r>
      <w:r>
        <w:rPr>
          <w:rFonts w:cs="Calibri" w:asciiTheme="minorEastAsia" w:hAnsiTheme="minorEastAsia" w:eastAsiaTheme="minorEastAsia"/>
          <w:sz w:val="24"/>
        </w:rPr>
        <w:t>内完成</w:t>
      </w:r>
      <w:r>
        <w:rPr>
          <w:rFonts w:hint="eastAsia" w:cs="Calibri" w:asciiTheme="minorEastAsia" w:hAnsiTheme="minorEastAsia" w:eastAsiaTheme="minorEastAsia"/>
          <w:sz w:val="24"/>
        </w:rPr>
        <w:t>全部</w:t>
      </w:r>
      <w:r>
        <w:rPr>
          <w:rFonts w:cs="Calibri" w:asciiTheme="minorEastAsia" w:hAnsiTheme="minorEastAsia" w:eastAsiaTheme="minorEastAsia"/>
          <w:bCs/>
          <w:sz w:val="24"/>
        </w:rPr>
        <w:t>工作</w:t>
      </w:r>
      <w:r>
        <w:rPr>
          <w:rFonts w:cs="Calibri" w:asciiTheme="minorEastAsia" w:hAnsiTheme="minorEastAsia" w:eastAsiaTheme="minorEastAsia"/>
          <w:sz w:val="24"/>
        </w:rPr>
        <w:t>。</w:t>
      </w:r>
    </w:p>
    <w:p>
      <w:pPr>
        <w:snapToGrid w:val="0"/>
        <w:spacing w:line="360" w:lineRule="auto"/>
        <w:rPr>
          <w:rFonts w:cs="Calibri" w:asciiTheme="minorEastAsia" w:hAnsiTheme="minorEastAsia" w:eastAsiaTheme="minorEastAsia"/>
          <w:sz w:val="24"/>
          <w:szCs w:val="20"/>
        </w:rPr>
      </w:pPr>
      <w:r>
        <w:rPr>
          <w:rFonts w:cs="Calibri" w:asciiTheme="minorEastAsia" w:hAnsiTheme="minorEastAsia" w:eastAsiaTheme="minorEastAsia"/>
          <w:sz w:val="24"/>
        </w:rPr>
        <w:t>　　 3、我方同意所递交的投标文件在“前附表”规定的投标有效期内有效，在此期间内我方的投标有可能中标，我方将受此约束。</w:t>
      </w:r>
    </w:p>
    <w:p>
      <w:pPr>
        <w:snapToGrid w:val="0"/>
        <w:spacing w:line="360" w:lineRule="auto"/>
        <w:rPr>
          <w:rFonts w:cs="Calibri" w:asciiTheme="minorEastAsia" w:hAnsiTheme="minorEastAsia" w:eastAsiaTheme="minorEastAsia"/>
          <w:sz w:val="24"/>
          <w:szCs w:val="20"/>
        </w:rPr>
      </w:pPr>
      <w:r>
        <w:rPr>
          <w:rFonts w:cs="Calibri" w:asciiTheme="minorEastAsia" w:hAnsiTheme="minorEastAsia" w:eastAsiaTheme="minorEastAsia"/>
          <w:sz w:val="24"/>
        </w:rPr>
        <w:t xml:space="preserve">     4、除非另外达成协议并生效，你方的中标通知书和本投标文件将构成约束我们双方的合同。</w:t>
      </w:r>
    </w:p>
    <w:p>
      <w:pPr>
        <w:snapToGrid w:val="0"/>
        <w:spacing w:line="360" w:lineRule="auto"/>
        <w:ind w:firstLine="600" w:firstLineChars="250"/>
        <w:rPr>
          <w:rFonts w:cs="Calibri" w:asciiTheme="minorEastAsia" w:hAnsiTheme="minorEastAsia" w:eastAsiaTheme="minorEastAsia"/>
          <w:sz w:val="24"/>
        </w:rPr>
      </w:pPr>
      <w:r>
        <w:rPr>
          <w:rFonts w:cs="Calibri" w:asciiTheme="minorEastAsia" w:hAnsiTheme="minorEastAsia" w:eastAsiaTheme="minorEastAsia"/>
          <w:sz w:val="24"/>
        </w:rPr>
        <w:t>5、一旦我方中标，我方保证按照招标文件的要求，按时签订</w:t>
      </w:r>
      <w:r>
        <w:rPr>
          <w:rFonts w:hint="eastAsia" w:cs="Calibri" w:asciiTheme="minorEastAsia" w:hAnsiTheme="minorEastAsia" w:eastAsiaTheme="minorEastAsia"/>
          <w:sz w:val="24"/>
        </w:rPr>
        <w:t>服务</w:t>
      </w:r>
      <w:r>
        <w:rPr>
          <w:rFonts w:cs="Calibri" w:asciiTheme="minorEastAsia" w:hAnsiTheme="minorEastAsia" w:eastAsiaTheme="minorEastAsia"/>
          <w:sz w:val="24"/>
        </w:rPr>
        <w:t>合同</w:t>
      </w:r>
      <w:r>
        <w:rPr>
          <w:rFonts w:hint="eastAsia" w:cs="Calibri" w:asciiTheme="minorEastAsia" w:hAnsiTheme="minorEastAsia" w:eastAsiaTheme="minorEastAsia"/>
          <w:sz w:val="24"/>
        </w:rPr>
        <w:t>，并</w:t>
      </w:r>
      <w:r>
        <w:rPr>
          <w:rFonts w:cs="Calibri" w:asciiTheme="minorEastAsia" w:hAnsiTheme="minorEastAsia" w:eastAsiaTheme="minorEastAsia"/>
          <w:sz w:val="24"/>
        </w:rPr>
        <w:t>全面履行</w:t>
      </w:r>
      <w:r>
        <w:rPr>
          <w:rFonts w:hint="eastAsia" w:cs="Calibri" w:asciiTheme="minorEastAsia" w:hAnsiTheme="minorEastAsia" w:eastAsiaTheme="minorEastAsia"/>
          <w:sz w:val="24"/>
        </w:rPr>
        <w:t>服务</w:t>
      </w:r>
      <w:r>
        <w:rPr>
          <w:rFonts w:cs="Calibri" w:asciiTheme="minorEastAsia" w:hAnsiTheme="minorEastAsia" w:eastAsiaTheme="minorEastAsia"/>
          <w:sz w:val="24"/>
        </w:rPr>
        <w:t>合同。</w:t>
      </w:r>
    </w:p>
    <w:p>
      <w:pPr>
        <w:snapToGrid w:val="0"/>
        <w:spacing w:line="360" w:lineRule="auto"/>
        <w:ind w:firstLine="600" w:firstLineChars="250"/>
        <w:rPr>
          <w:rFonts w:cs="Calibri" w:asciiTheme="minorEastAsia" w:hAnsiTheme="minorEastAsia" w:eastAsiaTheme="minorEastAsia"/>
          <w:sz w:val="24"/>
        </w:rPr>
      </w:pPr>
      <w:r>
        <w:rPr>
          <w:rFonts w:hint="eastAsia" w:cs="Calibri" w:asciiTheme="minorEastAsia" w:hAnsiTheme="minorEastAsia" w:eastAsiaTheme="minorEastAsia"/>
          <w:sz w:val="24"/>
        </w:rPr>
        <w:t>6、我方已详细审查全部招标文件，包括补充公告以及供参考的全部资料和有关附件（若有），我方完全理解并同意放弃对这方面有不明及误解的权力。</w:t>
      </w:r>
    </w:p>
    <w:p>
      <w:pPr>
        <w:snapToGrid w:val="0"/>
        <w:spacing w:line="360" w:lineRule="auto"/>
        <w:ind w:firstLine="600" w:firstLineChars="250"/>
        <w:rPr>
          <w:rFonts w:cs="Calibri" w:asciiTheme="minorEastAsia" w:hAnsiTheme="minorEastAsia" w:eastAsiaTheme="minorEastAsia"/>
          <w:sz w:val="24"/>
        </w:rPr>
      </w:pPr>
      <w:r>
        <w:rPr>
          <w:rFonts w:hint="eastAsia" w:cs="Calibri" w:asciiTheme="minorEastAsia" w:hAnsiTheme="minorEastAsia" w:eastAsiaTheme="minorEastAsia"/>
          <w:sz w:val="24"/>
        </w:rPr>
        <w:t>7、我方同意按照你方可能要求提供与投标有关的任何其他数据或资料，且完全理解贵方不一定接受最低价的投标或收到的任何投标，以及对评标和定标结果不负责解释。</w:t>
      </w:r>
    </w:p>
    <w:p>
      <w:pPr>
        <w:snapToGrid w:val="0"/>
        <w:spacing w:line="440" w:lineRule="exact"/>
        <w:rPr>
          <w:rFonts w:cs="Calibri" w:asciiTheme="minorEastAsia" w:hAnsiTheme="minorEastAsia" w:eastAsiaTheme="minorEastAsia"/>
          <w:color w:val="000000"/>
          <w:szCs w:val="21"/>
        </w:rPr>
      </w:pPr>
    </w:p>
    <w:p>
      <w:pPr>
        <w:snapToGrid w:val="0"/>
        <w:spacing w:line="440" w:lineRule="exact"/>
        <w:rPr>
          <w:rFonts w:cs="Calibri" w:asciiTheme="minorEastAsia" w:hAnsiTheme="minorEastAsia" w:eastAsiaTheme="minorEastAsia"/>
          <w:color w:val="000000"/>
          <w:szCs w:val="21"/>
        </w:rPr>
      </w:pPr>
    </w:p>
    <w:p>
      <w:pPr>
        <w:snapToGrid w:val="0"/>
        <w:spacing w:line="440" w:lineRule="exact"/>
        <w:rPr>
          <w:rFonts w:cs="Calibri" w:asciiTheme="minorEastAsia" w:hAnsiTheme="minorEastAsia" w:eastAsiaTheme="minorEastAsia"/>
          <w:color w:val="000000"/>
          <w:szCs w:val="21"/>
        </w:rPr>
      </w:pP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投标人：（盖单位章）</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法定代表人或其委托代理人：（签字或盖章）</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地    址：</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邮政编码：</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电    话：</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传    真：</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开户银行：</w:t>
      </w:r>
    </w:p>
    <w:p>
      <w:pPr>
        <w:snapToGrid w:val="0"/>
        <w:spacing w:line="440" w:lineRule="exact"/>
        <w:ind w:firstLine="3600" w:firstLineChars="1500"/>
        <w:rPr>
          <w:rFonts w:cs="Calibri" w:asciiTheme="minorEastAsia" w:hAnsiTheme="minorEastAsia" w:eastAsiaTheme="minorEastAsia"/>
          <w:color w:val="000000"/>
          <w:sz w:val="24"/>
        </w:rPr>
      </w:pPr>
      <w:r>
        <w:rPr>
          <w:rFonts w:cs="Calibri" w:asciiTheme="minorEastAsia" w:hAnsiTheme="minorEastAsia" w:eastAsiaTheme="minorEastAsia"/>
          <w:color w:val="000000"/>
          <w:sz w:val="24"/>
        </w:rPr>
        <w:t>账    号：</w:t>
      </w:r>
    </w:p>
    <w:p>
      <w:pPr>
        <w:snapToGrid w:val="0"/>
        <w:spacing w:line="440" w:lineRule="exact"/>
        <w:ind w:firstLine="3600" w:firstLineChars="1500"/>
        <w:rPr>
          <w:rFonts w:eastAsia="黑体" w:cs="Calibri"/>
          <w:color w:val="000000"/>
          <w:sz w:val="32"/>
          <w:szCs w:val="32"/>
        </w:rPr>
      </w:pPr>
      <w:r>
        <w:rPr>
          <w:rFonts w:cs="Calibri" w:asciiTheme="minorEastAsia" w:hAnsiTheme="minorEastAsia" w:eastAsiaTheme="minorEastAsia"/>
          <w:color w:val="000000"/>
          <w:sz w:val="24"/>
        </w:rPr>
        <w:t>日    期：    年     月     日</w:t>
      </w: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40" w:firstLineChars="2960"/>
        <w:rPr>
          <w:rFonts w:cs="Calibri"/>
          <w:b/>
          <w:color w:val="000000"/>
          <w:szCs w:val="21"/>
        </w:rPr>
      </w:pPr>
      <w:r>
        <w:rPr>
          <w:rFonts w:cs="Calibri"/>
          <w:b/>
          <w:color w:val="000000"/>
          <w:szCs w:val="21"/>
        </w:rPr>
        <w:pict>
          <v:shape id="Text Box 6" o:spid="_x0000_s1026" o:spt="202" type="#_x0000_t202" style="position:absolute;left:0pt;margin-left:0pt;margin-top:31.2pt;height:171.6pt;width:423pt;mso-wrap-distance-bottom:0pt;mso-wrap-distance-left:9pt;mso-wrap-distance-right:9pt;mso-wrap-distance-top:0pt;z-index:251658240;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w:pict>
          <v:shape id="Text Box 7" o:spid="_x0000_s1027" o:spt="202" type="#_x0000_t202" style="position:absolute;left:0pt;margin-left:9.15pt;margin-top:20.8pt;height:171.6pt;width:423pt;mso-wrap-distance-bottom:0pt;mso-wrap-distance-left:9pt;mso-wrap-distance-right:9pt;mso-wrap-distance-top:0pt;z-index:251658240;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p>
      <w:pPr>
        <w:jc w:val="right"/>
        <w:rPr>
          <w:rFonts w:cs="Calibri"/>
          <w:bCs/>
          <w:sz w:val="24"/>
        </w:rPr>
      </w:pPr>
      <w:r>
        <w:rPr>
          <w:rFonts w:hint="eastAsia" w:cs="Calibri"/>
          <w:bCs/>
          <w:sz w:val="24"/>
        </w:rPr>
        <w:t>单位：万元</w:t>
      </w:r>
    </w:p>
    <w:tbl>
      <w:tblPr>
        <w:tblStyle w:val="5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53"/>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（二）近三年完成类似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53"/>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pStyle w:val="24"/>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53"/>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5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241"/>
              <w:jc w:val="center"/>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sectPr>
      <w:footerReference r:id="rId8"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隶书">
    <w:panose1 w:val="0201050906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6298"/>
    </w:sdtPr>
    <w:sdtContent>
      <w:p>
        <w:pPr>
          <w:pStyle w:val="27"/>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27"/>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single" w:color="auto" w:sz="4" w:space="1"/>
      </w:pBdr>
      <w:rPr>
        <w:rFonts w:ascii="宋体" w:hAnsi="宋体"/>
      </w:rPr>
    </w:pPr>
    <w:r>
      <w:rPr>
        <w:rFonts w:hint="eastAsia" w:ascii="宋体" w:hAnsi="宋体"/>
        <w:color w:val="000000"/>
      </w:rPr>
      <w:t>浙江省机场集团全球航空数据服务采购项目招标文件</w:t>
    </w:r>
  </w:p>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1FD553CB"/>
    <w:multiLevelType w:val="multilevel"/>
    <w:tmpl w:val="1FD553CB"/>
    <w:lvl w:ilvl="0" w:tentative="0">
      <w:start w:val="1"/>
      <w:numFmt w:val="decimal"/>
      <w:lvlText w:val="第%1章"/>
      <w:lvlJc w:val="left"/>
      <w:pPr>
        <w:ind w:left="915" w:hanging="9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0E0C8A"/>
    <w:multiLevelType w:val="multilevel"/>
    <w:tmpl w:val="480E0C8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B62B7"/>
    <w:rsid w:val="16F7670A"/>
    <w:rsid w:val="26407D74"/>
    <w:rsid w:val="275471A0"/>
    <w:rsid w:val="48DD6FF6"/>
    <w:rsid w:val="502A34A1"/>
    <w:rsid w:val="56B70EE7"/>
    <w:rsid w:val="730D7A92"/>
    <w:rsid w:val="7F5322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0" w:semiHidden="0" w:name="index 1"/>
    <w:lsdException w:uiPriority="0" w:semiHidden="0" w:name="index 2"/>
    <w:lsdException w:qFormat="1"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uiPriority="0" w:semiHidden="0" w:name="footnote text"/>
    <w:lsdException w:qFormat="1" w:uiPriority="99" w:semiHidden="0" w:name="annotation text"/>
    <w:lsdException w:qFormat="1" w:uiPriority="0" w:semiHidden="0" w:name="header"/>
    <w:lsdException w:uiPriority="99" w:semiHidden="0" w:name="footer"/>
    <w:lsdException w:uiPriority="99" w:name="index heading"/>
    <w:lsdException w:qFormat="1" w:uiPriority="0" w:semiHidden="0" w:name="caption"/>
    <w:lsdException w:qFormat="1" w:uiPriority="0" w:semiHidden="0"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qFormat="1" w:uiPriority="0" w:semiHidden="0" w:name="List"/>
    <w:lsdException w:uiPriority="99" w:name="List Bullet"/>
    <w:lsdException w:uiPriority="99" w:name="List Number"/>
    <w:lsdException w:qFormat="1" w:uiPriority="0" w:semiHidden="0" w:name="List 2"/>
    <w:lsdException w:qFormat="1" w:uiPriority="0" w:semiHidden="0" w:name="List 3"/>
    <w:lsdException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uiPriority="99" w:semiHidden="0" w:name="Hyperlink"/>
    <w:lsdException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0"/>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61"/>
    <w:unhideWhenUsed/>
    <w:qFormat/>
    <w:uiPriority w:val="0"/>
    <w:pPr>
      <w:keepNext/>
      <w:keepLines/>
      <w:spacing w:before="260" w:after="260" w:line="413" w:lineRule="auto"/>
      <w:outlineLvl w:val="1"/>
    </w:pPr>
    <w:rPr>
      <w:rFonts w:ascii="Arial" w:hAnsi="Arial" w:eastAsia="黑体"/>
      <w:b/>
      <w:bCs/>
      <w:kern w:val="0"/>
      <w:sz w:val="32"/>
      <w:szCs w:val="32"/>
    </w:rPr>
  </w:style>
  <w:style w:type="paragraph" w:styleId="4">
    <w:name w:val="heading 3"/>
    <w:basedOn w:val="1"/>
    <w:next w:val="1"/>
    <w:link w:val="62"/>
    <w:unhideWhenUsed/>
    <w:qFormat/>
    <w:uiPriority w:val="0"/>
    <w:pPr>
      <w:spacing w:line="440" w:lineRule="atLeast"/>
      <w:outlineLvl w:val="2"/>
    </w:pPr>
    <w:rPr>
      <w:rFonts w:ascii="Times New Roman" w:hAnsi="Times New Roman" w:eastAsia="楷体_GB2312"/>
      <w:kern w:val="0"/>
      <w:sz w:val="28"/>
      <w:szCs w:val="20"/>
    </w:rPr>
  </w:style>
  <w:style w:type="paragraph" w:styleId="5">
    <w:name w:val="heading 4"/>
    <w:basedOn w:val="1"/>
    <w:next w:val="1"/>
    <w:link w:val="63"/>
    <w:unhideWhenUsed/>
    <w:qFormat/>
    <w:uiPriority w:val="0"/>
    <w:pPr>
      <w:keepNext/>
      <w:keepLines/>
      <w:spacing w:before="280" w:after="290" w:line="372" w:lineRule="auto"/>
      <w:outlineLvl w:val="3"/>
    </w:pPr>
    <w:rPr>
      <w:rFonts w:ascii="Arial" w:hAnsi="Arial" w:eastAsia="黑体"/>
      <w:b/>
      <w:bCs/>
      <w:kern w:val="0"/>
      <w:sz w:val="28"/>
      <w:szCs w:val="28"/>
    </w:rPr>
  </w:style>
  <w:style w:type="paragraph" w:styleId="6">
    <w:name w:val="heading 5"/>
    <w:basedOn w:val="1"/>
    <w:next w:val="1"/>
    <w:link w:val="64"/>
    <w:unhideWhenUsed/>
    <w:qFormat/>
    <w:uiPriority w:val="0"/>
    <w:pPr>
      <w:keepNext/>
      <w:keepLines/>
      <w:spacing w:before="280" w:after="290" w:line="372" w:lineRule="auto"/>
      <w:outlineLvl w:val="4"/>
    </w:pPr>
    <w:rPr>
      <w:rFonts w:ascii="Times New Roman" w:hAnsi="Times New Roman"/>
      <w:b/>
      <w:bCs/>
      <w:kern w:val="0"/>
      <w:sz w:val="28"/>
      <w:szCs w:val="28"/>
    </w:rPr>
  </w:style>
  <w:style w:type="character" w:default="1" w:styleId="46">
    <w:name w:val="Default Paragraph Font"/>
    <w:unhideWhenUsed/>
    <w:qFormat/>
    <w:uiPriority w:val="1"/>
  </w:style>
  <w:style w:type="table" w:default="1" w:styleId="53">
    <w:name w:val="Normal Table"/>
    <w:unhideWhenUsed/>
    <w:qFormat/>
    <w:uiPriority w:val="99"/>
    <w:tblPr>
      <w:tblLayout w:type="fixed"/>
      <w:tblCellMar>
        <w:top w:w="0" w:type="dxa"/>
        <w:left w:w="108" w:type="dxa"/>
        <w:bottom w:w="0" w:type="dxa"/>
        <w:right w:w="108" w:type="dxa"/>
      </w:tblCellMar>
    </w:tblPr>
  </w:style>
  <w:style w:type="paragraph" w:styleId="7">
    <w:name w:val="List 3"/>
    <w:basedOn w:val="1"/>
    <w:unhideWhenUsed/>
    <w:qFormat/>
    <w:uiPriority w:val="0"/>
    <w:pPr>
      <w:ind w:left="100" w:leftChars="400" w:hanging="200" w:hangingChars="200"/>
    </w:pPr>
    <w:rPr>
      <w:rFonts w:ascii="Times New Roman" w:hAnsi="Times New Roman"/>
      <w:szCs w:val="24"/>
    </w:rPr>
  </w:style>
  <w:style w:type="paragraph" w:styleId="8">
    <w:name w:val="annotation subject"/>
    <w:basedOn w:val="9"/>
    <w:next w:val="9"/>
    <w:link w:val="136"/>
    <w:unhideWhenUsed/>
    <w:qFormat/>
    <w:uiPriority w:val="0"/>
    <w:rPr>
      <w:rFonts w:ascii="Times New Roman" w:hAnsi="Times New Roman"/>
      <w:b/>
      <w:bCs/>
      <w:kern w:val="0"/>
      <w:sz w:val="20"/>
      <w:szCs w:val="24"/>
    </w:rPr>
  </w:style>
  <w:style w:type="paragraph" w:styleId="9">
    <w:name w:val="annotation text"/>
    <w:basedOn w:val="1"/>
    <w:link w:val="137"/>
    <w:unhideWhenUsed/>
    <w:qFormat/>
    <w:uiPriority w:val="99"/>
    <w:pPr>
      <w:jc w:val="left"/>
    </w:pPr>
  </w:style>
  <w:style w:type="paragraph" w:styleId="10">
    <w:name w:val="toc 7"/>
    <w:basedOn w:val="1"/>
    <w:next w:val="1"/>
    <w:unhideWhenUsed/>
    <w:qFormat/>
    <w:uiPriority w:val="0"/>
    <w:pPr>
      <w:ind w:left="2520"/>
    </w:pPr>
    <w:rPr>
      <w:rFonts w:ascii="Times New Roman" w:hAnsi="Times New Roman"/>
      <w:szCs w:val="24"/>
    </w:rPr>
  </w:style>
  <w:style w:type="paragraph" w:styleId="11">
    <w:name w:val="Body Text First Indent"/>
    <w:basedOn w:val="12"/>
    <w:link w:val="108"/>
    <w:unhideWhenUsed/>
    <w:qFormat/>
    <w:uiPriority w:val="0"/>
    <w:pPr>
      <w:ind w:firstLine="420" w:firstLineChars="100"/>
    </w:pPr>
    <w:rPr>
      <w:rFonts w:ascii="Times New Roman" w:hAnsi="Times New Roman"/>
      <w:szCs w:val="24"/>
    </w:rPr>
  </w:style>
  <w:style w:type="paragraph" w:styleId="12">
    <w:name w:val="Body Text"/>
    <w:basedOn w:val="1"/>
    <w:link w:val="106"/>
    <w:unhideWhenUsed/>
    <w:qFormat/>
    <w:uiPriority w:val="0"/>
    <w:pPr>
      <w:spacing w:after="120"/>
    </w:pPr>
    <w:rPr>
      <w:kern w:val="0"/>
      <w:sz w:val="20"/>
      <w:szCs w:val="20"/>
    </w:rPr>
  </w:style>
  <w:style w:type="paragraph" w:styleId="13">
    <w:name w:val="Normal Indent"/>
    <w:basedOn w:val="1"/>
    <w:link w:val="135"/>
    <w:unhideWhenUsed/>
    <w:qFormat/>
    <w:uiPriority w:val="0"/>
    <w:pPr>
      <w:autoSpaceDE w:val="0"/>
      <w:autoSpaceDN w:val="0"/>
      <w:adjustRightInd w:val="0"/>
      <w:ind w:firstLine="420"/>
      <w:jc w:val="left"/>
    </w:pPr>
    <w:rPr>
      <w:rFonts w:ascii="宋体" w:hAnsi="Times New Roman"/>
      <w:kern w:val="0"/>
      <w:sz w:val="34"/>
      <w:szCs w:val="20"/>
    </w:rPr>
  </w:style>
  <w:style w:type="paragraph" w:styleId="14">
    <w:name w:val="caption"/>
    <w:basedOn w:val="1"/>
    <w:next w:val="1"/>
    <w:unhideWhenUsed/>
    <w:qFormat/>
    <w:uiPriority w:val="0"/>
    <w:rPr>
      <w:rFonts w:ascii="Arial" w:hAnsi="Arial" w:eastAsia="黑体" w:cs="Arial"/>
      <w:sz w:val="20"/>
      <w:szCs w:val="20"/>
    </w:rPr>
  </w:style>
  <w:style w:type="paragraph" w:styleId="15">
    <w:name w:val="Document Map"/>
    <w:basedOn w:val="1"/>
    <w:link w:val="75"/>
    <w:unhideWhenUsed/>
    <w:qFormat/>
    <w:uiPriority w:val="0"/>
    <w:pPr>
      <w:shd w:val="clear" w:color="auto" w:fill="000080"/>
    </w:pPr>
    <w:rPr>
      <w:rFonts w:ascii="Times New Roman" w:hAnsi="Times New Roman"/>
      <w:kern w:val="0"/>
      <w:sz w:val="20"/>
      <w:szCs w:val="24"/>
    </w:rPr>
  </w:style>
  <w:style w:type="paragraph" w:styleId="16">
    <w:name w:val="toa heading"/>
    <w:basedOn w:val="1"/>
    <w:next w:val="1"/>
    <w:unhideWhenUsed/>
    <w:qFormat/>
    <w:uiPriority w:val="0"/>
    <w:pPr>
      <w:spacing w:before="120"/>
    </w:pPr>
    <w:rPr>
      <w:rFonts w:ascii="Arial" w:hAnsi="Arial" w:cs="Arial"/>
      <w:sz w:val="24"/>
      <w:szCs w:val="24"/>
    </w:rPr>
  </w:style>
  <w:style w:type="paragraph" w:styleId="17">
    <w:name w:val="Body Text Indent"/>
    <w:basedOn w:val="1"/>
    <w:link w:val="69"/>
    <w:unhideWhenUsed/>
    <w:qFormat/>
    <w:uiPriority w:val="0"/>
    <w:pPr>
      <w:spacing w:after="120"/>
      <w:ind w:left="420" w:leftChars="200"/>
    </w:pPr>
    <w:rPr>
      <w:kern w:val="0"/>
      <w:sz w:val="20"/>
      <w:szCs w:val="20"/>
    </w:rPr>
  </w:style>
  <w:style w:type="paragraph" w:styleId="18">
    <w:name w:val="List 2"/>
    <w:basedOn w:val="1"/>
    <w:unhideWhenUsed/>
    <w:qFormat/>
    <w:uiPriority w:val="0"/>
    <w:pPr>
      <w:ind w:left="100" w:leftChars="200" w:hanging="200" w:hangingChars="200"/>
    </w:pPr>
    <w:rPr>
      <w:rFonts w:ascii="Times New Roman" w:hAnsi="Times New Roman"/>
      <w:szCs w:val="24"/>
    </w:rPr>
  </w:style>
  <w:style w:type="paragraph" w:styleId="19">
    <w:name w:val="toc 5"/>
    <w:basedOn w:val="1"/>
    <w:next w:val="1"/>
    <w:unhideWhenUsed/>
    <w:qFormat/>
    <w:uiPriority w:val="0"/>
    <w:pPr>
      <w:ind w:left="1680"/>
    </w:pPr>
    <w:rPr>
      <w:rFonts w:ascii="Times New Roman" w:hAnsi="Times New Roman"/>
      <w:szCs w:val="24"/>
    </w:rPr>
  </w:style>
  <w:style w:type="paragraph" w:styleId="20">
    <w:name w:val="toc 3"/>
    <w:basedOn w:val="1"/>
    <w:next w:val="1"/>
    <w:unhideWhenUsed/>
    <w:qFormat/>
    <w:uiPriority w:val="39"/>
    <w:pPr>
      <w:spacing w:line="360" w:lineRule="auto"/>
      <w:ind w:left="400" w:leftChars="400"/>
    </w:pPr>
    <w:rPr>
      <w:rFonts w:ascii="Times New Roman" w:hAnsi="Times New Roman"/>
      <w:szCs w:val="24"/>
    </w:rPr>
  </w:style>
  <w:style w:type="paragraph" w:styleId="21">
    <w:name w:val="Plain Text"/>
    <w:basedOn w:val="1"/>
    <w:link w:val="114"/>
    <w:unhideWhenUsed/>
    <w:qFormat/>
    <w:uiPriority w:val="0"/>
    <w:rPr>
      <w:rFonts w:ascii="宋体" w:hAnsi="Courier New"/>
      <w:kern w:val="0"/>
      <w:sz w:val="20"/>
      <w:szCs w:val="21"/>
    </w:rPr>
  </w:style>
  <w:style w:type="paragraph" w:styleId="22">
    <w:name w:val="toc 8"/>
    <w:basedOn w:val="1"/>
    <w:next w:val="1"/>
    <w:unhideWhenUsed/>
    <w:qFormat/>
    <w:uiPriority w:val="0"/>
    <w:pPr>
      <w:ind w:left="2940"/>
    </w:pPr>
    <w:rPr>
      <w:rFonts w:ascii="Times New Roman" w:hAnsi="Times New Roman"/>
      <w:szCs w:val="24"/>
    </w:rPr>
  </w:style>
  <w:style w:type="paragraph" w:styleId="23">
    <w:name w:val="index 3"/>
    <w:basedOn w:val="1"/>
    <w:next w:val="1"/>
    <w:unhideWhenUsed/>
    <w:qFormat/>
    <w:uiPriority w:val="0"/>
    <w:pPr>
      <w:ind w:left="400" w:leftChars="400"/>
    </w:pPr>
    <w:rPr>
      <w:rFonts w:ascii="Times New Roman" w:hAnsi="Times New Roman"/>
      <w:szCs w:val="24"/>
    </w:rPr>
  </w:style>
  <w:style w:type="paragraph" w:styleId="24">
    <w:name w:val="Date"/>
    <w:basedOn w:val="1"/>
    <w:next w:val="1"/>
    <w:link w:val="77"/>
    <w:unhideWhenUsed/>
    <w:qFormat/>
    <w:uiPriority w:val="0"/>
    <w:pPr>
      <w:ind w:left="100" w:leftChars="2500"/>
    </w:pPr>
    <w:rPr>
      <w:rFonts w:ascii="Times New Roman" w:hAnsi="Times New Roman"/>
      <w:b/>
      <w:bCs/>
      <w:kern w:val="0"/>
      <w:sz w:val="36"/>
      <w:szCs w:val="24"/>
    </w:rPr>
  </w:style>
  <w:style w:type="paragraph" w:styleId="25">
    <w:name w:val="Body Text Indent 2"/>
    <w:basedOn w:val="1"/>
    <w:link w:val="121"/>
    <w:unhideWhenUsed/>
    <w:qFormat/>
    <w:uiPriority w:val="0"/>
    <w:pPr>
      <w:spacing w:after="120" w:line="480" w:lineRule="auto"/>
      <w:ind w:left="420" w:leftChars="200"/>
    </w:pPr>
    <w:rPr>
      <w:rFonts w:ascii="Times New Roman" w:hAnsi="Times New Roman"/>
      <w:kern w:val="0"/>
      <w:sz w:val="20"/>
      <w:szCs w:val="24"/>
    </w:rPr>
  </w:style>
  <w:style w:type="paragraph" w:styleId="26">
    <w:name w:val="Balloon Text"/>
    <w:basedOn w:val="1"/>
    <w:link w:val="110"/>
    <w:unhideWhenUsed/>
    <w:qFormat/>
    <w:uiPriority w:val="0"/>
    <w:rPr>
      <w:rFonts w:ascii="Times New Roman" w:hAnsi="Times New Roman"/>
      <w:kern w:val="0"/>
      <w:sz w:val="18"/>
      <w:szCs w:val="18"/>
    </w:rPr>
  </w:style>
  <w:style w:type="paragraph" w:styleId="27">
    <w:name w:val="footer"/>
    <w:basedOn w:val="1"/>
    <w:link w:val="123"/>
    <w:unhideWhenUsed/>
    <w:uiPriority w:val="99"/>
    <w:pPr>
      <w:tabs>
        <w:tab w:val="center" w:pos="4153"/>
        <w:tab w:val="right" w:pos="8306"/>
      </w:tabs>
      <w:snapToGrid w:val="0"/>
      <w:jc w:val="left"/>
    </w:pPr>
    <w:rPr>
      <w:rFonts w:ascii="Times New Roman" w:hAnsi="Times New Roman"/>
      <w:kern w:val="0"/>
      <w:sz w:val="18"/>
      <w:szCs w:val="18"/>
    </w:rPr>
  </w:style>
  <w:style w:type="paragraph" w:styleId="28">
    <w:name w:val="Body Text First Indent 2"/>
    <w:basedOn w:val="17"/>
    <w:link w:val="71"/>
    <w:unhideWhenUsed/>
    <w:qFormat/>
    <w:uiPriority w:val="0"/>
    <w:pPr>
      <w:ind w:firstLine="420" w:firstLineChars="200"/>
    </w:pPr>
    <w:rPr>
      <w:rFonts w:ascii="Times New Roman" w:hAnsi="Times New Roman"/>
      <w:szCs w:val="24"/>
    </w:rPr>
  </w:style>
  <w:style w:type="paragraph" w:styleId="29">
    <w:name w:val="header"/>
    <w:basedOn w:val="1"/>
    <w:link w:val="73"/>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30">
    <w:name w:val="toc 1"/>
    <w:basedOn w:val="2"/>
    <w:next w:val="1"/>
    <w:unhideWhenUsed/>
    <w:qFormat/>
    <w:uiPriority w:val="39"/>
    <w:pPr>
      <w:tabs>
        <w:tab w:val="right" w:leader="dot" w:pos="8659"/>
      </w:tabs>
      <w:spacing w:before="0" w:after="0" w:line="240" w:lineRule="auto"/>
      <w:jc w:val="center"/>
    </w:pPr>
    <w:rPr>
      <w:b w:val="0"/>
      <w:sz w:val="21"/>
    </w:rPr>
  </w:style>
  <w:style w:type="paragraph" w:styleId="31">
    <w:name w:val="toc 4"/>
    <w:basedOn w:val="1"/>
    <w:next w:val="1"/>
    <w:unhideWhenUsed/>
    <w:qFormat/>
    <w:uiPriority w:val="0"/>
    <w:pPr>
      <w:ind w:left="1260"/>
    </w:pPr>
    <w:rPr>
      <w:rFonts w:ascii="Times New Roman" w:hAnsi="Times New Roman"/>
      <w:szCs w:val="24"/>
    </w:rPr>
  </w:style>
  <w:style w:type="paragraph" w:styleId="32">
    <w:name w:val="List"/>
    <w:basedOn w:val="1"/>
    <w:unhideWhenUsed/>
    <w:qFormat/>
    <w:uiPriority w:val="0"/>
    <w:pPr>
      <w:ind w:left="200" w:hanging="200" w:hangingChars="200"/>
    </w:pPr>
    <w:rPr>
      <w:rFonts w:ascii="Times New Roman" w:hAnsi="Times New Roman"/>
      <w:szCs w:val="24"/>
    </w:rPr>
  </w:style>
  <w:style w:type="paragraph" w:styleId="33">
    <w:name w:val="footnote text"/>
    <w:basedOn w:val="1"/>
    <w:link w:val="112"/>
    <w:unhideWhenUsed/>
    <w:uiPriority w:val="0"/>
    <w:pPr>
      <w:snapToGrid w:val="0"/>
      <w:jc w:val="left"/>
    </w:pPr>
    <w:rPr>
      <w:rFonts w:ascii="Times New Roman" w:hAnsi="Times New Roman"/>
      <w:kern w:val="0"/>
      <w:sz w:val="18"/>
      <w:szCs w:val="18"/>
    </w:rPr>
  </w:style>
  <w:style w:type="paragraph" w:styleId="34">
    <w:name w:val="toc 6"/>
    <w:basedOn w:val="1"/>
    <w:next w:val="1"/>
    <w:unhideWhenUsed/>
    <w:qFormat/>
    <w:uiPriority w:val="0"/>
    <w:pPr>
      <w:ind w:left="2100"/>
    </w:pPr>
    <w:rPr>
      <w:rFonts w:ascii="Times New Roman" w:hAnsi="Times New Roman"/>
      <w:szCs w:val="24"/>
    </w:rPr>
  </w:style>
  <w:style w:type="paragraph" w:styleId="35">
    <w:name w:val="Body Text Indent 3"/>
    <w:basedOn w:val="1"/>
    <w:link w:val="67"/>
    <w:unhideWhenUsed/>
    <w:qFormat/>
    <w:uiPriority w:val="0"/>
    <w:pPr>
      <w:spacing w:line="540" w:lineRule="atLeast"/>
      <w:ind w:firstLine="480" w:firstLineChars="200"/>
    </w:pPr>
    <w:rPr>
      <w:rFonts w:ascii="Times New Roman" w:hAnsi="Times New Roman"/>
      <w:kern w:val="0"/>
      <w:sz w:val="24"/>
      <w:szCs w:val="24"/>
    </w:rPr>
  </w:style>
  <w:style w:type="paragraph" w:styleId="36">
    <w:name w:val="table of figures"/>
    <w:basedOn w:val="1"/>
    <w:next w:val="1"/>
    <w:unhideWhenUsed/>
    <w:qFormat/>
    <w:uiPriority w:val="0"/>
    <w:pPr>
      <w:ind w:left="200" w:leftChars="200" w:hanging="200" w:hangingChars="200"/>
    </w:pPr>
    <w:rPr>
      <w:rFonts w:ascii="Times New Roman" w:hAnsi="Times New Roman"/>
      <w:szCs w:val="24"/>
    </w:rPr>
  </w:style>
  <w:style w:type="paragraph" w:styleId="37">
    <w:name w:val="toc 2"/>
    <w:basedOn w:val="1"/>
    <w:next w:val="1"/>
    <w:unhideWhenUsed/>
    <w:qFormat/>
    <w:uiPriority w:val="39"/>
    <w:pPr>
      <w:spacing w:line="360" w:lineRule="auto"/>
      <w:ind w:left="200" w:leftChars="200"/>
    </w:pPr>
    <w:rPr>
      <w:rFonts w:ascii="Times New Roman" w:hAnsi="Times New Roman"/>
      <w:szCs w:val="24"/>
    </w:rPr>
  </w:style>
  <w:style w:type="paragraph" w:styleId="38">
    <w:name w:val="toc 9"/>
    <w:basedOn w:val="1"/>
    <w:next w:val="1"/>
    <w:unhideWhenUsed/>
    <w:qFormat/>
    <w:uiPriority w:val="0"/>
    <w:pPr>
      <w:ind w:left="3360"/>
    </w:pPr>
    <w:rPr>
      <w:rFonts w:ascii="Times New Roman" w:hAnsi="Times New Roman"/>
      <w:szCs w:val="24"/>
    </w:rPr>
  </w:style>
  <w:style w:type="paragraph" w:styleId="39">
    <w:name w:val="Body Text 2"/>
    <w:basedOn w:val="1"/>
    <w:link w:val="119"/>
    <w:unhideWhenUsed/>
    <w:qFormat/>
    <w:uiPriority w:val="0"/>
    <w:pPr>
      <w:spacing w:after="120" w:line="480" w:lineRule="auto"/>
    </w:pPr>
    <w:rPr>
      <w:rFonts w:ascii="Times New Roman" w:hAnsi="Times New Roman"/>
      <w:kern w:val="0"/>
      <w:sz w:val="20"/>
      <w:szCs w:val="24"/>
    </w:rPr>
  </w:style>
  <w:style w:type="paragraph" w:styleId="40">
    <w:name w:val="List 4"/>
    <w:basedOn w:val="1"/>
    <w:unhideWhenUsed/>
    <w:uiPriority w:val="0"/>
    <w:pPr>
      <w:ind w:left="100" w:leftChars="600" w:hanging="200" w:hangingChars="200"/>
    </w:pPr>
    <w:rPr>
      <w:rFonts w:ascii="Times New Roman" w:hAnsi="Times New Roman"/>
      <w:szCs w:val="24"/>
    </w:rPr>
  </w:style>
  <w:style w:type="paragraph" w:styleId="41">
    <w:name w:val="List Continue 2"/>
    <w:basedOn w:val="1"/>
    <w:unhideWhenUsed/>
    <w:uiPriority w:val="0"/>
    <w:pPr>
      <w:spacing w:after="120"/>
      <w:ind w:left="840" w:leftChars="400"/>
    </w:pPr>
    <w:rPr>
      <w:rFonts w:ascii="Times New Roman" w:hAnsi="Times New Roman"/>
      <w:szCs w:val="24"/>
    </w:rPr>
  </w:style>
  <w:style w:type="paragraph" w:styleId="4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43">
    <w:name w:val="index 1"/>
    <w:basedOn w:val="1"/>
    <w:next w:val="1"/>
    <w:unhideWhenUsed/>
    <w:uiPriority w:val="0"/>
    <w:pPr>
      <w:spacing w:line="320" w:lineRule="exact"/>
    </w:pPr>
    <w:rPr>
      <w:rFonts w:ascii="Times New Roman" w:hAnsi="Times New Roman"/>
      <w:snapToGrid w:val="0"/>
      <w:color w:val="FF6600"/>
      <w:kern w:val="0"/>
      <w:sz w:val="18"/>
      <w:szCs w:val="21"/>
    </w:rPr>
  </w:style>
  <w:style w:type="paragraph" w:styleId="44">
    <w:name w:val="index 2"/>
    <w:basedOn w:val="1"/>
    <w:next w:val="1"/>
    <w:unhideWhenUsed/>
    <w:uiPriority w:val="0"/>
    <w:pPr>
      <w:ind w:left="200" w:leftChars="200"/>
    </w:pPr>
    <w:rPr>
      <w:rFonts w:ascii="Times New Roman" w:hAnsi="Times New Roman"/>
      <w:szCs w:val="24"/>
    </w:rPr>
  </w:style>
  <w:style w:type="paragraph" w:styleId="45">
    <w:name w:val="Title"/>
    <w:basedOn w:val="1"/>
    <w:link w:val="79"/>
    <w:qFormat/>
    <w:uiPriority w:val="0"/>
    <w:pPr>
      <w:spacing w:before="240" w:after="60"/>
      <w:jc w:val="center"/>
      <w:outlineLvl w:val="0"/>
    </w:pPr>
    <w:rPr>
      <w:rFonts w:ascii="Arial" w:hAnsi="Arial"/>
      <w:b/>
      <w:bCs/>
      <w:kern w:val="0"/>
      <w:sz w:val="32"/>
      <w:szCs w:val="32"/>
    </w:rPr>
  </w:style>
  <w:style w:type="character" w:styleId="47">
    <w:name w:val="page number"/>
    <w:unhideWhenUsed/>
    <w:uiPriority w:val="0"/>
    <w:rPr>
      <w:rFonts w:ascii="Calibri" w:hAnsi="Calibri" w:eastAsia="宋体" w:cs="Times New Roman"/>
      <w:lang w:val="en-US" w:eastAsia="zh-CN" w:bidi="ar-SA"/>
    </w:rPr>
  </w:style>
  <w:style w:type="character" w:styleId="48">
    <w:name w:val="FollowedHyperlink"/>
    <w:unhideWhenUsed/>
    <w:uiPriority w:val="0"/>
    <w:rPr>
      <w:rFonts w:ascii="Calibri" w:hAnsi="Calibri" w:eastAsia="宋体" w:cs="Times New Roman"/>
      <w:color w:val="800080"/>
      <w:u w:val="single"/>
      <w:lang w:val="en-US" w:eastAsia="zh-CN" w:bidi="ar-SA"/>
    </w:rPr>
  </w:style>
  <w:style w:type="character" w:styleId="49">
    <w:name w:val="Emphasis"/>
    <w:qFormat/>
    <w:uiPriority w:val="20"/>
    <w:rPr>
      <w:rFonts w:ascii="Calibri" w:hAnsi="Calibri" w:eastAsia="宋体" w:cs="Times New Roman"/>
      <w:i/>
      <w:iCs/>
      <w:lang w:val="en-US" w:eastAsia="zh-CN" w:bidi="ar-SA"/>
    </w:rPr>
  </w:style>
  <w:style w:type="character" w:styleId="50">
    <w:name w:val="Hyperlink"/>
    <w:unhideWhenUsed/>
    <w:uiPriority w:val="99"/>
    <w:rPr>
      <w:rFonts w:ascii="Calibri" w:hAnsi="Calibri" w:eastAsia="宋体" w:cs="Times New Roman"/>
      <w:color w:val="0000FF"/>
      <w:u w:val="single"/>
      <w:lang w:val="en-US" w:eastAsia="zh-CN" w:bidi="ar-SA"/>
    </w:rPr>
  </w:style>
  <w:style w:type="character" w:styleId="51">
    <w:name w:val="annotation reference"/>
    <w:unhideWhenUsed/>
    <w:uiPriority w:val="0"/>
    <w:rPr>
      <w:rFonts w:ascii="Calibri" w:hAnsi="Calibri" w:eastAsia="宋体" w:cs="Times New Roman"/>
      <w:sz w:val="21"/>
      <w:szCs w:val="21"/>
      <w:lang w:val="en-US" w:eastAsia="zh-CN" w:bidi="ar-SA"/>
    </w:rPr>
  </w:style>
  <w:style w:type="character" w:styleId="52">
    <w:name w:val="footnote reference"/>
    <w:unhideWhenUsed/>
    <w:qFormat/>
    <w:uiPriority w:val="0"/>
    <w:rPr>
      <w:rFonts w:ascii="Calibri" w:hAnsi="Calibri" w:eastAsia="宋体" w:cs="Times New Roman"/>
      <w:vertAlign w:val="superscript"/>
      <w:lang w:val="en-US" w:eastAsia="zh-CN" w:bidi="ar-SA"/>
    </w:rPr>
  </w:style>
  <w:style w:type="table" w:styleId="54">
    <w:name w:val="Table Grid"/>
    <w:basedOn w:val="53"/>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
    <w:name w:val="标题 1 字符"/>
    <w:qFormat/>
    <w:uiPriority w:val="9"/>
    <w:rPr>
      <w:rFonts w:ascii="Calibri" w:hAnsi="Calibri" w:eastAsia="宋体" w:cs="Times New Roman"/>
      <w:b/>
      <w:bCs/>
      <w:kern w:val="44"/>
      <w:sz w:val="44"/>
      <w:szCs w:val="44"/>
      <w:lang w:val="en-US" w:eastAsia="zh-CN" w:bidi="ar-SA"/>
    </w:rPr>
  </w:style>
  <w:style w:type="character" w:customStyle="1" w:styleId="56">
    <w:name w:val="标题 2 字符"/>
    <w:semiHidden/>
    <w:qFormat/>
    <w:uiPriority w:val="9"/>
    <w:rPr>
      <w:rFonts w:ascii="Calibri Light" w:hAnsi="Calibri Light" w:eastAsia="宋体" w:cs="Times New Roman"/>
      <w:b/>
      <w:bCs/>
      <w:sz w:val="32"/>
      <w:szCs w:val="32"/>
      <w:lang w:val="en-US" w:eastAsia="zh-CN" w:bidi="ar-SA"/>
    </w:rPr>
  </w:style>
  <w:style w:type="character" w:customStyle="1" w:styleId="57">
    <w:name w:val="标题 3 字符"/>
    <w:semiHidden/>
    <w:qFormat/>
    <w:uiPriority w:val="9"/>
    <w:rPr>
      <w:rFonts w:ascii="Calibri" w:hAnsi="Calibri" w:eastAsia="宋体" w:cs="Times New Roman"/>
      <w:b/>
      <w:bCs/>
      <w:sz w:val="32"/>
      <w:szCs w:val="32"/>
      <w:lang w:val="en-US" w:eastAsia="zh-CN" w:bidi="ar-SA"/>
    </w:rPr>
  </w:style>
  <w:style w:type="character" w:customStyle="1" w:styleId="58">
    <w:name w:val="标题 4 字符"/>
    <w:semiHidden/>
    <w:qFormat/>
    <w:uiPriority w:val="9"/>
    <w:rPr>
      <w:rFonts w:ascii="Calibri Light" w:hAnsi="Calibri Light" w:eastAsia="宋体" w:cs="Times New Roman"/>
      <w:b/>
      <w:bCs/>
      <w:sz w:val="28"/>
      <w:szCs w:val="28"/>
      <w:lang w:val="en-US" w:eastAsia="zh-CN" w:bidi="ar-SA"/>
    </w:rPr>
  </w:style>
  <w:style w:type="character" w:customStyle="1" w:styleId="59">
    <w:name w:val="标题 5 字符"/>
    <w:semiHidden/>
    <w:qFormat/>
    <w:uiPriority w:val="9"/>
    <w:rPr>
      <w:rFonts w:ascii="Calibri" w:hAnsi="Calibri" w:eastAsia="宋体" w:cs="Times New Roman"/>
      <w:b/>
      <w:bCs/>
      <w:sz w:val="28"/>
      <w:szCs w:val="28"/>
      <w:lang w:val="en-US" w:eastAsia="zh-CN" w:bidi="ar-SA"/>
    </w:rPr>
  </w:style>
  <w:style w:type="character" w:customStyle="1" w:styleId="60">
    <w:name w:val="标题 1 Char"/>
    <w:link w:val="2"/>
    <w:qFormat/>
    <w:uiPriority w:val="0"/>
    <w:rPr>
      <w:rFonts w:ascii="Times New Roman" w:hAnsi="Times New Roman" w:eastAsia="宋体" w:cs="Times New Roman"/>
      <w:b/>
      <w:bCs/>
      <w:kern w:val="44"/>
      <w:sz w:val="44"/>
      <w:szCs w:val="44"/>
      <w:lang w:val="en-US" w:eastAsia="zh-CN" w:bidi="ar-SA"/>
    </w:rPr>
  </w:style>
  <w:style w:type="character" w:customStyle="1" w:styleId="61">
    <w:name w:val="标题 2 Char"/>
    <w:link w:val="3"/>
    <w:qFormat/>
    <w:uiPriority w:val="0"/>
    <w:rPr>
      <w:rFonts w:ascii="Arial" w:hAnsi="Arial" w:eastAsia="黑体" w:cs="Times New Roman"/>
      <w:b/>
      <w:bCs/>
      <w:kern w:val="0"/>
      <w:sz w:val="32"/>
      <w:szCs w:val="32"/>
      <w:lang w:val="en-US" w:eastAsia="zh-CN" w:bidi="ar-SA"/>
    </w:rPr>
  </w:style>
  <w:style w:type="character" w:customStyle="1" w:styleId="62">
    <w:name w:val="标题 3 Char"/>
    <w:link w:val="4"/>
    <w:qFormat/>
    <w:uiPriority w:val="0"/>
    <w:rPr>
      <w:rFonts w:ascii="Times New Roman" w:hAnsi="Times New Roman" w:eastAsia="楷体_GB2312" w:cs="Times New Roman"/>
      <w:kern w:val="0"/>
      <w:sz w:val="28"/>
      <w:szCs w:val="20"/>
      <w:lang w:val="en-US" w:eastAsia="zh-CN" w:bidi="ar-SA"/>
    </w:rPr>
  </w:style>
  <w:style w:type="character" w:customStyle="1" w:styleId="63">
    <w:name w:val="标题 4 Char"/>
    <w:link w:val="5"/>
    <w:qFormat/>
    <w:uiPriority w:val="0"/>
    <w:rPr>
      <w:rFonts w:ascii="Arial" w:hAnsi="Arial" w:eastAsia="黑体" w:cs="Times New Roman"/>
      <w:b/>
      <w:bCs/>
      <w:kern w:val="0"/>
      <w:sz w:val="28"/>
      <w:szCs w:val="28"/>
      <w:lang w:val="en-US" w:eastAsia="zh-CN" w:bidi="ar-SA"/>
    </w:rPr>
  </w:style>
  <w:style w:type="character" w:customStyle="1" w:styleId="64">
    <w:name w:val="标题 5 Char"/>
    <w:link w:val="6"/>
    <w:qFormat/>
    <w:uiPriority w:val="0"/>
    <w:rPr>
      <w:rFonts w:ascii="Times New Roman" w:hAnsi="Times New Roman" w:eastAsia="宋体" w:cs="Times New Roman"/>
      <w:b/>
      <w:bCs/>
      <w:kern w:val="0"/>
      <w:sz w:val="28"/>
      <w:szCs w:val="28"/>
      <w:lang w:val="en-US" w:eastAsia="zh-CN" w:bidi="ar-SA"/>
    </w:rPr>
  </w:style>
  <w:style w:type="character" w:customStyle="1" w:styleId="65">
    <w:name w:val="zbggmain style9"/>
    <w:qFormat/>
    <w:uiPriority w:val="0"/>
    <w:rPr>
      <w:rFonts w:ascii="Calibri" w:hAnsi="Calibri" w:eastAsia="宋体" w:cs="Times New Roman"/>
      <w:lang w:val="en-US" w:eastAsia="zh-CN" w:bidi="ar-SA"/>
    </w:rPr>
  </w:style>
  <w:style w:type="character" w:customStyle="1" w:styleId="66">
    <w:name w:val="正文文本缩进 3 字符"/>
    <w:semiHidden/>
    <w:qFormat/>
    <w:uiPriority w:val="99"/>
    <w:rPr>
      <w:rFonts w:ascii="Calibri" w:hAnsi="Calibri" w:eastAsia="宋体" w:cs="Times New Roman"/>
      <w:sz w:val="16"/>
      <w:szCs w:val="16"/>
      <w:lang w:val="en-US" w:eastAsia="zh-CN" w:bidi="ar-SA"/>
    </w:rPr>
  </w:style>
  <w:style w:type="character" w:customStyle="1" w:styleId="67">
    <w:name w:val="正文文本缩进 3 Char"/>
    <w:link w:val="35"/>
    <w:qFormat/>
    <w:uiPriority w:val="0"/>
    <w:rPr>
      <w:rFonts w:ascii="Times New Roman" w:hAnsi="Times New Roman" w:eastAsia="宋体" w:cs="Times New Roman"/>
      <w:kern w:val="0"/>
      <w:sz w:val="24"/>
      <w:szCs w:val="24"/>
      <w:lang w:val="en-US" w:eastAsia="zh-CN" w:bidi="ar-SA"/>
    </w:rPr>
  </w:style>
  <w:style w:type="character" w:customStyle="1" w:styleId="68">
    <w:name w:val="正文文本缩进 字符"/>
    <w:basedOn w:val="46"/>
    <w:semiHidden/>
    <w:qFormat/>
    <w:uiPriority w:val="99"/>
    <w:rPr>
      <w:rFonts w:ascii="Calibri" w:hAnsi="Calibri" w:eastAsia="宋体" w:cs="Times New Roman"/>
      <w:lang w:val="en-US" w:eastAsia="zh-CN" w:bidi="ar-SA"/>
    </w:rPr>
  </w:style>
  <w:style w:type="character" w:customStyle="1" w:styleId="69">
    <w:name w:val="正文文本缩进 Char"/>
    <w:link w:val="17"/>
    <w:qFormat/>
    <w:uiPriority w:val="0"/>
    <w:rPr>
      <w:rFonts w:ascii="Calibri" w:hAnsi="Calibri" w:eastAsia="宋体" w:cs="Times New Roman"/>
      <w:kern w:val="0"/>
      <w:sz w:val="20"/>
      <w:szCs w:val="20"/>
      <w:lang w:val="en-US" w:eastAsia="zh-CN" w:bidi="ar-SA"/>
    </w:rPr>
  </w:style>
  <w:style w:type="character" w:customStyle="1" w:styleId="70">
    <w:name w:val="正文首行缩进 2 字符"/>
    <w:basedOn w:val="68"/>
    <w:semiHidden/>
    <w:qFormat/>
    <w:uiPriority w:val="99"/>
  </w:style>
  <w:style w:type="character" w:customStyle="1" w:styleId="71">
    <w:name w:val="正文首行缩进 2 Char"/>
    <w:link w:val="28"/>
    <w:qFormat/>
    <w:uiPriority w:val="0"/>
    <w:rPr>
      <w:rFonts w:ascii="Times New Roman" w:hAnsi="Times New Roman" w:eastAsia="宋体" w:cs="Times New Roman"/>
      <w:szCs w:val="24"/>
      <w:lang w:val="en-US" w:eastAsia="zh-CN" w:bidi="ar-SA"/>
    </w:rPr>
  </w:style>
  <w:style w:type="character" w:customStyle="1" w:styleId="72">
    <w:name w:val="页眉 字符"/>
    <w:semiHidden/>
    <w:qFormat/>
    <w:uiPriority w:val="99"/>
    <w:rPr>
      <w:rFonts w:ascii="Calibri" w:hAnsi="Calibri" w:eastAsia="宋体" w:cs="Times New Roman"/>
      <w:sz w:val="18"/>
      <w:szCs w:val="18"/>
      <w:lang w:val="en-US" w:eastAsia="zh-CN" w:bidi="ar-SA"/>
    </w:rPr>
  </w:style>
  <w:style w:type="character" w:customStyle="1" w:styleId="73">
    <w:name w:val="页眉 Char"/>
    <w:link w:val="29"/>
    <w:qFormat/>
    <w:uiPriority w:val="0"/>
    <w:rPr>
      <w:rFonts w:ascii="Times New Roman" w:hAnsi="Times New Roman" w:eastAsia="宋体" w:cs="Times New Roman"/>
      <w:kern w:val="0"/>
      <w:sz w:val="18"/>
      <w:szCs w:val="18"/>
      <w:lang w:val="en-US" w:eastAsia="zh-CN" w:bidi="ar-SA"/>
    </w:rPr>
  </w:style>
  <w:style w:type="character" w:customStyle="1" w:styleId="74">
    <w:name w:val="文档结构图 字符"/>
    <w:semiHidden/>
    <w:qFormat/>
    <w:uiPriority w:val="99"/>
    <w:rPr>
      <w:rFonts w:ascii="Microsoft YaHei UI" w:hAnsi="Calibri" w:eastAsia="Microsoft YaHei UI" w:cs="Times New Roman"/>
      <w:sz w:val="18"/>
      <w:szCs w:val="18"/>
      <w:lang w:val="en-US" w:eastAsia="zh-CN" w:bidi="ar-SA"/>
    </w:rPr>
  </w:style>
  <w:style w:type="character" w:customStyle="1" w:styleId="75">
    <w:name w:val="文档结构图 Char"/>
    <w:link w:val="15"/>
    <w:qFormat/>
    <w:uiPriority w:val="0"/>
    <w:rPr>
      <w:rFonts w:ascii="Times New Roman" w:hAnsi="Times New Roman" w:eastAsia="宋体" w:cs="Times New Roman"/>
      <w:kern w:val="0"/>
      <w:sz w:val="20"/>
      <w:szCs w:val="24"/>
      <w:lang w:val="en-US" w:eastAsia="zh-CN" w:bidi="ar-SA"/>
    </w:rPr>
  </w:style>
  <w:style w:type="character" w:customStyle="1" w:styleId="76">
    <w:name w:val="日期 字符"/>
    <w:basedOn w:val="46"/>
    <w:semiHidden/>
    <w:qFormat/>
    <w:uiPriority w:val="99"/>
    <w:rPr>
      <w:rFonts w:ascii="Calibri" w:hAnsi="Calibri" w:eastAsia="宋体" w:cs="Times New Roman"/>
      <w:lang w:val="en-US" w:eastAsia="zh-CN" w:bidi="ar-SA"/>
    </w:rPr>
  </w:style>
  <w:style w:type="character" w:customStyle="1" w:styleId="77">
    <w:name w:val="日期 Char"/>
    <w:link w:val="24"/>
    <w:qFormat/>
    <w:uiPriority w:val="0"/>
    <w:rPr>
      <w:rFonts w:ascii="Times New Roman" w:hAnsi="Times New Roman" w:eastAsia="宋体" w:cs="Times New Roman"/>
      <w:b/>
      <w:bCs/>
      <w:kern w:val="0"/>
      <w:sz w:val="36"/>
      <w:szCs w:val="24"/>
      <w:lang w:val="en-US" w:eastAsia="zh-CN" w:bidi="ar-SA"/>
    </w:rPr>
  </w:style>
  <w:style w:type="character" w:customStyle="1" w:styleId="78">
    <w:name w:val="标题 字符"/>
    <w:qFormat/>
    <w:uiPriority w:val="10"/>
    <w:rPr>
      <w:rFonts w:ascii="Calibri Light" w:hAnsi="Calibri Light" w:eastAsia="宋体" w:cs="Times New Roman"/>
      <w:b/>
      <w:bCs/>
      <w:sz w:val="32"/>
      <w:szCs w:val="32"/>
      <w:lang w:val="en-US" w:eastAsia="zh-CN" w:bidi="ar-SA"/>
    </w:rPr>
  </w:style>
  <w:style w:type="character" w:customStyle="1" w:styleId="79">
    <w:name w:val="标题 Char"/>
    <w:link w:val="45"/>
    <w:qFormat/>
    <w:uiPriority w:val="0"/>
    <w:rPr>
      <w:rFonts w:ascii="Arial" w:hAnsi="Arial" w:eastAsia="宋体" w:cs="Times New Roman"/>
      <w:b/>
      <w:bCs/>
      <w:kern w:val="0"/>
      <w:sz w:val="32"/>
      <w:szCs w:val="32"/>
      <w:lang w:val="en-US" w:eastAsia="zh-CN" w:bidi="ar-SA"/>
    </w:rPr>
  </w:style>
  <w:style w:type="paragraph" w:customStyle="1" w:styleId="80">
    <w:name w:val="样式2"/>
    <w:basedOn w:val="36"/>
    <w:qFormat/>
    <w:uiPriority w:val="0"/>
    <w:pPr>
      <w:ind w:firstLine="2720"/>
    </w:pPr>
    <w:rPr>
      <w:bCs/>
    </w:rPr>
  </w:style>
  <w:style w:type="paragraph" w:customStyle="1" w:styleId="81">
    <w:name w:val="0"/>
    <w:basedOn w:val="1"/>
    <w:qFormat/>
    <w:uiPriority w:val="0"/>
    <w:pPr>
      <w:widowControl/>
    </w:pPr>
    <w:rPr>
      <w:rFonts w:ascii="Times New Roman" w:hAnsi="Times New Roman"/>
      <w:kern w:val="0"/>
      <w:szCs w:val="20"/>
    </w:rPr>
  </w:style>
  <w:style w:type="paragraph" w:customStyle="1" w:styleId="82">
    <w:name w:val="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83">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4">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kern w:val="0"/>
      <w:sz w:val="24"/>
      <w:szCs w:val="20"/>
    </w:rPr>
  </w:style>
  <w:style w:type="paragraph" w:customStyle="1" w:styleId="85">
    <w:name w:val="Char"/>
    <w:basedOn w:val="1"/>
    <w:qFormat/>
    <w:uiPriority w:val="0"/>
    <w:pPr>
      <w:spacing w:line="360" w:lineRule="auto"/>
    </w:pPr>
    <w:rPr>
      <w:rFonts w:ascii="黑体" w:hAnsi="黑体"/>
      <w:sz w:val="24"/>
      <w:szCs w:val="24"/>
      <w:lang w:val="zh-CN"/>
    </w:rPr>
  </w:style>
  <w:style w:type="paragraph" w:customStyle="1" w:styleId="86">
    <w:name w:val="1 Char Char Char"/>
    <w:basedOn w:val="1"/>
    <w:next w:val="4"/>
    <w:qFormat/>
    <w:uiPriority w:val="0"/>
    <w:pPr>
      <w:spacing w:line="500" w:lineRule="exact"/>
      <w:ind w:firstLine="200"/>
      <w:jc w:val="center"/>
    </w:pPr>
    <w:rPr>
      <w:rFonts w:ascii="仿宋_GB2312" w:hAnsi="Arial" w:eastAsia="仿宋_GB2312" w:cs="Arial"/>
      <w:bCs/>
      <w:sz w:val="32"/>
      <w:szCs w:val="32"/>
    </w:rPr>
  </w:style>
  <w:style w:type="paragraph" w:customStyle="1" w:styleId="87">
    <w:name w:val="HTML Top of Form"/>
    <w:basedOn w:val="1"/>
    <w:next w:val="1"/>
    <w:link w:val="89"/>
    <w:qFormat/>
    <w:uiPriority w:val="0"/>
    <w:pPr>
      <w:pBdr>
        <w:bottom w:val="single" w:color="auto" w:sz="6" w:space="1"/>
      </w:pBdr>
      <w:jc w:val="center"/>
    </w:pPr>
    <w:rPr>
      <w:rFonts w:ascii="Arial" w:hAnsi="Arial"/>
      <w:vanish/>
      <w:kern w:val="0"/>
      <w:sz w:val="16"/>
      <w:szCs w:val="16"/>
    </w:rPr>
  </w:style>
  <w:style w:type="character" w:customStyle="1" w:styleId="88">
    <w:name w:val="z-窗体顶端 字符"/>
    <w:semiHidden/>
    <w:qFormat/>
    <w:uiPriority w:val="99"/>
    <w:rPr>
      <w:rFonts w:ascii="Arial" w:hAnsi="Arial" w:eastAsia="宋体" w:cs="Arial"/>
      <w:vanish/>
      <w:sz w:val="16"/>
      <w:szCs w:val="16"/>
      <w:lang w:val="en-US" w:eastAsia="zh-CN" w:bidi="ar-SA"/>
    </w:rPr>
  </w:style>
  <w:style w:type="character" w:customStyle="1" w:styleId="89">
    <w:name w:val="z-窗体顶端 Char"/>
    <w:link w:val="87"/>
    <w:qFormat/>
    <w:uiPriority w:val="0"/>
    <w:rPr>
      <w:rFonts w:ascii="Arial" w:hAnsi="Arial" w:eastAsia="宋体" w:cs="Times New Roman"/>
      <w:vanish/>
      <w:kern w:val="0"/>
      <w:sz w:val="16"/>
      <w:szCs w:val="16"/>
      <w:lang w:val="en-US" w:eastAsia="zh-CN" w:bidi="ar-SA"/>
    </w:rPr>
  </w:style>
  <w:style w:type="paragraph" w:customStyle="1" w:styleId="90">
    <w:name w:val="_Style 10"/>
    <w:basedOn w:val="1"/>
    <w:next w:val="1"/>
    <w:qFormat/>
    <w:uiPriority w:val="0"/>
    <w:rPr>
      <w:rFonts w:ascii="Times New Roman" w:hAnsi="Times New Roman"/>
      <w:szCs w:val="24"/>
    </w:rPr>
  </w:style>
  <w:style w:type="paragraph" w:customStyle="1" w:styleId="91">
    <w:name w:val="Char Char"/>
    <w:basedOn w:val="1"/>
    <w:qFormat/>
    <w:uiPriority w:val="0"/>
    <w:rPr>
      <w:rFonts w:ascii="Tahoma" w:hAnsi="Tahoma"/>
      <w:sz w:val="24"/>
      <w:szCs w:val="20"/>
    </w:rPr>
  </w:style>
  <w:style w:type="paragraph" w:customStyle="1" w:styleId="92">
    <w:name w:val="默认段落字体 Para Char Char Char Char"/>
    <w:basedOn w:val="1"/>
    <w:qFormat/>
    <w:uiPriority w:val="0"/>
    <w:pPr>
      <w:spacing w:line="360" w:lineRule="auto"/>
      <w:ind w:firstLine="200" w:firstLineChars="200"/>
    </w:pPr>
    <w:rPr>
      <w:rFonts w:ascii="宋体" w:hAnsi="宋体" w:cs="宋体"/>
      <w:sz w:val="24"/>
      <w:szCs w:val="24"/>
    </w:rPr>
  </w:style>
  <w:style w:type="paragraph" w:customStyle="1" w:styleId="93">
    <w:name w:val="Char Char Char Char"/>
    <w:basedOn w:val="1"/>
    <w:qFormat/>
    <w:uiPriority w:val="0"/>
    <w:rPr>
      <w:rFonts w:ascii="仿宋_GB2312" w:hAnsi="Times New Roman" w:eastAsia="仿宋_GB2312"/>
      <w:b/>
      <w:sz w:val="32"/>
      <w:szCs w:val="32"/>
    </w:rPr>
  </w:style>
  <w:style w:type="paragraph" w:customStyle="1" w:styleId="94">
    <w:name w:val="末级"/>
    <w:basedOn w:val="1"/>
    <w:qFormat/>
    <w:uiPriority w:val="0"/>
    <w:pPr>
      <w:tabs>
        <w:tab w:val="left" w:pos="851"/>
      </w:tabs>
      <w:spacing w:line="360" w:lineRule="auto"/>
      <w:ind w:firstLine="510"/>
    </w:pPr>
    <w:rPr>
      <w:rFonts w:ascii="Times New Roman" w:hAnsi="Times New Roman"/>
      <w:sz w:val="24"/>
      <w:szCs w:val="24"/>
    </w:rPr>
  </w:style>
  <w:style w:type="paragraph" w:customStyle="1" w:styleId="95">
    <w:name w:val="样式1"/>
    <w:basedOn w:val="1"/>
    <w:qFormat/>
    <w:uiPriority w:val="0"/>
    <w:pPr>
      <w:spacing w:line="360" w:lineRule="auto"/>
      <w:jc w:val="center"/>
    </w:pPr>
    <w:rPr>
      <w:rFonts w:ascii="宋体" w:hAnsi="宋体"/>
      <w:sz w:val="32"/>
      <w:szCs w:val="30"/>
    </w:rPr>
  </w:style>
  <w:style w:type="paragraph" w:customStyle="1" w:styleId="96">
    <w:name w:val="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97">
    <w:name w:val="19"/>
    <w:basedOn w:val="1"/>
    <w:qFormat/>
    <w:uiPriority w:val="0"/>
    <w:pPr>
      <w:widowControl/>
      <w:snapToGrid w:val="0"/>
      <w:spacing w:before="100" w:beforeAutospacing="1" w:after="120" w:line="360" w:lineRule="atLeast"/>
      <w:jc w:val="left"/>
    </w:pPr>
    <w:rPr>
      <w:rFonts w:ascii="宋体" w:hAnsi="宋体"/>
      <w:kern w:val="0"/>
      <w:sz w:val="28"/>
      <w:szCs w:val="20"/>
    </w:rPr>
  </w:style>
  <w:style w:type="paragraph" w:customStyle="1" w:styleId="98">
    <w:name w:val="正文段"/>
    <w:basedOn w:val="1"/>
    <w:qFormat/>
    <w:uiPriority w:val="0"/>
    <w:pPr>
      <w:spacing w:line="360" w:lineRule="auto"/>
      <w:ind w:firstLine="420"/>
    </w:pPr>
    <w:rPr>
      <w:rFonts w:ascii="宋体" w:hAnsi="Times New Roman"/>
      <w:sz w:val="24"/>
      <w:szCs w:val="24"/>
    </w:rPr>
  </w:style>
  <w:style w:type="paragraph" w:customStyle="1" w:styleId="99">
    <w:name w:val="表格一"/>
    <w:basedOn w:val="1"/>
    <w:qFormat/>
    <w:uiPriority w:val="0"/>
    <w:pPr>
      <w:spacing w:line="240" w:lineRule="exact"/>
      <w:ind w:left="105" w:leftChars="50"/>
    </w:pPr>
    <w:rPr>
      <w:rFonts w:ascii="Times New Roman" w:hAnsi="Times New Roman"/>
      <w:sz w:val="18"/>
      <w:szCs w:val="21"/>
    </w:rPr>
  </w:style>
  <w:style w:type="paragraph" w:customStyle="1" w:styleId="100">
    <w:name w:val="样式 一号 加粗 居中"/>
    <w:basedOn w:val="1"/>
    <w:uiPriority w:val="0"/>
    <w:pPr>
      <w:jc w:val="center"/>
    </w:pPr>
    <w:rPr>
      <w:rFonts w:ascii="Times New Roman" w:hAnsi="Times New Roman" w:cs="宋体"/>
      <w:bCs/>
      <w:sz w:val="52"/>
      <w:szCs w:val="20"/>
    </w:rPr>
  </w:style>
  <w:style w:type="paragraph" w:customStyle="1" w:styleId="101">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102">
    <w:name w:val="HTML Bottom of Form"/>
    <w:basedOn w:val="1"/>
    <w:next w:val="1"/>
    <w:link w:val="104"/>
    <w:qFormat/>
    <w:uiPriority w:val="0"/>
    <w:pPr>
      <w:pBdr>
        <w:top w:val="single" w:color="auto" w:sz="6" w:space="1"/>
      </w:pBdr>
      <w:jc w:val="center"/>
    </w:pPr>
    <w:rPr>
      <w:rFonts w:ascii="Arial" w:hAnsi="Arial"/>
      <w:vanish/>
      <w:kern w:val="0"/>
      <w:sz w:val="16"/>
      <w:szCs w:val="16"/>
    </w:rPr>
  </w:style>
  <w:style w:type="character" w:customStyle="1" w:styleId="103">
    <w:name w:val="z-窗体底端 字符"/>
    <w:semiHidden/>
    <w:uiPriority w:val="99"/>
    <w:rPr>
      <w:rFonts w:ascii="Arial" w:hAnsi="Arial" w:eastAsia="宋体" w:cs="Arial"/>
      <w:vanish/>
      <w:sz w:val="16"/>
      <w:szCs w:val="16"/>
      <w:lang w:val="en-US" w:eastAsia="zh-CN" w:bidi="ar-SA"/>
    </w:rPr>
  </w:style>
  <w:style w:type="character" w:customStyle="1" w:styleId="104">
    <w:name w:val="z-窗体底端 Char"/>
    <w:link w:val="102"/>
    <w:uiPriority w:val="0"/>
    <w:rPr>
      <w:rFonts w:ascii="Arial" w:hAnsi="Arial" w:eastAsia="宋体" w:cs="Times New Roman"/>
      <w:vanish/>
      <w:kern w:val="0"/>
      <w:sz w:val="16"/>
      <w:szCs w:val="16"/>
      <w:lang w:val="en-US" w:eastAsia="zh-CN" w:bidi="ar-SA"/>
    </w:rPr>
  </w:style>
  <w:style w:type="character" w:customStyle="1" w:styleId="105">
    <w:name w:val="正文文本 字符"/>
    <w:basedOn w:val="46"/>
    <w:semiHidden/>
    <w:uiPriority w:val="99"/>
    <w:rPr>
      <w:rFonts w:ascii="Calibri" w:hAnsi="Calibri" w:eastAsia="宋体" w:cs="Times New Roman"/>
      <w:lang w:val="en-US" w:eastAsia="zh-CN" w:bidi="ar-SA"/>
    </w:rPr>
  </w:style>
  <w:style w:type="character" w:customStyle="1" w:styleId="106">
    <w:name w:val="正文文本 Char"/>
    <w:link w:val="12"/>
    <w:uiPriority w:val="0"/>
    <w:rPr>
      <w:rFonts w:ascii="Calibri" w:hAnsi="Calibri" w:eastAsia="宋体" w:cs="Times New Roman"/>
      <w:kern w:val="0"/>
      <w:sz w:val="20"/>
      <w:szCs w:val="20"/>
      <w:lang w:val="en-US" w:eastAsia="zh-CN" w:bidi="ar-SA"/>
    </w:rPr>
  </w:style>
  <w:style w:type="character" w:customStyle="1" w:styleId="107">
    <w:name w:val="正文首行缩进 字符"/>
    <w:basedOn w:val="105"/>
    <w:semiHidden/>
    <w:uiPriority w:val="99"/>
  </w:style>
  <w:style w:type="character" w:customStyle="1" w:styleId="108">
    <w:name w:val="正文首行缩进 Char"/>
    <w:link w:val="11"/>
    <w:uiPriority w:val="0"/>
    <w:rPr>
      <w:rFonts w:ascii="Times New Roman" w:hAnsi="Times New Roman" w:eastAsia="宋体" w:cs="Times New Roman"/>
      <w:szCs w:val="24"/>
      <w:lang w:val="en-US" w:eastAsia="zh-CN" w:bidi="ar-SA"/>
    </w:rPr>
  </w:style>
  <w:style w:type="character" w:customStyle="1" w:styleId="109">
    <w:name w:val="批注框文本 字符"/>
    <w:semiHidden/>
    <w:uiPriority w:val="99"/>
    <w:rPr>
      <w:rFonts w:ascii="Calibri" w:hAnsi="Calibri" w:eastAsia="宋体" w:cs="Times New Roman"/>
      <w:sz w:val="18"/>
      <w:szCs w:val="18"/>
      <w:lang w:val="en-US" w:eastAsia="zh-CN" w:bidi="ar-SA"/>
    </w:rPr>
  </w:style>
  <w:style w:type="character" w:customStyle="1" w:styleId="110">
    <w:name w:val="批注框文本 Char"/>
    <w:link w:val="26"/>
    <w:qFormat/>
    <w:uiPriority w:val="0"/>
    <w:rPr>
      <w:rFonts w:ascii="Times New Roman" w:hAnsi="Times New Roman" w:eastAsia="宋体" w:cs="Times New Roman"/>
      <w:kern w:val="0"/>
      <w:sz w:val="18"/>
      <w:szCs w:val="18"/>
      <w:lang w:val="en-US" w:eastAsia="zh-CN" w:bidi="ar-SA"/>
    </w:rPr>
  </w:style>
  <w:style w:type="character" w:customStyle="1" w:styleId="111">
    <w:name w:val="脚注文本 字符"/>
    <w:semiHidden/>
    <w:qFormat/>
    <w:uiPriority w:val="99"/>
    <w:rPr>
      <w:rFonts w:ascii="Calibri" w:hAnsi="Calibri" w:eastAsia="宋体" w:cs="Times New Roman"/>
      <w:sz w:val="18"/>
      <w:szCs w:val="18"/>
      <w:lang w:val="en-US" w:eastAsia="zh-CN" w:bidi="ar-SA"/>
    </w:rPr>
  </w:style>
  <w:style w:type="character" w:customStyle="1" w:styleId="112">
    <w:name w:val="脚注文本 Char"/>
    <w:link w:val="33"/>
    <w:uiPriority w:val="0"/>
    <w:rPr>
      <w:rFonts w:ascii="Times New Roman" w:hAnsi="Times New Roman" w:eastAsia="宋体" w:cs="Times New Roman"/>
      <w:kern w:val="0"/>
      <w:sz w:val="18"/>
      <w:szCs w:val="18"/>
      <w:lang w:val="en-US" w:eastAsia="zh-CN" w:bidi="ar-SA"/>
    </w:rPr>
  </w:style>
  <w:style w:type="character" w:customStyle="1" w:styleId="113">
    <w:name w:val="纯文本 字符"/>
    <w:semiHidden/>
    <w:qFormat/>
    <w:uiPriority w:val="99"/>
    <w:rPr>
      <w:rFonts w:ascii="宋体" w:hAnsi="Courier New" w:eastAsia="宋体" w:cs="Courier New"/>
      <w:lang w:val="en-US" w:eastAsia="zh-CN" w:bidi="ar-SA"/>
    </w:rPr>
  </w:style>
  <w:style w:type="character" w:customStyle="1" w:styleId="114">
    <w:name w:val="纯文本 Char"/>
    <w:link w:val="21"/>
    <w:qFormat/>
    <w:uiPriority w:val="0"/>
    <w:rPr>
      <w:rFonts w:ascii="宋体" w:hAnsi="Courier New" w:eastAsia="宋体" w:cs="Times New Roman"/>
      <w:kern w:val="0"/>
      <w:sz w:val="20"/>
      <w:szCs w:val="21"/>
      <w:lang w:val="en-US" w:eastAsia="zh-CN" w:bidi="ar-SA"/>
    </w:rPr>
  </w:style>
  <w:style w:type="paragraph" w:customStyle="1" w:styleId="115">
    <w:name w:val="Char1"/>
    <w:basedOn w:val="1"/>
    <w:qFormat/>
    <w:uiPriority w:val="0"/>
    <w:pPr>
      <w:widowControl/>
      <w:spacing w:after="160" w:line="240" w:lineRule="exact"/>
      <w:jc w:val="left"/>
    </w:pPr>
    <w:rPr>
      <w:rFonts w:ascii="Tahoma" w:hAnsi="Tahoma"/>
      <w:kern w:val="0"/>
      <w:sz w:val="24"/>
      <w:szCs w:val="24"/>
      <w:lang w:eastAsia="en-US"/>
    </w:rPr>
  </w:style>
  <w:style w:type="paragraph" w:customStyle="1" w:styleId="116">
    <w:name w:val="样式3"/>
    <w:basedOn w:val="4"/>
    <w:qFormat/>
    <w:uiPriority w:val="0"/>
    <w:pPr>
      <w:keepNext/>
      <w:keepLines/>
      <w:spacing w:before="120" w:after="120" w:line="360" w:lineRule="auto"/>
    </w:pPr>
    <w:rPr>
      <w:rFonts w:eastAsia="宋体"/>
      <w:sz w:val="24"/>
      <w:szCs w:val="24"/>
    </w:rPr>
  </w:style>
  <w:style w:type="paragraph" w:customStyle="1" w:styleId="117">
    <w:name w:val="表"/>
    <w:basedOn w:val="1"/>
    <w:qFormat/>
    <w:uiPriority w:val="0"/>
    <w:pPr>
      <w:spacing w:line="360" w:lineRule="auto"/>
      <w:jc w:val="center"/>
    </w:pPr>
    <w:rPr>
      <w:rFonts w:ascii="Times New Roman" w:hAnsi="Times New Roman"/>
      <w:color w:val="000000"/>
      <w:szCs w:val="21"/>
    </w:rPr>
  </w:style>
  <w:style w:type="character" w:customStyle="1" w:styleId="118">
    <w:name w:val="正文文本 2 字符"/>
    <w:basedOn w:val="46"/>
    <w:semiHidden/>
    <w:qFormat/>
    <w:uiPriority w:val="99"/>
    <w:rPr>
      <w:rFonts w:ascii="Calibri" w:hAnsi="Calibri" w:eastAsia="宋体" w:cs="Times New Roman"/>
      <w:lang w:val="en-US" w:eastAsia="zh-CN" w:bidi="ar-SA"/>
    </w:rPr>
  </w:style>
  <w:style w:type="character" w:customStyle="1" w:styleId="119">
    <w:name w:val="正文文本 2 Char"/>
    <w:link w:val="39"/>
    <w:uiPriority w:val="0"/>
    <w:rPr>
      <w:rFonts w:ascii="Times New Roman" w:hAnsi="Times New Roman" w:eastAsia="宋体" w:cs="Times New Roman"/>
      <w:kern w:val="0"/>
      <w:sz w:val="20"/>
      <w:szCs w:val="24"/>
      <w:lang w:val="en-US" w:eastAsia="zh-CN" w:bidi="ar-SA"/>
    </w:rPr>
  </w:style>
  <w:style w:type="character" w:customStyle="1" w:styleId="120">
    <w:name w:val="正文文本缩进 2 字符"/>
    <w:basedOn w:val="46"/>
    <w:semiHidden/>
    <w:qFormat/>
    <w:uiPriority w:val="99"/>
    <w:rPr>
      <w:rFonts w:ascii="Calibri" w:hAnsi="Calibri" w:eastAsia="宋体" w:cs="Times New Roman"/>
      <w:lang w:val="en-US" w:eastAsia="zh-CN" w:bidi="ar-SA"/>
    </w:rPr>
  </w:style>
  <w:style w:type="character" w:customStyle="1" w:styleId="121">
    <w:name w:val="正文文本缩进 2 Char"/>
    <w:link w:val="25"/>
    <w:qFormat/>
    <w:uiPriority w:val="0"/>
    <w:rPr>
      <w:rFonts w:ascii="Times New Roman" w:hAnsi="Times New Roman" w:eastAsia="宋体" w:cs="Times New Roman"/>
      <w:kern w:val="0"/>
      <w:sz w:val="20"/>
      <w:szCs w:val="24"/>
      <w:lang w:val="en-US" w:eastAsia="zh-CN" w:bidi="ar-SA"/>
    </w:rPr>
  </w:style>
  <w:style w:type="character" w:customStyle="1" w:styleId="122">
    <w:name w:val="页脚 字符"/>
    <w:semiHidden/>
    <w:qFormat/>
    <w:uiPriority w:val="99"/>
    <w:rPr>
      <w:rFonts w:ascii="Calibri" w:hAnsi="Calibri" w:eastAsia="宋体" w:cs="Times New Roman"/>
      <w:sz w:val="18"/>
      <w:szCs w:val="18"/>
      <w:lang w:val="en-US" w:eastAsia="zh-CN" w:bidi="ar-SA"/>
    </w:rPr>
  </w:style>
  <w:style w:type="character" w:customStyle="1" w:styleId="123">
    <w:name w:val="页脚 Char"/>
    <w:link w:val="27"/>
    <w:qFormat/>
    <w:uiPriority w:val="99"/>
    <w:rPr>
      <w:rFonts w:ascii="Times New Roman" w:hAnsi="Times New Roman" w:eastAsia="宋体" w:cs="Times New Roman"/>
      <w:kern w:val="0"/>
      <w:sz w:val="18"/>
      <w:szCs w:val="18"/>
      <w:lang w:val="en-US" w:eastAsia="zh-CN" w:bidi="ar-SA"/>
    </w:rPr>
  </w:style>
  <w:style w:type="paragraph" w:customStyle="1" w:styleId="124">
    <w:name w:val="List Paragraph"/>
    <w:basedOn w:val="1"/>
    <w:qFormat/>
    <w:uiPriority w:val="0"/>
    <w:pPr>
      <w:spacing w:before="100" w:beforeAutospacing="1" w:after="100" w:afterAutospacing="1" w:line="300" w:lineRule="auto"/>
      <w:ind w:firstLine="420" w:firstLineChars="200"/>
    </w:pPr>
  </w:style>
  <w:style w:type="paragraph" w:customStyle="1" w:styleId="12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126">
    <w:name w:val="样式 正文文本"/>
    <w:basedOn w:val="1"/>
    <w:uiPriority w:val="0"/>
    <w:pPr>
      <w:adjustRightInd w:val="0"/>
      <w:snapToGrid w:val="0"/>
      <w:spacing w:line="400" w:lineRule="exact"/>
      <w:ind w:firstLine="200" w:firstLineChars="200"/>
    </w:pPr>
    <w:rPr>
      <w:rFonts w:ascii="Arial" w:hAnsi="Arial"/>
      <w:color w:val="000000"/>
      <w:szCs w:val="20"/>
    </w:rPr>
  </w:style>
  <w:style w:type="character" w:customStyle="1" w:styleId="127">
    <w:name w:val="样式 样式1 + 首行缩进:  2 字符 Char"/>
    <w:link w:val="128"/>
    <w:qFormat/>
    <w:uiPriority w:val="0"/>
    <w:rPr>
      <w:rFonts w:ascii="Arial" w:hAnsi="Arial" w:eastAsia="宋体" w:cs="Times New Roman"/>
      <w:kern w:val="0"/>
      <w:sz w:val="24"/>
      <w:szCs w:val="20"/>
      <w:lang w:val="en-US" w:eastAsia="zh-CN" w:bidi="ar-SA"/>
    </w:rPr>
  </w:style>
  <w:style w:type="paragraph" w:customStyle="1" w:styleId="128">
    <w:name w:val="样式 样式1 + 首行缩进:  2 字符"/>
    <w:basedOn w:val="95"/>
    <w:link w:val="127"/>
    <w:qFormat/>
    <w:uiPriority w:val="0"/>
    <w:pPr>
      <w:spacing w:line="360" w:lineRule="exact"/>
      <w:ind w:firstLine="420" w:firstLineChars="200"/>
      <w:jc w:val="both"/>
    </w:pPr>
    <w:rPr>
      <w:rFonts w:ascii="Arial" w:hAnsi="Arial"/>
      <w:kern w:val="0"/>
      <w:sz w:val="24"/>
      <w:szCs w:val="20"/>
    </w:rPr>
  </w:style>
  <w:style w:type="paragraph" w:customStyle="1" w:styleId="129">
    <w:name w:val="样式 标题 1 + (符号) Arial 三号"/>
    <w:basedOn w:val="2"/>
    <w:qFormat/>
    <w:uiPriority w:val="0"/>
    <w:pPr>
      <w:snapToGrid w:val="0"/>
      <w:spacing w:before="0" w:after="0" w:line="360" w:lineRule="auto"/>
    </w:pPr>
    <w:rPr>
      <w:sz w:val="32"/>
    </w:rPr>
  </w:style>
  <w:style w:type="paragraph" w:customStyle="1" w:styleId="130">
    <w:name w:val="列出段落1"/>
    <w:basedOn w:val="1"/>
    <w:qFormat/>
    <w:uiPriority w:val="34"/>
    <w:pPr>
      <w:ind w:firstLine="420" w:firstLineChars="200"/>
    </w:pPr>
  </w:style>
  <w:style w:type="character" w:customStyle="1" w:styleId="131">
    <w:name w:val="Char Char14"/>
    <w:qFormat/>
    <w:uiPriority w:val="0"/>
    <w:rPr>
      <w:rFonts w:ascii="宋体" w:hAnsi="Courier New" w:eastAsia="宋体" w:cs="Courier New"/>
      <w:kern w:val="2"/>
      <w:sz w:val="21"/>
      <w:szCs w:val="21"/>
      <w:lang w:val="en-US" w:eastAsia="zh-CN" w:bidi="ar-SA"/>
    </w:rPr>
  </w:style>
  <w:style w:type="paragraph" w:customStyle="1" w:styleId="132">
    <w:name w:val="_Style 5"/>
    <w:basedOn w:val="1"/>
    <w:next w:val="1"/>
    <w:qFormat/>
    <w:uiPriority w:val="0"/>
    <w:rPr>
      <w:rFonts w:ascii="Times New Roman" w:hAnsi="Times New Roman"/>
      <w:szCs w:val="20"/>
    </w:rPr>
  </w:style>
  <w:style w:type="paragraph" w:customStyle="1" w:styleId="13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4">
    <w:name w:val="!机场正文"/>
    <w:basedOn w:val="1"/>
    <w:qFormat/>
    <w:uiPriority w:val="0"/>
    <w:pPr>
      <w:spacing w:line="560" w:lineRule="exact"/>
      <w:ind w:firstLine="200" w:firstLineChars="200"/>
    </w:pPr>
    <w:rPr>
      <w:rFonts w:ascii="仿宋_GB2312" w:hAnsi="仿宋_GB2312" w:eastAsia="仿宋_GB2312"/>
      <w:sz w:val="32"/>
    </w:rPr>
  </w:style>
  <w:style w:type="character" w:customStyle="1" w:styleId="135">
    <w:name w:val="正文缩进 Char1"/>
    <w:link w:val="13"/>
    <w:qFormat/>
    <w:uiPriority w:val="0"/>
    <w:rPr>
      <w:rFonts w:ascii="宋体" w:hAnsi="Times New Roman" w:eastAsia="宋体" w:cs="Times New Roman"/>
      <w:kern w:val="0"/>
      <w:sz w:val="34"/>
      <w:szCs w:val="20"/>
      <w:lang w:val="en-US" w:eastAsia="zh-CN" w:bidi="ar-SA"/>
    </w:rPr>
  </w:style>
  <w:style w:type="character" w:customStyle="1" w:styleId="136">
    <w:name w:val="批注主题 Char"/>
    <w:basedOn w:val="137"/>
    <w:link w:val="8"/>
    <w:semiHidden/>
    <w:qFormat/>
    <w:uiPriority w:val="0"/>
    <w:rPr>
      <w:rFonts w:ascii="Times New Roman" w:hAnsi="Times New Roman"/>
      <w:b/>
      <w:bCs/>
      <w:kern w:val="0"/>
      <w:sz w:val="20"/>
      <w:szCs w:val="24"/>
    </w:rPr>
  </w:style>
  <w:style w:type="character" w:customStyle="1" w:styleId="137">
    <w:name w:val="批注文字 Char"/>
    <w:basedOn w:val="46"/>
    <w:link w:val="9"/>
    <w:semiHidden/>
    <w:qFormat/>
    <w:uiPriority w:val="99"/>
    <w:rPr>
      <w:rFonts w:ascii="Calibri" w:hAnsi="Calibri" w:eastAsia="宋体" w:cs="Times New Roman"/>
      <w:lang w:val="en-US" w:eastAsia="zh-CN" w:bidi="ar-SA"/>
    </w:rPr>
  </w:style>
  <w:style w:type="character" w:customStyle="1" w:styleId="138">
    <w:name w:val="批注主题 Char1"/>
    <w:basedOn w:val="137"/>
    <w:semiHidden/>
    <w:qFormat/>
    <w:uiPriority w:val="99"/>
    <w:rPr>
      <w:b/>
      <w:bCs/>
      <w:kern w:val="2"/>
      <w:sz w:val="21"/>
      <w:szCs w:val="22"/>
    </w:rPr>
  </w:style>
  <w:style w:type="paragraph" w:customStyle="1" w:styleId="139">
    <w:name w:val="List Paragraph1"/>
    <w:basedOn w:val="1"/>
    <w:qFormat/>
    <w:uiPriority w:val="34"/>
    <w:pPr>
      <w:ind w:firstLine="420" w:firstLineChars="200"/>
    </w:pPr>
  </w:style>
  <w:style w:type="paragraph" w:customStyle="1" w:styleId="140">
    <w:name w:val="列出段落2"/>
    <w:basedOn w:val="1"/>
    <w:qFormat/>
    <w:uiPriority w:val="34"/>
    <w:pPr>
      <w:spacing w:after="200" w:line="276" w:lineRule="auto"/>
      <w:ind w:firstLine="420" w:firstLineChars="200"/>
    </w:pPr>
    <w:rPr>
      <w:rFonts w:ascii="Times New Roman" w:hAnsi="Times New Roman"/>
      <w:szCs w:val="24"/>
    </w:rPr>
  </w:style>
  <w:style w:type="paragraph" w:customStyle="1" w:styleId="141">
    <w:name w:val="表格结尾"/>
    <w:basedOn w:val="1"/>
    <w:next w:val="1"/>
    <w:qFormat/>
    <w:uiPriority w:val="0"/>
    <w:pPr>
      <w:snapToGrid w:val="0"/>
      <w:spacing w:line="0" w:lineRule="atLeast"/>
    </w:pPr>
    <w:rPr>
      <w:rFonts w:ascii="Arial" w:hAnsi="Arial"/>
      <w:kern w:val="0"/>
      <w:sz w:val="10"/>
      <w:szCs w:val="24"/>
    </w:rPr>
  </w:style>
  <w:style w:type="character" w:customStyle="1" w:styleId="142">
    <w:name w:val="px1233"/>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2808</Words>
  <Characters>16010</Characters>
  <Lines>133</Lines>
  <Paragraphs>37</Paragraphs>
  <ScaleCrop>false</ScaleCrop>
  <LinksUpToDate>false</LinksUpToDate>
  <CharactersWithSpaces>18781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2016-04-22T09:37:00Z</dcterms:created>
  <dc:creator>徐海波</dc:creator>
  <cp:lastModifiedBy>dell</cp:lastModifiedBy>
  <cp:lastPrinted>2015-11-30T02:50:00Z</cp:lastPrinted>
  <dcterms:modified xsi:type="dcterms:W3CDTF">2018-12-28T03:22:41Z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