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jc w:val="center"/>
        <w:outlineLvl w:val="0"/>
        <w:rPr>
          <w:rFonts w:ascii="Cambria" w:hAnsi="Cambria" w:eastAsia="黑体"/>
          <w:b/>
          <w:bCs/>
          <w:sz w:val="44"/>
          <w:szCs w:val="44"/>
          <w:highlight w:val="none"/>
        </w:rPr>
      </w:pPr>
      <w:bookmarkStart w:id="0" w:name="_Toc412649842"/>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bookmarkStart w:id="1" w:name="_GoBack"/>
      <w:r>
        <w:rPr>
          <w:rFonts w:hint="eastAsia" w:ascii="Cambria" w:hAnsi="Cambria" w:eastAsia="黑体"/>
          <w:b/>
          <w:bCs/>
          <w:sz w:val="44"/>
          <w:szCs w:val="44"/>
          <w:highlight w:val="none"/>
        </w:rPr>
        <w:t>资金存放选聘合作金融机构项目</w:t>
      </w:r>
    </w:p>
    <w:p>
      <w:pPr>
        <w:spacing w:before="60" w:after="60"/>
        <w:jc w:val="center"/>
        <w:outlineLvl w:val="0"/>
        <w:rPr>
          <w:rFonts w:ascii="Cambria" w:hAnsi="Cambria" w:eastAsia="黑体"/>
          <w:b/>
          <w:bCs/>
          <w:sz w:val="44"/>
          <w:szCs w:val="44"/>
          <w:highlight w:val="none"/>
        </w:rPr>
      </w:pPr>
      <w:r>
        <w:rPr>
          <w:rFonts w:hint="eastAsia" w:ascii="Cambria" w:hAnsi="Cambria" w:eastAsia="黑体"/>
          <w:b/>
          <w:bCs/>
          <w:sz w:val="44"/>
          <w:szCs w:val="44"/>
          <w:highlight w:val="none"/>
        </w:rPr>
        <w:t>招标文件</w:t>
      </w:r>
    </w:p>
    <w:bookmarkEnd w:id="1"/>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
          <w:bCs/>
          <w:sz w:val="44"/>
          <w:szCs w:val="44"/>
          <w:highlight w:val="none"/>
        </w:rPr>
      </w:pPr>
    </w:p>
    <w:p>
      <w:pPr>
        <w:spacing w:before="60" w:after="60"/>
        <w:jc w:val="center"/>
        <w:outlineLvl w:val="0"/>
        <w:rPr>
          <w:rFonts w:ascii="Cambria" w:hAnsi="Cambria" w:eastAsia="黑体"/>
          <w:bCs/>
          <w:sz w:val="32"/>
          <w:szCs w:val="32"/>
          <w:highlight w:val="none"/>
        </w:rPr>
      </w:pPr>
      <w:r>
        <w:rPr>
          <w:rFonts w:hint="eastAsia" w:ascii="Cambria" w:hAnsi="Cambria" w:eastAsia="黑体"/>
          <w:bCs/>
          <w:sz w:val="32"/>
          <w:szCs w:val="32"/>
          <w:highlight w:val="none"/>
        </w:rPr>
        <w:t>招标人：舟山民航集团有限公司</w:t>
      </w:r>
    </w:p>
    <w:p>
      <w:pPr>
        <w:spacing w:line="760" w:lineRule="exact"/>
        <w:ind w:left="753" w:hanging="753" w:hangingChars="250"/>
        <w:jc w:val="center"/>
        <w:rPr>
          <w:rFonts w:ascii="宋体"/>
          <w:b/>
          <w:sz w:val="30"/>
          <w:szCs w:val="30"/>
          <w:highlight w:val="none"/>
        </w:rPr>
      </w:pPr>
      <w:r>
        <w:rPr>
          <w:rFonts w:hint="eastAsia" w:ascii="宋体" w:hAnsi="宋体"/>
          <w:b/>
          <w:sz w:val="30"/>
          <w:szCs w:val="30"/>
          <w:highlight w:val="none"/>
        </w:rPr>
        <w:t>二〇一九年</w:t>
      </w:r>
      <w:r>
        <w:rPr>
          <w:rFonts w:hint="eastAsia" w:ascii="宋体" w:hAnsi="宋体"/>
          <w:b/>
          <w:sz w:val="30"/>
          <w:szCs w:val="30"/>
          <w:highlight w:val="none"/>
          <w:lang w:eastAsia="zh-CN"/>
        </w:rPr>
        <w:t>五</w:t>
      </w:r>
      <w:r>
        <w:rPr>
          <w:rFonts w:hint="eastAsia" w:ascii="宋体" w:hAnsi="宋体"/>
          <w:b/>
          <w:sz w:val="30"/>
          <w:szCs w:val="30"/>
          <w:highlight w:val="none"/>
        </w:rPr>
        <w:t>月</w:t>
      </w:r>
    </w:p>
    <w:p>
      <w:pPr>
        <w:spacing w:before="60" w:after="60"/>
        <w:jc w:val="center"/>
        <w:outlineLvl w:val="0"/>
        <w:rPr>
          <w:rFonts w:ascii="Cambria" w:hAnsi="Cambria" w:eastAsia="黑体"/>
          <w:bCs/>
          <w:sz w:val="32"/>
          <w:szCs w:val="32"/>
          <w:highlight w:val="none"/>
        </w:rPr>
      </w:pPr>
    </w:p>
    <w:p>
      <w:pPr>
        <w:spacing w:line="580" w:lineRule="exact"/>
        <w:jc w:val="center"/>
        <w:outlineLvl w:val="0"/>
        <w:rPr>
          <w:rFonts w:ascii="方正小标宋简体" w:hAnsi="仿宋" w:eastAsia="方正小标宋简体"/>
          <w:b/>
          <w:bCs/>
          <w:sz w:val="44"/>
          <w:szCs w:val="44"/>
          <w:highlight w:val="none"/>
        </w:rPr>
      </w:pPr>
      <w:r>
        <w:rPr>
          <w:rFonts w:ascii="Cambria" w:hAnsi="Cambria" w:eastAsia="黑体"/>
          <w:bCs/>
          <w:sz w:val="32"/>
          <w:szCs w:val="32"/>
          <w:highlight w:val="none"/>
        </w:rPr>
        <w:t xml:space="preserve">            </w:t>
      </w:r>
      <w:r>
        <w:rPr>
          <w:rFonts w:ascii="Cambria" w:hAnsi="Cambria" w:eastAsia="黑体"/>
          <w:b/>
          <w:bCs/>
          <w:sz w:val="44"/>
          <w:szCs w:val="44"/>
          <w:highlight w:val="none"/>
        </w:rPr>
        <w:br w:type="page"/>
      </w:r>
      <w:r>
        <w:rPr>
          <w:rFonts w:hint="eastAsia" w:ascii="方正小标宋简体" w:hAnsi="仿宋" w:eastAsia="方正小标宋简体"/>
          <w:b/>
          <w:bCs/>
          <w:sz w:val="44"/>
          <w:szCs w:val="44"/>
          <w:highlight w:val="none"/>
        </w:rPr>
        <w:t>招标公告</w:t>
      </w:r>
      <w:bookmarkEnd w:id="0"/>
    </w:p>
    <w:p>
      <w:pPr>
        <w:widowControl/>
        <w:snapToGrid w:val="0"/>
        <w:spacing w:line="580" w:lineRule="exact"/>
        <w:jc w:val="left"/>
        <w:rPr>
          <w:rFonts w:ascii="仿宋" w:hAnsi="仿宋" w:eastAsia="仿宋" w:cs="Arial"/>
          <w:kern w:val="0"/>
          <w:sz w:val="30"/>
          <w:szCs w:val="30"/>
          <w:highlight w:val="none"/>
        </w:rPr>
      </w:pPr>
      <w:r>
        <w:rPr>
          <w:rFonts w:hint="eastAsia" w:ascii="仿宋" w:hAnsi="仿宋" w:eastAsia="仿宋" w:cs="Arial"/>
          <w:b/>
          <w:bCs/>
          <w:kern w:val="0"/>
          <w:sz w:val="30"/>
          <w:szCs w:val="30"/>
          <w:highlight w:val="none"/>
        </w:rPr>
        <w:t>一、招标内容</w:t>
      </w:r>
    </w:p>
    <w:p>
      <w:pPr>
        <w:widowControl/>
        <w:adjustRightInd w:val="0"/>
        <w:snapToGrid w:val="0"/>
        <w:spacing w:line="580" w:lineRule="exact"/>
        <w:ind w:firstLine="600" w:firstLineChars="200"/>
        <w:rPr>
          <w:rFonts w:ascii="仿宋" w:hAnsi="仿宋" w:eastAsia="仿宋" w:cs="Arial"/>
          <w:kern w:val="0"/>
          <w:sz w:val="30"/>
          <w:szCs w:val="30"/>
          <w:highlight w:val="none"/>
        </w:rPr>
      </w:pPr>
      <w:r>
        <w:rPr>
          <w:rFonts w:hint="eastAsia" w:ascii="仿宋" w:hAnsi="仿宋" w:eastAsia="仿宋" w:cs="Arial"/>
          <w:kern w:val="0"/>
          <w:sz w:val="30"/>
          <w:szCs w:val="30"/>
          <w:highlight w:val="none"/>
        </w:rPr>
        <w:t>舟山民航集团有限公司就本公司及下属公司（即舟山普陀山机场有限公司、舟山市民航发展有限公司、舟山市龙舟石化有限责任公司、舟山民航柏卫航空食品有限公司等四家公司）资金（包括但不限工会资金、党费）存放开户银行进行公开招标，共同选定一家合作金融机构，合作期限</w:t>
      </w:r>
      <w:r>
        <w:rPr>
          <w:rFonts w:ascii="仿宋" w:hAnsi="仿宋" w:eastAsia="仿宋" w:cs="Arial"/>
          <w:color w:val="FF0000"/>
          <w:kern w:val="0"/>
          <w:sz w:val="30"/>
          <w:szCs w:val="30"/>
          <w:highlight w:val="none"/>
        </w:rPr>
        <w:t>2</w:t>
      </w:r>
      <w:r>
        <w:rPr>
          <w:rFonts w:hint="eastAsia" w:ascii="仿宋" w:hAnsi="仿宋" w:eastAsia="仿宋" w:cs="Arial"/>
          <w:kern w:val="0"/>
          <w:sz w:val="30"/>
          <w:szCs w:val="30"/>
          <w:highlight w:val="none"/>
        </w:rPr>
        <w:t>年，欢迎符合资格要求的金融机构参与投标。</w:t>
      </w:r>
    </w:p>
    <w:p>
      <w:pPr>
        <w:widowControl/>
        <w:snapToGrid w:val="0"/>
        <w:spacing w:line="580" w:lineRule="exact"/>
        <w:jc w:val="left"/>
        <w:rPr>
          <w:rFonts w:ascii="仿宋" w:hAnsi="仿宋" w:eastAsia="仿宋" w:cs="Arial"/>
          <w:b/>
          <w:bCs/>
          <w:kern w:val="0"/>
          <w:sz w:val="30"/>
          <w:szCs w:val="30"/>
          <w:highlight w:val="none"/>
        </w:rPr>
      </w:pPr>
      <w:r>
        <w:rPr>
          <w:rFonts w:hint="eastAsia" w:ascii="仿宋" w:hAnsi="仿宋" w:eastAsia="仿宋" w:cs="Arial"/>
          <w:b/>
          <w:bCs/>
          <w:kern w:val="0"/>
          <w:sz w:val="30"/>
          <w:szCs w:val="30"/>
          <w:highlight w:val="none"/>
        </w:rPr>
        <w:t>二、</w:t>
      </w:r>
      <w:r>
        <w:rPr>
          <w:rFonts w:ascii="仿宋" w:hAnsi="Arial" w:eastAsia="仿宋" w:cs="Arial"/>
          <w:b/>
          <w:bCs/>
          <w:kern w:val="0"/>
          <w:sz w:val="30"/>
          <w:szCs w:val="30"/>
          <w:highlight w:val="none"/>
        </w:rPr>
        <w:t> </w:t>
      </w:r>
      <w:r>
        <w:rPr>
          <w:rFonts w:hint="eastAsia" w:ascii="仿宋" w:hAnsi="仿宋" w:eastAsia="仿宋" w:cs="Arial"/>
          <w:b/>
          <w:bCs/>
          <w:kern w:val="0"/>
          <w:sz w:val="30"/>
          <w:szCs w:val="30"/>
          <w:highlight w:val="none"/>
        </w:rPr>
        <w:t>资格要求</w:t>
      </w:r>
      <w:r>
        <w:rPr>
          <w:rFonts w:ascii="仿宋" w:hAnsi="Arial" w:eastAsia="仿宋" w:cs="Arial"/>
          <w:b/>
          <w:bCs/>
          <w:kern w:val="0"/>
          <w:sz w:val="30"/>
          <w:szCs w:val="30"/>
          <w:highlight w:val="none"/>
        </w:rPr>
        <w:t> </w:t>
      </w:r>
    </w:p>
    <w:p>
      <w:pPr>
        <w:widowControl/>
        <w:adjustRightInd w:val="0"/>
        <w:snapToGrid w:val="0"/>
        <w:spacing w:line="580" w:lineRule="exact"/>
        <w:ind w:firstLine="600" w:firstLineChars="200"/>
        <w:rPr>
          <w:rFonts w:ascii="仿宋" w:hAnsi="仿宋" w:eastAsia="仿宋" w:cs="Arial"/>
          <w:kern w:val="0"/>
          <w:sz w:val="30"/>
          <w:szCs w:val="30"/>
          <w:highlight w:val="none"/>
        </w:rPr>
      </w:pPr>
      <w:r>
        <w:rPr>
          <w:rFonts w:hint="eastAsia" w:ascii="仿宋" w:hAnsi="仿宋" w:eastAsia="仿宋" w:cs="Arial"/>
          <w:kern w:val="0"/>
          <w:sz w:val="30"/>
          <w:szCs w:val="30"/>
          <w:highlight w:val="none"/>
        </w:rPr>
        <w:t>（</w:t>
      </w:r>
      <w:r>
        <w:rPr>
          <w:rFonts w:ascii="仿宋" w:hAnsi="仿宋" w:eastAsia="仿宋" w:cs="Arial"/>
          <w:kern w:val="0"/>
          <w:sz w:val="30"/>
          <w:szCs w:val="30"/>
          <w:highlight w:val="none"/>
        </w:rPr>
        <w:t>1</w:t>
      </w:r>
      <w:r>
        <w:rPr>
          <w:rFonts w:hint="eastAsia" w:ascii="仿宋" w:hAnsi="仿宋" w:eastAsia="仿宋" w:cs="Arial"/>
          <w:kern w:val="0"/>
          <w:sz w:val="30"/>
          <w:szCs w:val="30"/>
          <w:highlight w:val="none"/>
        </w:rPr>
        <w:t>）参加投标的金融机构必须为合法设立的市级或以上机构，并须提供有效的金融业务许可证，具有在当地从事相关金融服务的资质。</w:t>
      </w:r>
    </w:p>
    <w:p>
      <w:pPr>
        <w:widowControl/>
        <w:adjustRightInd w:val="0"/>
        <w:snapToGrid w:val="0"/>
        <w:spacing w:line="580" w:lineRule="exact"/>
        <w:ind w:firstLine="600" w:firstLineChars="200"/>
        <w:rPr>
          <w:rFonts w:ascii="仿宋" w:hAnsi="仿宋" w:eastAsia="仿宋" w:cs="Arial"/>
          <w:kern w:val="0"/>
          <w:sz w:val="30"/>
          <w:szCs w:val="30"/>
          <w:highlight w:val="none"/>
        </w:rPr>
      </w:pPr>
      <w:r>
        <w:rPr>
          <w:rFonts w:hint="eastAsia" w:ascii="仿宋" w:hAnsi="仿宋" w:eastAsia="仿宋" w:cs="Arial"/>
          <w:kern w:val="0"/>
          <w:sz w:val="30"/>
          <w:szCs w:val="30"/>
          <w:highlight w:val="none"/>
        </w:rPr>
        <w:t>（</w:t>
      </w:r>
      <w:r>
        <w:rPr>
          <w:rFonts w:ascii="仿宋" w:hAnsi="仿宋" w:eastAsia="仿宋" w:cs="Arial"/>
          <w:kern w:val="0"/>
          <w:sz w:val="30"/>
          <w:szCs w:val="30"/>
          <w:highlight w:val="none"/>
        </w:rPr>
        <w:t>2</w:t>
      </w:r>
      <w:r>
        <w:rPr>
          <w:rFonts w:hint="eastAsia" w:ascii="仿宋" w:hAnsi="仿宋" w:eastAsia="仿宋" w:cs="Arial"/>
          <w:kern w:val="0"/>
          <w:sz w:val="30"/>
          <w:szCs w:val="30"/>
          <w:highlight w:val="none"/>
        </w:rPr>
        <w:t>）能独立承担民事责任和具有履行合同应具有的法定资质和响应能力，具有良好的商业信誉和健全的财务会计管理制度，有依法缴纳税收和社会保障资金的良好记录，在前三年内的经营活动中没有重大违法记录和不良记录。</w:t>
      </w:r>
    </w:p>
    <w:p>
      <w:pPr>
        <w:widowControl/>
        <w:adjustRightInd w:val="0"/>
        <w:snapToGrid w:val="0"/>
        <w:spacing w:line="580" w:lineRule="exact"/>
        <w:ind w:firstLine="600" w:firstLineChars="200"/>
        <w:rPr>
          <w:rFonts w:ascii="仿宋" w:hAnsi="仿宋" w:eastAsia="仿宋" w:cs="Arial"/>
          <w:kern w:val="0"/>
          <w:sz w:val="30"/>
          <w:szCs w:val="30"/>
          <w:highlight w:val="none"/>
        </w:rPr>
      </w:pPr>
      <w:r>
        <w:rPr>
          <w:rFonts w:hint="eastAsia" w:ascii="仿宋" w:hAnsi="仿宋" w:eastAsia="仿宋" w:cs="Arial"/>
          <w:kern w:val="0"/>
          <w:sz w:val="30"/>
          <w:szCs w:val="30"/>
          <w:highlight w:val="none"/>
        </w:rPr>
        <w:t>（</w:t>
      </w:r>
      <w:r>
        <w:rPr>
          <w:rFonts w:ascii="仿宋" w:hAnsi="仿宋" w:eastAsia="仿宋" w:cs="Arial"/>
          <w:kern w:val="0"/>
          <w:sz w:val="30"/>
          <w:szCs w:val="30"/>
          <w:highlight w:val="none"/>
        </w:rPr>
        <w:t>3</w:t>
      </w:r>
      <w:r>
        <w:rPr>
          <w:rFonts w:hint="eastAsia" w:ascii="仿宋" w:hAnsi="仿宋" w:eastAsia="仿宋" w:cs="Arial"/>
          <w:kern w:val="0"/>
          <w:sz w:val="30"/>
          <w:szCs w:val="30"/>
          <w:highlight w:val="none"/>
        </w:rPr>
        <w:t>）投标单位获中国人民银行舟山市中心支行最近年度综合评价</w:t>
      </w:r>
      <w:r>
        <w:rPr>
          <w:rFonts w:ascii="仿宋" w:hAnsi="仿宋" w:eastAsia="仿宋" w:cs="Arial"/>
          <w:kern w:val="0"/>
          <w:sz w:val="30"/>
          <w:szCs w:val="30"/>
          <w:highlight w:val="none"/>
        </w:rPr>
        <w:t>B</w:t>
      </w:r>
      <w:r>
        <w:rPr>
          <w:rFonts w:hint="eastAsia" w:ascii="仿宋" w:hAnsi="仿宋" w:eastAsia="仿宋" w:cs="Arial"/>
          <w:kern w:val="0"/>
          <w:sz w:val="30"/>
          <w:szCs w:val="30"/>
          <w:highlight w:val="none"/>
        </w:rPr>
        <w:t>级及以上（其中：城市商业银行要求最近年度综合评价</w:t>
      </w:r>
      <w:r>
        <w:rPr>
          <w:rFonts w:ascii="仿宋" w:hAnsi="仿宋" w:eastAsia="仿宋" w:cs="Arial"/>
          <w:kern w:val="0"/>
          <w:sz w:val="30"/>
          <w:szCs w:val="30"/>
          <w:highlight w:val="none"/>
        </w:rPr>
        <w:t>A</w:t>
      </w:r>
      <w:r>
        <w:rPr>
          <w:rFonts w:hint="eastAsia" w:ascii="仿宋" w:hAnsi="仿宋" w:eastAsia="仿宋" w:cs="Arial"/>
          <w:kern w:val="0"/>
          <w:sz w:val="30"/>
          <w:szCs w:val="30"/>
          <w:highlight w:val="none"/>
        </w:rPr>
        <w:t>级）</w:t>
      </w:r>
      <w:r>
        <w:rPr>
          <w:rFonts w:ascii="仿宋" w:hAnsi="仿宋" w:eastAsia="仿宋" w:cs="Arial"/>
          <w:kern w:val="0"/>
          <w:sz w:val="30"/>
          <w:szCs w:val="30"/>
          <w:highlight w:val="none"/>
        </w:rPr>
        <w:t>,</w:t>
      </w:r>
      <w:r>
        <w:rPr>
          <w:rFonts w:hint="eastAsia" w:ascii="仿宋" w:hAnsi="仿宋" w:eastAsia="仿宋" w:cs="Arial"/>
          <w:kern w:val="0"/>
          <w:sz w:val="30"/>
          <w:szCs w:val="30"/>
          <w:highlight w:val="none"/>
        </w:rPr>
        <w:t>浙江银监局最近年度监管评级</w:t>
      </w:r>
      <w:r>
        <w:rPr>
          <w:rFonts w:ascii="仿宋" w:hAnsi="仿宋" w:eastAsia="仿宋" w:cs="Arial"/>
          <w:kern w:val="0"/>
          <w:sz w:val="30"/>
          <w:szCs w:val="30"/>
          <w:highlight w:val="none"/>
        </w:rPr>
        <w:t>2</w:t>
      </w:r>
      <w:r>
        <w:rPr>
          <w:rFonts w:hint="eastAsia" w:ascii="仿宋" w:hAnsi="仿宋" w:eastAsia="仿宋" w:cs="Arial"/>
          <w:kern w:val="0"/>
          <w:sz w:val="30"/>
          <w:szCs w:val="30"/>
          <w:highlight w:val="none"/>
        </w:rPr>
        <w:t>级及以上。</w:t>
      </w:r>
    </w:p>
    <w:p>
      <w:pPr>
        <w:widowControl/>
        <w:snapToGrid w:val="0"/>
        <w:spacing w:line="580" w:lineRule="exact"/>
        <w:jc w:val="left"/>
        <w:rPr>
          <w:rFonts w:ascii="仿宋" w:hAnsi="仿宋" w:eastAsia="仿宋" w:cs="Arial"/>
          <w:b/>
          <w:bCs/>
          <w:kern w:val="0"/>
          <w:sz w:val="30"/>
          <w:szCs w:val="30"/>
          <w:highlight w:val="none"/>
        </w:rPr>
      </w:pPr>
      <w:r>
        <w:rPr>
          <w:rFonts w:hint="eastAsia" w:ascii="仿宋" w:hAnsi="仿宋" w:eastAsia="仿宋" w:cs="Arial"/>
          <w:b/>
          <w:bCs/>
          <w:kern w:val="0"/>
          <w:sz w:val="30"/>
          <w:szCs w:val="30"/>
          <w:highlight w:val="none"/>
        </w:rPr>
        <w:t>三、招标文件获取</w:t>
      </w:r>
    </w:p>
    <w:p>
      <w:pPr>
        <w:snapToGrid w:val="0"/>
        <w:spacing w:line="58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凡符合资格条件并有投标意向的金融机构，请于</w:t>
      </w:r>
      <w:r>
        <w:rPr>
          <w:rFonts w:ascii="仿宋" w:hAnsi="仿宋" w:eastAsia="仿宋"/>
          <w:sz w:val="30"/>
          <w:szCs w:val="30"/>
          <w:highlight w:val="none"/>
        </w:rPr>
        <w:t>2019</w:t>
      </w:r>
      <w:r>
        <w:rPr>
          <w:rFonts w:hint="eastAsia" w:ascii="仿宋" w:hAnsi="仿宋" w:eastAsia="仿宋"/>
          <w:sz w:val="30"/>
          <w:szCs w:val="30"/>
          <w:highlight w:val="none"/>
        </w:rPr>
        <w:t>年</w:t>
      </w:r>
      <w:r>
        <w:rPr>
          <w:rFonts w:hint="eastAsia" w:ascii="仿宋" w:hAnsi="仿宋" w:eastAsia="仿宋"/>
          <w:sz w:val="30"/>
          <w:szCs w:val="30"/>
          <w:highlight w:val="none"/>
          <w:lang w:val="en-US" w:eastAsia="zh-CN"/>
        </w:rPr>
        <w:t>5</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7</w:t>
      </w:r>
      <w:r>
        <w:rPr>
          <w:rFonts w:hint="eastAsia" w:ascii="仿宋" w:hAnsi="仿宋" w:eastAsia="仿宋"/>
          <w:sz w:val="30"/>
          <w:szCs w:val="30"/>
          <w:highlight w:val="none"/>
        </w:rPr>
        <w:t>日至</w:t>
      </w:r>
      <w:r>
        <w:rPr>
          <w:rFonts w:ascii="仿宋" w:hAnsi="仿宋" w:eastAsia="仿宋"/>
          <w:sz w:val="30"/>
          <w:szCs w:val="30"/>
          <w:highlight w:val="none"/>
        </w:rPr>
        <w:t>2019</w:t>
      </w:r>
      <w:r>
        <w:rPr>
          <w:rFonts w:hint="eastAsia" w:ascii="仿宋" w:hAnsi="仿宋" w:eastAsia="仿宋"/>
          <w:sz w:val="30"/>
          <w:szCs w:val="30"/>
          <w:highlight w:val="none"/>
        </w:rPr>
        <w:t>年</w:t>
      </w:r>
      <w:r>
        <w:rPr>
          <w:rFonts w:hint="eastAsia" w:ascii="仿宋" w:hAnsi="仿宋" w:eastAsia="仿宋"/>
          <w:sz w:val="30"/>
          <w:szCs w:val="30"/>
          <w:highlight w:val="none"/>
          <w:lang w:val="en-US" w:eastAsia="zh-CN"/>
        </w:rPr>
        <w:t>5</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27</w:t>
      </w:r>
      <w:r>
        <w:rPr>
          <w:rFonts w:hint="eastAsia" w:ascii="仿宋" w:hAnsi="仿宋" w:eastAsia="仿宋"/>
          <w:sz w:val="30"/>
          <w:szCs w:val="30"/>
          <w:highlight w:val="none"/>
        </w:rPr>
        <w:t>日</w:t>
      </w:r>
      <w:r>
        <w:rPr>
          <w:rFonts w:hint="eastAsia" w:ascii="仿宋" w:hAnsi="仿宋" w:eastAsia="仿宋"/>
          <w:sz w:val="30"/>
          <w:szCs w:val="30"/>
          <w:highlight w:val="none"/>
        </w:rPr>
        <w:t>期间通过浙江省机场集团有限公司主页</w:t>
      </w:r>
      <w:r>
        <w:rPr>
          <w:rFonts w:ascii="仿宋" w:hAnsi="仿宋" w:eastAsia="仿宋"/>
          <w:sz w:val="30"/>
          <w:szCs w:val="30"/>
          <w:highlight w:val="none"/>
        </w:rPr>
        <w:fldChar w:fldCharType="begin"/>
      </w:r>
      <w:r>
        <w:rPr>
          <w:rFonts w:ascii="仿宋" w:hAnsi="仿宋" w:eastAsia="仿宋"/>
          <w:sz w:val="30"/>
          <w:szCs w:val="30"/>
          <w:highlight w:val="none"/>
        </w:rPr>
        <w:instrText xml:space="preserve"> HYPERLINK "http://www.zjairports.com" </w:instrText>
      </w:r>
      <w:r>
        <w:rPr>
          <w:rFonts w:ascii="仿宋" w:hAnsi="仿宋" w:eastAsia="仿宋"/>
          <w:sz w:val="30"/>
          <w:szCs w:val="30"/>
          <w:highlight w:val="none"/>
        </w:rPr>
        <w:fldChar w:fldCharType="separate"/>
      </w:r>
      <w:r>
        <w:rPr>
          <w:rStyle w:val="9"/>
          <w:rFonts w:ascii="仿宋" w:hAnsi="仿宋" w:eastAsia="仿宋"/>
          <w:sz w:val="30"/>
          <w:szCs w:val="30"/>
          <w:highlight w:val="none"/>
        </w:rPr>
        <w:t>http://www.zjairports.com</w:t>
      </w:r>
      <w:r>
        <w:rPr>
          <w:rFonts w:ascii="仿宋" w:hAnsi="仿宋" w:eastAsia="仿宋"/>
          <w:sz w:val="30"/>
          <w:szCs w:val="30"/>
          <w:highlight w:val="none"/>
        </w:rPr>
        <w:fldChar w:fldCharType="end"/>
      </w:r>
      <w:r>
        <w:rPr>
          <w:rFonts w:hint="eastAsia" w:ascii="仿宋" w:hAnsi="仿宋" w:eastAsia="仿宋"/>
          <w:sz w:val="30"/>
          <w:szCs w:val="30"/>
          <w:highlight w:val="none"/>
        </w:rPr>
        <w:t>、</w:t>
      </w:r>
      <w:r>
        <w:rPr>
          <w:rFonts w:hint="eastAsia" w:ascii="仿宋" w:hAnsi="仿宋" w:eastAsia="仿宋"/>
          <w:sz w:val="30"/>
          <w:szCs w:val="30"/>
          <w:highlight w:val="none"/>
        </w:rPr>
        <w:t>浙江省机场（舟山民航）集团有限公司主页</w:t>
      </w:r>
      <w:r>
        <w:rPr>
          <w:highlight w:val="none"/>
        </w:rPr>
        <w:fldChar w:fldCharType="begin"/>
      </w:r>
      <w:r>
        <w:rPr>
          <w:highlight w:val="none"/>
        </w:rPr>
        <w:instrText xml:space="preserve"> HYPERLINK "http://www.zjsairport.com/" </w:instrText>
      </w:r>
      <w:r>
        <w:rPr>
          <w:highlight w:val="none"/>
        </w:rPr>
        <w:fldChar w:fldCharType="separate"/>
      </w:r>
      <w:r>
        <w:rPr>
          <w:rStyle w:val="9"/>
          <w:rFonts w:ascii="仿宋" w:hAnsi="仿宋" w:eastAsia="仿宋"/>
          <w:sz w:val="30"/>
          <w:szCs w:val="30"/>
          <w:highlight w:val="none"/>
        </w:rPr>
        <w:t>http://www.zjsairport.com/</w:t>
      </w:r>
      <w:r>
        <w:rPr>
          <w:rStyle w:val="9"/>
          <w:rFonts w:ascii="仿宋" w:hAnsi="仿宋" w:eastAsia="仿宋"/>
          <w:sz w:val="30"/>
          <w:szCs w:val="30"/>
          <w:highlight w:val="none"/>
        </w:rPr>
        <w:fldChar w:fldCharType="end"/>
      </w:r>
      <w:r>
        <w:rPr>
          <w:rFonts w:hint="eastAsia" w:ascii="仿宋" w:hAnsi="仿宋" w:eastAsia="仿宋"/>
          <w:sz w:val="30"/>
          <w:szCs w:val="30"/>
          <w:highlight w:val="none"/>
        </w:rPr>
        <w:t>自行下载招标文件。</w:t>
      </w:r>
    </w:p>
    <w:p>
      <w:pPr>
        <w:widowControl/>
        <w:snapToGrid w:val="0"/>
        <w:spacing w:line="580" w:lineRule="exact"/>
        <w:jc w:val="left"/>
        <w:rPr>
          <w:rFonts w:ascii="仿宋" w:hAnsi="仿宋" w:eastAsia="仿宋" w:cs="Arial"/>
          <w:b/>
          <w:bCs/>
          <w:kern w:val="0"/>
          <w:sz w:val="30"/>
          <w:szCs w:val="30"/>
          <w:highlight w:val="none"/>
        </w:rPr>
      </w:pPr>
      <w:r>
        <w:rPr>
          <w:rFonts w:hint="eastAsia" w:ascii="仿宋" w:hAnsi="仿宋" w:eastAsia="仿宋" w:cs="Arial"/>
          <w:b/>
          <w:bCs/>
          <w:kern w:val="0"/>
          <w:sz w:val="30"/>
          <w:szCs w:val="30"/>
          <w:highlight w:val="none"/>
        </w:rPr>
        <w:t>四、投标文件的递交</w:t>
      </w:r>
    </w:p>
    <w:p>
      <w:pPr>
        <w:widowControl/>
        <w:snapToGrid w:val="0"/>
        <w:spacing w:line="580" w:lineRule="exact"/>
        <w:jc w:val="left"/>
        <w:rPr>
          <w:rFonts w:hint="eastAsia" w:ascii="仿宋" w:hAnsi="仿宋" w:eastAsia="仿宋"/>
          <w:sz w:val="30"/>
          <w:szCs w:val="30"/>
          <w:highlight w:val="none"/>
        </w:rPr>
      </w:pPr>
      <w:r>
        <w:rPr>
          <w:rFonts w:hint="eastAsia" w:ascii="仿宋" w:hAnsi="仿宋" w:eastAsia="仿宋"/>
          <w:sz w:val="30"/>
          <w:szCs w:val="30"/>
          <w:highlight w:val="none"/>
        </w:rPr>
        <w:t>投标文件递交截止时间：</w:t>
      </w:r>
      <w:r>
        <w:rPr>
          <w:rFonts w:ascii="仿宋" w:hAnsi="仿宋" w:eastAsia="仿宋"/>
          <w:sz w:val="30"/>
          <w:szCs w:val="30"/>
          <w:highlight w:val="none"/>
        </w:rPr>
        <w:t>2019</w:t>
      </w:r>
      <w:r>
        <w:rPr>
          <w:rFonts w:hint="eastAsia" w:ascii="仿宋" w:hAnsi="仿宋" w:eastAsia="仿宋"/>
          <w:sz w:val="30"/>
          <w:szCs w:val="30"/>
          <w:highlight w:val="none"/>
        </w:rPr>
        <w:t>年</w:t>
      </w:r>
      <w:r>
        <w:rPr>
          <w:rFonts w:hint="eastAsia" w:ascii="仿宋" w:hAnsi="仿宋" w:eastAsia="仿宋"/>
          <w:sz w:val="30"/>
          <w:szCs w:val="30"/>
          <w:highlight w:val="none"/>
          <w:lang w:val="en-US" w:eastAsia="zh-CN"/>
        </w:rPr>
        <w:t>5</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28</w:t>
      </w:r>
      <w:r>
        <w:rPr>
          <w:rFonts w:hint="eastAsia" w:ascii="仿宋" w:hAnsi="仿宋" w:eastAsia="仿宋"/>
          <w:sz w:val="30"/>
          <w:szCs w:val="30"/>
          <w:highlight w:val="none"/>
        </w:rPr>
        <w:t>日</w:t>
      </w:r>
      <w:r>
        <w:rPr>
          <w:rFonts w:hint="eastAsia" w:ascii="仿宋" w:hAnsi="仿宋" w:eastAsia="仿宋"/>
          <w:sz w:val="30"/>
          <w:szCs w:val="30"/>
          <w:highlight w:val="none"/>
          <w:lang w:eastAsia="zh-CN"/>
        </w:rPr>
        <w:t>下午</w:t>
      </w:r>
      <w:r>
        <w:rPr>
          <w:rFonts w:hint="eastAsia" w:ascii="仿宋" w:hAnsi="仿宋" w:eastAsia="仿宋"/>
          <w:sz w:val="30"/>
          <w:szCs w:val="30"/>
          <w:highlight w:val="none"/>
          <w:lang w:val="en-US" w:eastAsia="zh-CN"/>
        </w:rPr>
        <w:t>14</w:t>
      </w:r>
      <w:r>
        <w:rPr>
          <w:rFonts w:hint="eastAsia" w:ascii="仿宋" w:hAnsi="仿宋" w:eastAsia="仿宋"/>
          <w:sz w:val="30"/>
          <w:szCs w:val="30"/>
          <w:highlight w:val="none"/>
        </w:rPr>
        <w:t>时</w:t>
      </w:r>
      <w:r>
        <w:rPr>
          <w:rFonts w:hint="eastAsia" w:ascii="仿宋" w:hAnsi="仿宋" w:eastAsia="仿宋"/>
          <w:sz w:val="30"/>
          <w:szCs w:val="30"/>
          <w:highlight w:val="none"/>
          <w:lang w:val="en-US" w:eastAsia="zh-CN"/>
        </w:rPr>
        <w:t>00</w:t>
      </w:r>
      <w:r>
        <w:rPr>
          <w:rFonts w:hint="eastAsia" w:ascii="仿宋" w:hAnsi="仿宋" w:eastAsia="仿宋"/>
          <w:sz w:val="30"/>
          <w:szCs w:val="30"/>
          <w:highlight w:val="none"/>
        </w:rPr>
        <w:t>分（北京时间）。投标文件在封口处加盖公章，并派专人于</w:t>
      </w:r>
      <w:r>
        <w:rPr>
          <w:rFonts w:ascii="仿宋" w:hAnsi="仿宋" w:eastAsia="仿宋"/>
          <w:sz w:val="30"/>
          <w:szCs w:val="30"/>
          <w:highlight w:val="none"/>
        </w:rPr>
        <w:t>2019</w:t>
      </w:r>
      <w:r>
        <w:rPr>
          <w:rFonts w:hint="eastAsia" w:ascii="仿宋" w:hAnsi="仿宋" w:eastAsia="仿宋"/>
          <w:sz w:val="30"/>
          <w:szCs w:val="30"/>
          <w:highlight w:val="none"/>
        </w:rPr>
        <w:t>年</w:t>
      </w:r>
      <w:r>
        <w:rPr>
          <w:rFonts w:hint="eastAsia" w:ascii="仿宋" w:hAnsi="仿宋" w:eastAsia="仿宋"/>
          <w:sz w:val="30"/>
          <w:szCs w:val="30"/>
          <w:highlight w:val="none"/>
          <w:lang w:val="en-US" w:eastAsia="zh-CN"/>
        </w:rPr>
        <w:t>5</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28</w:t>
      </w:r>
      <w:r>
        <w:rPr>
          <w:rFonts w:hint="eastAsia" w:ascii="仿宋" w:hAnsi="仿宋" w:eastAsia="仿宋"/>
          <w:sz w:val="30"/>
          <w:szCs w:val="30"/>
          <w:highlight w:val="none"/>
        </w:rPr>
        <w:t>日</w:t>
      </w:r>
      <w:r>
        <w:rPr>
          <w:rFonts w:hint="eastAsia" w:ascii="仿宋" w:hAnsi="仿宋" w:eastAsia="仿宋"/>
          <w:sz w:val="30"/>
          <w:szCs w:val="30"/>
          <w:highlight w:val="none"/>
          <w:lang w:eastAsia="zh-CN"/>
        </w:rPr>
        <w:t>下午</w:t>
      </w:r>
      <w:r>
        <w:rPr>
          <w:rFonts w:hint="eastAsia" w:ascii="仿宋" w:hAnsi="仿宋" w:eastAsia="仿宋"/>
          <w:sz w:val="30"/>
          <w:szCs w:val="30"/>
          <w:highlight w:val="none"/>
          <w:lang w:val="en-US" w:eastAsia="zh-CN"/>
        </w:rPr>
        <w:t>14</w:t>
      </w:r>
      <w:r>
        <w:rPr>
          <w:rFonts w:hint="eastAsia" w:ascii="仿宋" w:hAnsi="仿宋" w:eastAsia="仿宋"/>
          <w:sz w:val="30"/>
          <w:szCs w:val="30"/>
          <w:highlight w:val="none"/>
        </w:rPr>
        <w:t>时</w:t>
      </w:r>
      <w:r>
        <w:rPr>
          <w:rFonts w:hint="eastAsia" w:ascii="仿宋" w:hAnsi="仿宋" w:eastAsia="仿宋"/>
          <w:sz w:val="30"/>
          <w:szCs w:val="30"/>
          <w:highlight w:val="none"/>
          <w:lang w:val="en-US" w:eastAsia="zh-CN"/>
        </w:rPr>
        <w:t>00</w:t>
      </w:r>
      <w:r>
        <w:rPr>
          <w:rFonts w:hint="eastAsia" w:ascii="仿宋" w:hAnsi="仿宋" w:eastAsia="仿宋"/>
          <w:sz w:val="30"/>
          <w:szCs w:val="30"/>
          <w:highlight w:val="none"/>
        </w:rPr>
        <w:t>分（北京时间）前送至杭州萧山国际机场翔越路综合服务楼园区招标中心，逾期无效；若采用投递方式的，请于</w:t>
      </w:r>
      <w:r>
        <w:rPr>
          <w:rFonts w:ascii="仿宋" w:hAnsi="仿宋" w:eastAsia="仿宋"/>
          <w:sz w:val="30"/>
          <w:szCs w:val="30"/>
          <w:highlight w:val="none"/>
        </w:rPr>
        <w:t>2019</w:t>
      </w:r>
      <w:r>
        <w:rPr>
          <w:rFonts w:hint="eastAsia" w:ascii="仿宋" w:hAnsi="仿宋" w:eastAsia="仿宋"/>
          <w:sz w:val="30"/>
          <w:szCs w:val="30"/>
          <w:highlight w:val="none"/>
        </w:rPr>
        <w:t>年</w:t>
      </w:r>
      <w:r>
        <w:rPr>
          <w:rFonts w:hint="eastAsia" w:ascii="仿宋" w:hAnsi="仿宋" w:eastAsia="仿宋"/>
          <w:sz w:val="30"/>
          <w:szCs w:val="30"/>
          <w:highlight w:val="none"/>
          <w:lang w:val="en-US" w:eastAsia="zh-CN"/>
        </w:rPr>
        <w:t>5</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28</w:t>
      </w:r>
      <w:r>
        <w:rPr>
          <w:rFonts w:hint="eastAsia" w:ascii="仿宋" w:hAnsi="仿宋" w:eastAsia="仿宋"/>
          <w:sz w:val="30"/>
          <w:szCs w:val="30"/>
          <w:highlight w:val="none"/>
        </w:rPr>
        <w:t>日</w:t>
      </w:r>
      <w:r>
        <w:rPr>
          <w:rFonts w:hint="eastAsia" w:ascii="仿宋" w:hAnsi="仿宋" w:eastAsia="仿宋"/>
          <w:sz w:val="30"/>
          <w:szCs w:val="30"/>
          <w:highlight w:val="none"/>
          <w:lang w:eastAsia="zh-CN"/>
        </w:rPr>
        <w:t>下午</w:t>
      </w:r>
      <w:r>
        <w:rPr>
          <w:rFonts w:hint="eastAsia" w:ascii="仿宋" w:hAnsi="仿宋" w:eastAsia="仿宋"/>
          <w:sz w:val="30"/>
          <w:szCs w:val="30"/>
          <w:highlight w:val="none"/>
          <w:lang w:val="en-US" w:eastAsia="zh-CN"/>
        </w:rPr>
        <w:t>14</w:t>
      </w:r>
      <w:r>
        <w:rPr>
          <w:rFonts w:hint="eastAsia" w:ascii="仿宋" w:hAnsi="仿宋" w:eastAsia="仿宋"/>
          <w:sz w:val="30"/>
          <w:szCs w:val="30"/>
          <w:highlight w:val="none"/>
        </w:rPr>
        <w:t>时</w:t>
      </w:r>
      <w:r>
        <w:rPr>
          <w:rFonts w:hint="eastAsia" w:ascii="仿宋" w:hAnsi="仿宋" w:eastAsia="仿宋"/>
          <w:sz w:val="30"/>
          <w:szCs w:val="30"/>
          <w:highlight w:val="none"/>
          <w:lang w:val="en-US" w:eastAsia="zh-CN"/>
        </w:rPr>
        <w:t>00</w:t>
      </w:r>
      <w:r>
        <w:rPr>
          <w:rFonts w:hint="eastAsia" w:ascii="仿宋" w:hAnsi="仿宋" w:eastAsia="仿宋"/>
          <w:sz w:val="30"/>
          <w:szCs w:val="30"/>
          <w:highlight w:val="none"/>
        </w:rPr>
        <w:t>分（北京时间）前投递至杭州萧山国际机场综合楼</w:t>
      </w:r>
      <w:r>
        <w:rPr>
          <w:rFonts w:ascii="仿宋" w:hAnsi="仿宋" w:eastAsia="仿宋"/>
          <w:sz w:val="30"/>
          <w:szCs w:val="30"/>
          <w:highlight w:val="none"/>
        </w:rPr>
        <w:t>213</w:t>
      </w:r>
      <w:r>
        <w:rPr>
          <w:rFonts w:hint="eastAsia" w:ascii="仿宋" w:hAnsi="仿宋" w:eastAsia="仿宋"/>
          <w:sz w:val="30"/>
          <w:szCs w:val="30"/>
          <w:highlight w:val="none"/>
        </w:rPr>
        <w:t>室，逾期无效。</w:t>
      </w:r>
    </w:p>
    <w:p>
      <w:pPr>
        <w:widowControl/>
        <w:snapToGrid w:val="0"/>
        <w:spacing w:line="580" w:lineRule="exact"/>
        <w:jc w:val="left"/>
        <w:rPr>
          <w:rFonts w:ascii="仿宋" w:hAnsi="仿宋" w:eastAsia="仿宋" w:cs="Arial"/>
          <w:b/>
          <w:bCs/>
          <w:kern w:val="0"/>
          <w:sz w:val="30"/>
          <w:szCs w:val="30"/>
          <w:highlight w:val="none"/>
        </w:rPr>
      </w:pPr>
      <w:r>
        <w:rPr>
          <w:rFonts w:hint="eastAsia" w:ascii="仿宋" w:hAnsi="仿宋" w:eastAsia="仿宋" w:cs="Arial"/>
          <w:b/>
          <w:bCs/>
          <w:kern w:val="0"/>
          <w:sz w:val="30"/>
          <w:szCs w:val="30"/>
          <w:highlight w:val="none"/>
        </w:rPr>
        <w:t>五、发布公告的媒介</w:t>
      </w:r>
    </w:p>
    <w:p>
      <w:pPr>
        <w:snapToGrid w:val="0"/>
        <w:spacing w:line="580" w:lineRule="exact"/>
        <w:ind w:firstLine="600" w:firstLineChars="200"/>
        <w:rPr>
          <w:rFonts w:ascii="仿宋" w:hAnsi="仿宋" w:eastAsia="仿宋" w:cs="宋体"/>
          <w:sz w:val="30"/>
          <w:szCs w:val="30"/>
          <w:highlight w:val="none"/>
        </w:rPr>
      </w:pPr>
      <w:r>
        <w:rPr>
          <w:rFonts w:hint="eastAsia" w:ascii="仿宋" w:hAnsi="仿宋" w:eastAsia="仿宋" w:cs="宋体"/>
          <w:sz w:val="30"/>
          <w:szCs w:val="30"/>
          <w:highlight w:val="none"/>
        </w:rPr>
        <w:t>本次招标公告在中国招标投标公共服务平台、浙江省机场集团有限公司、舟山民航集团有限公司等网站上发布</w:t>
      </w:r>
    </w:p>
    <w:p>
      <w:pPr>
        <w:widowControl/>
        <w:snapToGrid w:val="0"/>
        <w:spacing w:line="580" w:lineRule="exact"/>
        <w:jc w:val="left"/>
        <w:rPr>
          <w:rFonts w:ascii="仿宋" w:hAnsi="仿宋" w:eastAsia="仿宋" w:cs="Arial"/>
          <w:b/>
          <w:bCs/>
          <w:kern w:val="0"/>
          <w:sz w:val="30"/>
          <w:szCs w:val="30"/>
          <w:highlight w:val="none"/>
        </w:rPr>
      </w:pPr>
      <w:r>
        <w:rPr>
          <w:rFonts w:hint="eastAsia" w:ascii="仿宋" w:hAnsi="仿宋" w:eastAsia="仿宋" w:cs="Arial"/>
          <w:b/>
          <w:bCs/>
          <w:kern w:val="0"/>
          <w:sz w:val="30"/>
          <w:szCs w:val="30"/>
          <w:highlight w:val="none"/>
        </w:rPr>
        <w:t>六、联系方式</w:t>
      </w:r>
    </w:p>
    <w:p>
      <w:pPr>
        <w:widowControl/>
        <w:snapToGrid w:val="0"/>
        <w:spacing w:line="58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业务联系人：周益民</w:t>
      </w:r>
      <w:r>
        <w:rPr>
          <w:rFonts w:ascii="仿宋" w:hAnsi="宋体" w:eastAsia="仿宋"/>
          <w:sz w:val="30"/>
          <w:szCs w:val="30"/>
          <w:highlight w:val="none"/>
        </w:rPr>
        <w:t> </w:t>
      </w:r>
      <w:r>
        <w:rPr>
          <w:rFonts w:ascii="仿宋" w:hAnsi="仿宋" w:eastAsia="仿宋"/>
          <w:sz w:val="30"/>
          <w:szCs w:val="30"/>
          <w:highlight w:val="none"/>
        </w:rPr>
        <w:t xml:space="preserve">       </w:t>
      </w:r>
      <w:r>
        <w:rPr>
          <w:rFonts w:hint="eastAsia" w:ascii="仿宋" w:hAnsi="仿宋" w:eastAsia="仿宋"/>
          <w:sz w:val="30"/>
          <w:szCs w:val="30"/>
          <w:highlight w:val="none"/>
        </w:rPr>
        <w:t>联系电话：</w:t>
      </w:r>
      <w:r>
        <w:rPr>
          <w:rFonts w:ascii="仿宋" w:hAnsi="仿宋" w:eastAsia="仿宋"/>
          <w:sz w:val="30"/>
          <w:szCs w:val="30"/>
          <w:highlight w:val="none"/>
        </w:rPr>
        <w:t>0580-6260870</w:t>
      </w:r>
    </w:p>
    <w:p>
      <w:pPr>
        <w:widowControl/>
        <w:snapToGrid w:val="0"/>
        <w:spacing w:line="58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投标联系人：李文平</w:t>
      </w:r>
      <w:r>
        <w:rPr>
          <w:rFonts w:ascii="仿宋" w:hAnsi="宋体" w:eastAsia="仿宋"/>
          <w:sz w:val="30"/>
          <w:szCs w:val="30"/>
          <w:highlight w:val="none"/>
        </w:rPr>
        <w:t> </w:t>
      </w:r>
      <w:r>
        <w:rPr>
          <w:rFonts w:ascii="仿宋" w:hAnsi="仿宋" w:eastAsia="仿宋"/>
          <w:sz w:val="30"/>
          <w:szCs w:val="30"/>
          <w:highlight w:val="none"/>
        </w:rPr>
        <w:t xml:space="preserve">       </w:t>
      </w:r>
      <w:r>
        <w:rPr>
          <w:rFonts w:hint="eastAsia" w:ascii="仿宋" w:hAnsi="仿宋" w:eastAsia="仿宋"/>
          <w:sz w:val="30"/>
          <w:szCs w:val="30"/>
          <w:highlight w:val="none"/>
        </w:rPr>
        <w:t>联系电话：</w:t>
      </w:r>
      <w:r>
        <w:rPr>
          <w:rFonts w:ascii="仿宋" w:hAnsi="仿宋" w:eastAsia="仿宋"/>
          <w:sz w:val="30"/>
          <w:szCs w:val="30"/>
          <w:highlight w:val="none"/>
        </w:rPr>
        <w:t>0580-6260885</w:t>
      </w:r>
    </w:p>
    <w:p>
      <w:pPr>
        <w:widowControl/>
        <w:snapToGrid w:val="0"/>
        <w:spacing w:line="580" w:lineRule="exact"/>
        <w:ind w:firstLine="600" w:firstLineChars="200"/>
        <w:jc w:val="left"/>
        <w:rPr>
          <w:rFonts w:ascii="仿宋" w:hAnsi="仿宋" w:eastAsia="仿宋"/>
          <w:sz w:val="30"/>
          <w:szCs w:val="30"/>
          <w:highlight w:val="none"/>
        </w:rPr>
      </w:pPr>
      <w:r>
        <w:rPr>
          <w:rFonts w:hint="eastAsia" w:ascii="仿宋" w:hAnsi="仿宋" w:eastAsia="仿宋"/>
          <w:sz w:val="30"/>
          <w:szCs w:val="30"/>
          <w:highlight w:val="none"/>
        </w:rPr>
        <w:t>招标监督人：张晖</w:t>
      </w:r>
      <w:r>
        <w:rPr>
          <w:rFonts w:ascii="仿宋" w:hAnsi="宋体" w:eastAsia="仿宋"/>
          <w:sz w:val="30"/>
          <w:szCs w:val="30"/>
          <w:highlight w:val="none"/>
        </w:rPr>
        <w:t> </w:t>
      </w:r>
      <w:r>
        <w:rPr>
          <w:rFonts w:ascii="仿宋" w:hAnsi="仿宋" w:eastAsia="仿宋"/>
          <w:sz w:val="30"/>
          <w:szCs w:val="30"/>
          <w:highlight w:val="none"/>
        </w:rPr>
        <w:t xml:space="preserve">         </w:t>
      </w:r>
      <w:r>
        <w:rPr>
          <w:rFonts w:hint="eastAsia" w:ascii="仿宋" w:hAnsi="仿宋" w:eastAsia="仿宋"/>
          <w:sz w:val="30"/>
          <w:szCs w:val="30"/>
          <w:highlight w:val="none"/>
        </w:rPr>
        <w:t>联系电话：</w:t>
      </w:r>
      <w:r>
        <w:rPr>
          <w:rFonts w:ascii="仿宋" w:hAnsi="仿宋" w:eastAsia="仿宋"/>
          <w:sz w:val="30"/>
          <w:szCs w:val="30"/>
          <w:highlight w:val="none"/>
        </w:rPr>
        <w:t>0580-6260924</w:t>
      </w:r>
      <w:r>
        <w:rPr>
          <w:rFonts w:ascii="仿宋" w:hAnsi="仿宋" w:eastAsia="仿宋"/>
          <w:sz w:val="30"/>
          <w:szCs w:val="30"/>
          <w:highlight w:val="none"/>
        </w:rPr>
        <w:br w:type="page"/>
      </w:r>
    </w:p>
    <w:p>
      <w:pPr>
        <w:spacing w:line="580" w:lineRule="exact"/>
        <w:jc w:val="center"/>
        <w:rPr>
          <w:rFonts w:ascii="仿宋" w:hAnsi="仿宋" w:eastAsia="仿宋"/>
          <w:sz w:val="36"/>
          <w:szCs w:val="36"/>
          <w:highlight w:val="none"/>
        </w:rPr>
      </w:pPr>
      <w:r>
        <w:rPr>
          <w:rFonts w:hint="eastAsia" w:ascii="仿宋" w:hAnsi="仿宋" w:eastAsia="仿宋"/>
          <w:sz w:val="36"/>
          <w:szCs w:val="36"/>
          <w:highlight w:val="none"/>
        </w:rPr>
        <w:t>舟山民航集团有限公司资金存放开户银行招标文件</w:t>
      </w:r>
    </w:p>
    <w:p>
      <w:pPr>
        <w:spacing w:line="580" w:lineRule="exact"/>
        <w:jc w:val="center"/>
        <w:rPr>
          <w:rFonts w:ascii="仿宋" w:hAnsi="仿宋" w:eastAsia="仿宋"/>
          <w:sz w:val="28"/>
          <w:szCs w:val="24"/>
          <w:highlight w:val="none"/>
        </w:rPr>
      </w:pPr>
    </w:p>
    <w:p>
      <w:pPr>
        <w:spacing w:line="580" w:lineRule="exact"/>
        <w:jc w:val="center"/>
        <w:rPr>
          <w:rFonts w:ascii="方正小标宋简体" w:hAnsi="仿宋" w:eastAsia="方正小标宋简体"/>
          <w:b/>
          <w:bCs/>
          <w:sz w:val="32"/>
          <w:szCs w:val="32"/>
          <w:highlight w:val="none"/>
        </w:rPr>
      </w:pPr>
      <w:r>
        <w:rPr>
          <w:rFonts w:hint="eastAsia" w:ascii="方正小标宋简体" w:hAnsi="仿宋" w:eastAsia="方正小标宋简体"/>
          <w:b/>
          <w:bCs/>
          <w:sz w:val="32"/>
          <w:szCs w:val="32"/>
          <w:highlight w:val="none"/>
        </w:rPr>
        <w:t>一、综合说明</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1</w:t>
      </w:r>
      <w:r>
        <w:rPr>
          <w:rFonts w:hint="eastAsia" w:ascii="仿宋" w:hAnsi="仿宋" w:eastAsia="仿宋"/>
          <w:b/>
          <w:bCs/>
          <w:sz w:val="32"/>
          <w:szCs w:val="32"/>
          <w:highlight w:val="none"/>
        </w:rPr>
        <w:t>．公司及资金存放开户银行招标概况</w:t>
      </w:r>
    </w:p>
    <w:p>
      <w:pPr>
        <w:spacing w:line="580" w:lineRule="exact"/>
        <w:ind w:firstLine="646"/>
        <w:rPr>
          <w:rFonts w:ascii="仿宋" w:hAnsi="仿宋" w:eastAsia="仿宋"/>
          <w:sz w:val="32"/>
          <w:szCs w:val="32"/>
          <w:highlight w:val="none"/>
        </w:rPr>
      </w:pPr>
      <w:r>
        <w:rPr>
          <w:rFonts w:hint="eastAsia" w:ascii="仿宋" w:hAnsi="仿宋" w:eastAsia="仿宋"/>
          <w:sz w:val="32"/>
          <w:szCs w:val="32"/>
          <w:highlight w:val="none"/>
        </w:rPr>
        <w:t>舟山民航集团有限公司（以下简称“集团公司”）系浙江省机场集团有限公司的全资子公司，经营机场及航空辅助业、机场配套综合服务、机场物资供应、机场后续工程配套建设，为岛际空中救援以及公务视察及同业航空的开展提供服务等。目前集团公司拥有下属</w:t>
      </w:r>
      <w:r>
        <w:rPr>
          <w:rFonts w:ascii="仿宋" w:hAnsi="仿宋" w:eastAsia="仿宋"/>
          <w:sz w:val="32"/>
          <w:szCs w:val="32"/>
          <w:highlight w:val="none"/>
        </w:rPr>
        <w:t>2</w:t>
      </w:r>
      <w:r>
        <w:rPr>
          <w:rFonts w:hint="eastAsia" w:ascii="仿宋" w:hAnsi="仿宋" w:eastAsia="仿宋"/>
          <w:sz w:val="32"/>
          <w:szCs w:val="32"/>
          <w:highlight w:val="none"/>
        </w:rPr>
        <w:t>家子公司和</w:t>
      </w:r>
      <w:r>
        <w:rPr>
          <w:rFonts w:ascii="仿宋" w:hAnsi="仿宋" w:eastAsia="仿宋"/>
          <w:sz w:val="32"/>
          <w:szCs w:val="32"/>
          <w:highlight w:val="none"/>
        </w:rPr>
        <w:t>2</w:t>
      </w:r>
      <w:r>
        <w:rPr>
          <w:rFonts w:hint="eastAsia" w:ascii="仿宋" w:hAnsi="仿宋" w:eastAsia="仿宋"/>
          <w:sz w:val="32"/>
          <w:szCs w:val="32"/>
          <w:highlight w:val="none"/>
        </w:rPr>
        <w:t>家孙公司。截至</w:t>
      </w:r>
      <w:r>
        <w:rPr>
          <w:rFonts w:ascii="仿宋" w:hAnsi="仿宋" w:eastAsia="仿宋"/>
          <w:sz w:val="32"/>
          <w:szCs w:val="32"/>
          <w:highlight w:val="none"/>
        </w:rPr>
        <w:t xml:space="preserve"> 2018</w:t>
      </w:r>
      <w:r>
        <w:rPr>
          <w:rFonts w:hint="eastAsia" w:ascii="仿宋" w:hAnsi="仿宋" w:eastAsia="仿宋"/>
          <w:sz w:val="32"/>
          <w:szCs w:val="32"/>
          <w:highlight w:val="none"/>
        </w:rPr>
        <w:t>年</w:t>
      </w:r>
      <w:r>
        <w:rPr>
          <w:rFonts w:ascii="仿宋" w:hAnsi="仿宋" w:eastAsia="仿宋"/>
          <w:sz w:val="32"/>
          <w:szCs w:val="32"/>
          <w:highlight w:val="none"/>
        </w:rPr>
        <w:t xml:space="preserve"> 12</w:t>
      </w:r>
      <w:r>
        <w:rPr>
          <w:rFonts w:hint="eastAsia" w:ascii="仿宋" w:hAnsi="仿宋" w:eastAsia="仿宋"/>
          <w:sz w:val="32"/>
          <w:szCs w:val="32"/>
          <w:highlight w:val="none"/>
        </w:rPr>
        <w:t>月</w:t>
      </w:r>
      <w:r>
        <w:rPr>
          <w:rFonts w:ascii="仿宋" w:hAnsi="仿宋" w:eastAsia="仿宋"/>
          <w:sz w:val="32"/>
          <w:szCs w:val="32"/>
          <w:highlight w:val="none"/>
        </w:rPr>
        <w:t xml:space="preserve"> 31</w:t>
      </w:r>
      <w:r>
        <w:rPr>
          <w:rFonts w:hint="eastAsia" w:ascii="仿宋" w:hAnsi="仿宋" w:eastAsia="仿宋"/>
          <w:sz w:val="32"/>
          <w:szCs w:val="32"/>
          <w:highlight w:val="none"/>
        </w:rPr>
        <w:t>日，集团公司合并资产总额</w:t>
      </w:r>
      <w:r>
        <w:rPr>
          <w:rFonts w:ascii="仿宋" w:hAnsi="仿宋" w:eastAsia="仿宋"/>
          <w:sz w:val="32"/>
          <w:szCs w:val="32"/>
          <w:highlight w:val="none"/>
        </w:rPr>
        <w:t xml:space="preserve"> 12.64</w:t>
      </w:r>
      <w:r>
        <w:rPr>
          <w:rFonts w:hint="eastAsia" w:ascii="仿宋" w:hAnsi="仿宋" w:eastAsia="仿宋"/>
          <w:sz w:val="32"/>
          <w:szCs w:val="32"/>
          <w:highlight w:val="none"/>
        </w:rPr>
        <w:t>亿元（其中货币资金</w:t>
      </w:r>
      <w:r>
        <w:rPr>
          <w:rFonts w:ascii="仿宋" w:hAnsi="仿宋" w:eastAsia="仿宋"/>
          <w:sz w:val="32"/>
          <w:szCs w:val="32"/>
          <w:highlight w:val="none"/>
        </w:rPr>
        <w:t>1.95</w:t>
      </w:r>
      <w:r>
        <w:rPr>
          <w:rFonts w:hint="eastAsia" w:ascii="仿宋" w:hAnsi="仿宋" w:eastAsia="仿宋"/>
          <w:sz w:val="32"/>
          <w:szCs w:val="32"/>
          <w:highlight w:val="none"/>
        </w:rPr>
        <w:t>亿元），合并负债总额</w:t>
      </w:r>
      <w:r>
        <w:rPr>
          <w:rFonts w:ascii="仿宋" w:hAnsi="仿宋" w:eastAsia="仿宋"/>
          <w:sz w:val="32"/>
          <w:szCs w:val="32"/>
          <w:highlight w:val="none"/>
        </w:rPr>
        <w:t>6.23</w:t>
      </w:r>
      <w:r>
        <w:rPr>
          <w:rFonts w:hint="eastAsia" w:ascii="仿宋" w:hAnsi="仿宋" w:eastAsia="仿宋"/>
          <w:sz w:val="32"/>
          <w:szCs w:val="32"/>
          <w:highlight w:val="none"/>
        </w:rPr>
        <w:t>亿元（其中：银行贷款余额</w:t>
      </w:r>
      <w:r>
        <w:rPr>
          <w:rFonts w:ascii="仿宋" w:hAnsi="仿宋" w:eastAsia="仿宋"/>
          <w:sz w:val="32"/>
          <w:szCs w:val="32"/>
          <w:highlight w:val="none"/>
        </w:rPr>
        <w:t>3.4</w:t>
      </w:r>
      <w:r>
        <w:rPr>
          <w:rFonts w:hint="eastAsia" w:ascii="仿宋" w:hAnsi="仿宋" w:eastAsia="仿宋"/>
          <w:sz w:val="32"/>
          <w:szCs w:val="32"/>
          <w:highlight w:val="none"/>
        </w:rPr>
        <w:t>亿元），</w:t>
      </w:r>
      <w:r>
        <w:rPr>
          <w:rFonts w:ascii="仿宋" w:hAnsi="仿宋" w:eastAsia="仿宋"/>
          <w:sz w:val="32"/>
          <w:szCs w:val="32"/>
          <w:highlight w:val="none"/>
        </w:rPr>
        <w:t xml:space="preserve"> </w:t>
      </w:r>
      <w:r>
        <w:rPr>
          <w:rFonts w:hint="eastAsia" w:ascii="仿宋" w:hAnsi="仿宋" w:eastAsia="仿宋"/>
          <w:sz w:val="32"/>
          <w:szCs w:val="32"/>
          <w:highlight w:val="none"/>
        </w:rPr>
        <w:t>合并净资产总额</w:t>
      </w:r>
      <w:r>
        <w:rPr>
          <w:rFonts w:ascii="仿宋" w:hAnsi="仿宋" w:eastAsia="仿宋"/>
          <w:sz w:val="32"/>
          <w:szCs w:val="32"/>
          <w:highlight w:val="none"/>
        </w:rPr>
        <w:t xml:space="preserve"> 6.41</w:t>
      </w:r>
      <w:r>
        <w:rPr>
          <w:rFonts w:hint="eastAsia" w:ascii="仿宋" w:hAnsi="仿宋" w:eastAsia="仿宋"/>
          <w:sz w:val="32"/>
          <w:szCs w:val="32"/>
          <w:highlight w:val="none"/>
        </w:rPr>
        <w:t>亿元，资产负债率</w:t>
      </w:r>
      <w:r>
        <w:rPr>
          <w:rFonts w:ascii="仿宋" w:hAnsi="仿宋" w:eastAsia="仿宋"/>
          <w:sz w:val="32"/>
          <w:szCs w:val="32"/>
          <w:highlight w:val="none"/>
        </w:rPr>
        <w:t xml:space="preserve"> 49%</w:t>
      </w:r>
      <w:r>
        <w:rPr>
          <w:rFonts w:hint="eastAsia" w:ascii="仿宋" w:hAnsi="仿宋" w:eastAsia="仿宋"/>
          <w:sz w:val="32"/>
          <w:szCs w:val="32"/>
          <w:highlight w:val="none"/>
        </w:rPr>
        <w:t>；</w:t>
      </w:r>
      <w:r>
        <w:rPr>
          <w:rFonts w:ascii="仿宋" w:hAnsi="仿宋" w:eastAsia="仿宋"/>
          <w:sz w:val="32"/>
          <w:szCs w:val="32"/>
          <w:highlight w:val="none"/>
        </w:rPr>
        <w:t>2018</w:t>
      </w:r>
      <w:r>
        <w:rPr>
          <w:rFonts w:hint="eastAsia" w:ascii="仿宋" w:hAnsi="仿宋" w:eastAsia="仿宋"/>
          <w:sz w:val="32"/>
          <w:szCs w:val="32"/>
          <w:highlight w:val="none"/>
        </w:rPr>
        <w:t>年实现营业收入</w:t>
      </w:r>
      <w:r>
        <w:rPr>
          <w:rFonts w:ascii="仿宋" w:hAnsi="仿宋" w:eastAsia="仿宋"/>
          <w:sz w:val="32"/>
          <w:szCs w:val="32"/>
          <w:highlight w:val="none"/>
        </w:rPr>
        <w:t>0.62</w:t>
      </w:r>
      <w:r>
        <w:rPr>
          <w:rFonts w:hint="eastAsia" w:ascii="仿宋" w:hAnsi="仿宋" w:eastAsia="仿宋"/>
          <w:sz w:val="32"/>
          <w:szCs w:val="32"/>
          <w:highlight w:val="none"/>
        </w:rPr>
        <w:t>亿元，实现利润总额</w:t>
      </w:r>
      <w:r>
        <w:rPr>
          <w:rFonts w:ascii="仿宋" w:hAnsi="仿宋" w:eastAsia="仿宋"/>
          <w:sz w:val="32"/>
          <w:szCs w:val="32"/>
          <w:highlight w:val="none"/>
        </w:rPr>
        <w:t>-0.28</w:t>
      </w:r>
      <w:r>
        <w:rPr>
          <w:rFonts w:hint="eastAsia" w:ascii="仿宋" w:hAnsi="仿宋" w:eastAsia="仿宋"/>
          <w:sz w:val="32"/>
          <w:szCs w:val="32"/>
          <w:highlight w:val="none"/>
        </w:rPr>
        <w:t>亿元。</w:t>
      </w:r>
    </w:p>
    <w:p>
      <w:pPr>
        <w:spacing w:line="580" w:lineRule="exact"/>
        <w:ind w:firstLine="646"/>
        <w:rPr>
          <w:rFonts w:ascii="仿宋" w:hAnsi="仿宋" w:eastAsia="仿宋"/>
          <w:sz w:val="32"/>
          <w:szCs w:val="32"/>
          <w:highlight w:val="none"/>
        </w:rPr>
      </w:pPr>
      <w:r>
        <w:rPr>
          <w:rFonts w:hint="eastAsia" w:ascii="仿宋" w:hAnsi="仿宋" w:eastAsia="仿宋" w:cs="Arial"/>
          <w:kern w:val="0"/>
          <w:sz w:val="32"/>
          <w:szCs w:val="32"/>
          <w:highlight w:val="none"/>
        </w:rPr>
        <w:t>舟山普陀山机场有限公司（以下简称“机场公司”）、舟山市民航发展有限公司（以下简称“民航发展公司”）</w:t>
      </w:r>
      <w:r>
        <w:rPr>
          <w:rFonts w:hint="eastAsia" w:ascii="仿宋" w:hAnsi="仿宋" w:eastAsia="仿宋"/>
          <w:sz w:val="32"/>
          <w:szCs w:val="32"/>
          <w:highlight w:val="none"/>
        </w:rPr>
        <w:t>系舟山民航集团有限公司全资子公司；</w:t>
      </w:r>
      <w:r>
        <w:rPr>
          <w:rFonts w:hint="eastAsia" w:ascii="仿宋" w:hAnsi="仿宋" w:eastAsia="仿宋" w:cs="Arial"/>
          <w:kern w:val="0"/>
          <w:sz w:val="30"/>
          <w:szCs w:val="30"/>
          <w:highlight w:val="none"/>
        </w:rPr>
        <w:t>舟山市龙舟石化有限责任公司系</w:t>
      </w:r>
      <w:r>
        <w:rPr>
          <w:rFonts w:hint="eastAsia" w:ascii="仿宋" w:hAnsi="仿宋" w:eastAsia="仿宋"/>
          <w:sz w:val="32"/>
          <w:szCs w:val="32"/>
          <w:highlight w:val="none"/>
        </w:rPr>
        <w:t>舟山普陀山机场有限公司子公司，股权占比</w:t>
      </w:r>
      <w:r>
        <w:rPr>
          <w:rFonts w:ascii="仿宋" w:hAnsi="仿宋" w:eastAsia="仿宋"/>
          <w:sz w:val="32"/>
          <w:szCs w:val="32"/>
          <w:highlight w:val="none"/>
        </w:rPr>
        <w:t>53%</w:t>
      </w:r>
      <w:r>
        <w:rPr>
          <w:rFonts w:hint="eastAsia" w:ascii="仿宋" w:hAnsi="仿宋" w:eastAsia="仿宋"/>
          <w:sz w:val="32"/>
          <w:szCs w:val="32"/>
          <w:highlight w:val="none"/>
        </w:rPr>
        <w:t>，</w:t>
      </w:r>
      <w:r>
        <w:rPr>
          <w:rFonts w:hint="eastAsia" w:ascii="仿宋" w:hAnsi="仿宋" w:eastAsia="仿宋" w:cs="Arial"/>
          <w:kern w:val="0"/>
          <w:sz w:val="30"/>
          <w:szCs w:val="30"/>
          <w:highlight w:val="none"/>
        </w:rPr>
        <w:t>舟山民航柏卫航空食品有限公司</w:t>
      </w:r>
      <w:r>
        <w:rPr>
          <w:rFonts w:hint="eastAsia" w:ascii="仿宋" w:hAnsi="仿宋" w:eastAsia="仿宋"/>
          <w:sz w:val="32"/>
          <w:szCs w:val="32"/>
          <w:highlight w:val="none"/>
        </w:rPr>
        <w:t>系舟山市民航发展有限公司子公司，股权占比</w:t>
      </w:r>
      <w:r>
        <w:rPr>
          <w:rFonts w:ascii="仿宋" w:hAnsi="仿宋" w:eastAsia="仿宋"/>
          <w:sz w:val="32"/>
          <w:szCs w:val="32"/>
          <w:highlight w:val="none"/>
        </w:rPr>
        <w:t>67%</w:t>
      </w:r>
      <w:r>
        <w:rPr>
          <w:rFonts w:hint="eastAsia" w:ascii="仿宋" w:hAnsi="仿宋" w:eastAsia="仿宋"/>
          <w:sz w:val="32"/>
          <w:szCs w:val="32"/>
          <w:highlight w:val="none"/>
        </w:rPr>
        <w:t>。以上五家公司工商注册点均在浙江省舟山市普陀区和定海区。</w:t>
      </w:r>
    </w:p>
    <w:p>
      <w:pPr>
        <w:spacing w:line="580" w:lineRule="exact"/>
        <w:ind w:firstLine="646"/>
        <w:rPr>
          <w:rFonts w:ascii="仿宋" w:hAnsi="仿宋" w:eastAsia="仿宋"/>
          <w:sz w:val="32"/>
          <w:szCs w:val="32"/>
          <w:highlight w:val="none"/>
        </w:rPr>
      </w:pPr>
      <w:r>
        <w:rPr>
          <w:rFonts w:hint="eastAsia" w:ascii="仿宋" w:hAnsi="仿宋" w:eastAsia="仿宋"/>
          <w:sz w:val="32"/>
          <w:szCs w:val="32"/>
          <w:highlight w:val="none"/>
        </w:rPr>
        <w:t>现根据相关要求，就上述五家公司资金存放开户银行，采取公开招标方式，择优评定合作金融机构。</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2</w:t>
      </w:r>
      <w:r>
        <w:rPr>
          <w:rFonts w:hint="eastAsia" w:ascii="仿宋" w:hAnsi="仿宋" w:eastAsia="仿宋"/>
          <w:b/>
          <w:bCs/>
          <w:sz w:val="32"/>
          <w:szCs w:val="32"/>
          <w:highlight w:val="none"/>
        </w:rPr>
        <w:t>．招标内容</w:t>
      </w:r>
    </w:p>
    <w:p>
      <w:pPr>
        <w:spacing w:line="580" w:lineRule="exact"/>
        <w:ind w:firstLine="629"/>
        <w:rPr>
          <w:rFonts w:ascii="仿宋" w:hAnsi="仿宋" w:eastAsia="仿宋"/>
          <w:sz w:val="32"/>
          <w:szCs w:val="32"/>
          <w:highlight w:val="none"/>
        </w:rPr>
      </w:pPr>
      <w:r>
        <w:rPr>
          <w:rFonts w:ascii="仿宋" w:hAnsi="仿宋" w:eastAsia="仿宋"/>
          <w:sz w:val="32"/>
          <w:szCs w:val="32"/>
          <w:highlight w:val="none"/>
        </w:rPr>
        <w:t>2.1</w:t>
      </w:r>
      <w:r>
        <w:rPr>
          <w:rFonts w:hint="eastAsia" w:ascii="仿宋" w:hAnsi="仿宋" w:eastAsia="仿宋"/>
          <w:sz w:val="32"/>
          <w:szCs w:val="32"/>
          <w:highlight w:val="none"/>
        </w:rPr>
        <w:t>本次资金存放（均为人民币）银行开户招标共设一个标段，共同选定一家合作金融机构，具体为：</w:t>
      </w:r>
    </w:p>
    <w:p>
      <w:pPr>
        <w:spacing w:line="580" w:lineRule="exact"/>
        <w:ind w:firstLine="629"/>
        <w:rPr>
          <w:rFonts w:ascii="仿宋" w:hAnsi="仿宋" w:eastAsia="仿宋"/>
          <w:sz w:val="32"/>
          <w:szCs w:val="32"/>
          <w:highlight w:val="none"/>
        </w:rPr>
      </w:pPr>
      <w:r>
        <w:rPr>
          <w:rFonts w:hint="eastAsia" w:ascii="仿宋" w:hAnsi="仿宋" w:eastAsia="仿宋" w:cs="Arial"/>
          <w:kern w:val="0"/>
          <w:sz w:val="32"/>
          <w:szCs w:val="32"/>
          <w:highlight w:val="none"/>
        </w:rPr>
        <w:t>舟山民航集团有限公司及下属公司</w:t>
      </w:r>
      <w:r>
        <w:rPr>
          <w:rFonts w:hint="eastAsia" w:ascii="仿宋" w:hAnsi="仿宋" w:eastAsia="仿宋"/>
          <w:sz w:val="32"/>
          <w:szCs w:val="32"/>
          <w:highlight w:val="none"/>
        </w:rPr>
        <w:t>资金存放开户银行；</w:t>
      </w:r>
    </w:p>
    <w:p>
      <w:pPr>
        <w:spacing w:line="580" w:lineRule="exact"/>
        <w:ind w:firstLine="629"/>
        <w:rPr>
          <w:rFonts w:ascii="仿宋" w:hAnsi="仿宋" w:eastAsia="仿宋"/>
          <w:sz w:val="32"/>
          <w:szCs w:val="32"/>
          <w:highlight w:val="none"/>
        </w:rPr>
      </w:pPr>
      <w:r>
        <w:rPr>
          <w:rFonts w:ascii="仿宋" w:hAnsi="仿宋" w:eastAsia="仿宋"/>
          <w:sz w:val="32"/>
          <w:szCs w:val="32"/>
          <w:highlight w:val="none"/>
        </w:rPr>
        <w:t>2.2</w:t>
      </w:r>
      <w:r>
        <w:rPr>
          <w:rFonts w:hint="eastAsia" w:ascii="仿宋" w:hAnsi="仿宋" w:eastAsia="仿宋"/>
          <w:sz w:val="32"/>
          <w:szCs w:val="32"/>
          <w:highlight w:val="none"/>
        </w:rPr>
        <w:t>账户主要用途：</w:t>
      </w:r>
    </w:p>
    <w:p>
      <w:pPr>
        <w:spacing w:line="580" w:lineRule="exact"/>
        <w:ind w:firstLine="629"/>
        <w:rPr>
          <w:rFonts w:ascii="仿宋" w:hAnsi="仿宋" w:eastAsia="仿宋"/>
          <w:sz w:val="32"/>
          <w:szCs w:val="32"/>
          <w:highlight w:val="none"/>
        </w:rPr>
      </w:pPr>
      <w:r>
        <w:rPr>
          <w:rFonts w:hint="eastAsia" w:ascii="仿宋" w:hAnsi="仿宋" w:eastAsia="仿宋" w:cs="Arial"/>
          <w:kern w:val="0"/>
          <w:sz w:val="32"/>
          <w:szCs w:val="32"/>
          <w:highlight w:val="none"/>
        </w:rPr>
        <w:t>舟山民航集团有限公司及下属公司各自</w:t>
      </w:r>
      <w:r>
        <w:rPr>
          <w:rFonts w:hint="eastAsia" w:ascii="仿宋" w:hAnsi="仿宋" w:eastAsia="仿宋"/>
          <w:sz w:val="32"/>
          <w:szCs w:val="32"/>
          <w:highlight w:val="none"/>
        </w:rPr>
        <w:t>的银行账户，主要是存放日常经营活动所产生的资金，但不包括地方财政拨入的专项资金、项目建设基建贷款专项资金等。</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3</w:t>
      </w:r>
      <w:r>
        <w:rPr>
          <w:rFonts w:hint="eastAsia" w:ascii="仿宋" w:hAnsi="仿宋" w:eastAsia="仿宋"/>
          <w:b/>
          <w:bCs/>
          <w:sz w:val="32"/>
          <w:szCs w:val="32"/>
          <w:highlight w:val="none"/>
        </w:rPr>
        <w:t>．投标响应内容和要求</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3.1</w:t>
      </w:r>
      <w:r>
        <w:rPr>
          <w:rFonts w:hint="eastAsia" w:ascii="仿宋" w:hAnsi="仿宋" w:eastAsia="仿宋"/>
          <w:sz w:val="32"/>
          <w:szCs w:val="32"/>
          <w:highlight w:val="none"/>
        </w:rPr>
        <w:t>承诺可提供的存款利率，包括：活期存款、协定存款、大额存单、定期存款的利率，以及今后利率调整政策；</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3.2</w:t>
      </w:r>
      <w:r>
        <w:rPr>
          <w:rFonts w:hint="eastAsia" w:ascii="仿宋" w:hAnsi="仿宋" w:eastAsia="仿宋"/>
          <w:sz w:val="32"/>
          <w:szCs w:val="32"/>
          <w:highlight w:val="none"/>
        </w:rPr>
        <w:t>承诺可提供的配套金融服务；</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3.3</w:t>
      </w:r>
      <w:r>
        <w:rPr>
          <w:rFonts w:hint="eastAsia" w:ascii="仿宋" w:hAnsi="仿宋" w:eastAsia="仿宋"/>
          <w:sz w:val="32"/>
          <w:szCs w:val="32"/>
          <w:highlight w:val="none"/>
        </w:rPr>
        <w:t>投标单位的资质（包括近三年人行综合评价得分及银监监管评级）、外部信用评级，以及与民航集团及下属公司过往合作主要业绩；</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3.4</w:t>
      </w:r>
      <w:r>
        <w:rPr>
          <w:rFonts w:hint="eastAsia" w:ascii="仿宋" w:hAnsi="仿宋" w:eastAsia="仿宋"/>
          <w:sz w:val="32"/>
          <w:szCs w:val="32"/>
          <w:highlight w:val="none"/>
        </w:rPr>
        <w:t>其他需说明的情况。</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4</w:t>
      </w:r>
      <w:r>
        <w:rPr>
          <w:rFonts w:hint="eastAsia" w:ascii="仿宋" w:hAnsi="仿宋" w:eastAsia="仿宋"/>
          <w:b/>
          <w:bCs/>
          <w:sz w:val="32"/>
          <w:szCs w:val="32"/>
          <w:highlight w:val="none"/>
        </w:rPr>
        <w:t>．项目期限</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本项目招标选定的金融机构合作期限为</w:t>
      </w:r>
      <w:r>
        <w:rPr>
          <w:rFonts w:ascii="仿宋" w:hAnsi="仿宋" w:eastAsia="仿宋"/>
          <w:sz w:val="32"/>
          <w:szCs w:val="32"/>
          <w:highlight w:val="none"/>
        </w:rPr>
        <w:t>2</w:t>
      </w:r>
      <w:r>
        <w:rPr>
          <w:rFonts w:hint="eastAsia" w:ascii="仿宋" w:hAnsi="仿宋" w:eastAsia="仿宋"/>
          <w:sz w:val="32"/>
          <w:szCs w:val="32"/>
          <w:highlight w:val="none"/>
        </w:rPr>
        <w:t>年。</w:t>
      </w:r>
    </w:p>
    <w:p>
      <w:pPr>
        <w:spacing w:line="580" w:lineRule="exact"/>
        <w:ind w:firstLine="643" w:firstLineChars="200"/>
        <w:rPr>
          <w:rFonts w:ascii="仿宋" w:hAnsi="仿宋" w:eastAsia="仿宋"/>
          <w:b/>
          <w:bCs/>
          <w:sz w:val="32"/>
          <w:szCs w:val="32"/>
          <w:highlight w:val="none"/>
        </w:rPr>
      </w:pPr>
      <w:r>
        <w:rPr>
          <w:rFonts w:ascii="仿宋" w:hAnsi="仿宋" w:eastAsia="仿宋"/>
          <w:b/>
          <w:bCs/>
          <w:sz w:val="32"/>
          <w:szCs w:val="32"/>
          <w:highlight w:val="none"/>
        </w:rPr>
        <w:t>5</w:t>
      </w:r>
      <w:r>
        <w:rPr>
          <w:rFonts w:hint="eastAsia" w:ascii="仿宋" w:hAnsi="仿宋" w:eastAsia="仿宋"/>
          <w:b/>
          <w:bCs/>
          <w:sz w:val="32"/>
          <w:szCs w:val="32"/>
          <w:highlight w:val="none"/>
        </w:rPr>
        <w:t>．特别说明</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5.1</w:t>
      </w:r>
      <w:r>
        <w:rPr>
          <w:rFonts w:hint="eastAsia" w:ascii="仿宋" w:hAnsi="仿宋" w:eastAsia="仿宋"/>
          <w:sz w:val="32"/>
          <w:szCs w:val="32"/>
          <w:highlight w:val="none"/>
        </w:rPr>
        <w:t>在符合金融机构有关规定的前提下，招标人根据自身业务需要，有权随时对存放资金进行使用，包括：提现、支付、划款等；</w:t>
      </w:r>
    </w:p>
    <w:p>
      <w:pPr>
        <w:spacing w:line="580" w:lineRule="exact"/>
        <w:ind w:firstLine="629"/>
        <w:rPr>
          <w:rFonts w:ascii="仿宋" w:hAnsi="仿宋" w:eastAsia="仿宋"/>
          <w:sz w:val="32"/>
          <w:szCs w:val="32"/>
          <w:highlight w:val="none"/>
        </w:rPr>
      </w:pPr>
      <w:r>
        <w:rPr>
          <w:rFonts w:ascii="仿宋" w:hAnsi="仿宋" w:eastAsia="仿宋"/>
          <w:sz w:val="32"/>
          <w:szCs w:val="32"/>
          <w:highlight w:val="none"/>
        </w:rPr>
        <w:t>5.2</w:t>
      </w:r>
      <w:r>
        <w:rPr>
          <w:rFonts w:hint="eastAsia" w:ascii="仿宋" w:hAnsi="仿宋" w:eastAsia="仿宋"/>
          <w:sz w:val="32"/>
          <w:szCs w:val="32"/>
          <w:highlight w:val="none"/>
        </w:rPr>
        <w:t>因行业或政府主管部门的要求，指定存放的款项在上述招标范围内均有可能调整。</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5.3</w:t>
      </w:r>
      <w:r>
        <w:rPr>
          <w:rFonts w:ascii="仿宋" w:hAnsi="仿宋" w:eastAsia="仿宋"/>
          <w:sz w:val="32"/>
          <w:szCs w:val="32"/>
          <w:highlight w:val="none"/>
        </w:rPr>
        <w:tab/>
      </w:r>
      <w:r>
        <w:rPr>
          <w:rFonts w:hint="eastAsia" w:ascii="仿宋" w:hAnsi="仿宋" w:eastAsia="仿宋"/>
          <w:sz w:val="32"/>
          <w:szCs w:val="32"/>
          <w:highlight w:val="none"/>
        </w:rPr>
        <w:t>对招标文件的修改将采用补充公告的形式发布，所有获得招标文件的投标人应自行关注网站公告，招标人不再一一通知。投标人因自身未及时关注网站公告导致投标失败的，招标人不承担任何责任。</w:t>
      </w:r>
    </w:p>
    <w:p>
      <w:pPr>
        <w:spacing w:line="580" w:lineRule="exact"/>
        <w:ind w:firstLine="640" w:firstLineChars="200"/>
        <w:rPr>
          <w:rFonts w:ascii="仿宋" w:hAnsi="仿宋" w:eastAsia="仿宋"/>
          <w:b/>
          <w:bCs/>
          <w:sz w:val="32"/>
          <w:szCs w:val="32"/>
          <w:highlight w:val="none"/>
        </w:rPr>
      </w:pPr>
      <w:r>
        <w:rPr>
          <w:rFonts w:ascii="仿宋" w:hAnsi="仿宋" w:eastAsia="仿宋"/>
          <w:sz w:val="32"/>
          <w:szCs w:val="32"/>
          <w:highlight w:val="none"/>
        </w:rPr>
        <w:t>5.4</w:t>
      </w:r>
      <w:r>
        <w:rPr>
          <w:rFonts w:hint="eastAsia" w:ascii="仿宋" w:hAnsi="仿宋" w:eastAsia="仿宋"/>
          <w:sz w:val="32"/>
          <w:szCs w:val="32"/>
          <w:highlight w:val="none"/>
        </w:rPr>
        <w:t>招标结束后，由招标人和中标人统一组织服务协议的签订工作，协议签订主体为标的公司与所属区域内的中标人具体服务机构。</w:t>
      </w:r>
      <w:r>
        <w:rPr>
          <w:rFonts w:ascii="黑体" w:hAnsi="Times New Roman" w:eastAsia="黑体"/>
          <w:b/>
          <w:bCs/>
          <w:sz w:val="32"/>
          <w:szCs w:val="32"/>
          <w:highlight w:val="none"/>
        </w:rPr>
        <w:br w:type="page"/>
      </w:r>
    </w:p>
    <w:p>
      <w:pPr>
        <w:spacing w:line="580" w:lineRule="exact"/>
        <w:jc w:val="center"/>
        <w:rPr>
          <w:rFonts w:ascii="方正小标宋简体" w:hAnsi="仿宋" w:eastAsia="方正小标宋简体"/>
          <w:bCs/>
          <w:sz w:val="32"/>
          <w:szCs w:val="32"/>
          <w:highlight w:val="none"/>
        </w:rPr>
      </w:pPr>
      <w:r>
        <w:rPr>
          <w:rFonts w:hint="eastAsia" w:ascii="方正小标宋简体" w:hAnsi="仿宋" w:eastAsia="方正小标宋简体"/>
          <w:bCs/>
          <w:sz w:val="32"/>
          <w:szCs w:val="32"/>
          <w:highlight w:val="none"/>
        </w:rPr>
        <w:t>二、投标须知</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1</w:t>
      </w:r>
      <w:r>
        <w:rPr>
          <w:rFonts w:hint="eastAsia" w:ascii="仿宋" w:hAnsi="仿宋" w:eastAsia="仿宋"/>
          <w:b/>
          <w:bCs/>
          <w:sz w:val="32"/>
          <w:szCs w:val="32"/>
          <w:highlight w:val="none"/>
        </w:rPr>
        <w:t>．投标单位资质要求</w:t>
      </w:r>
    </w:p>
    <w:p>
      <w:pPr>
        <w:spacing w:line="580" w:lineRule="exact"/>
        <w:ind w:firstLine="640" w:firstLineChars="200"/>
        <w:rPr>
          <w:rFonts w:ascii="仿宋" w:hAnsi="仿宋" w:eastAsia="仿宋" w:cs="Arial"/>
          <w:kern w:val="0"/>
          <w:sz w:val="32"/>
          <w:szCs w:val="32"/>
          <w:highlight w:val="none"/>
        </w:rPr>
      </w:pPr>
      <w:r>
        <w:rPr>
          <w:rFonts w:ascii="仿宋" w:hAnsi="仿宋" w:eastAsia="仿宋"/>
          <w:sz w:val="32"/>
          <w:szCs w:val="32"/>
          <w:highlight w:val="none"/>
        </w:rPr>
        <w:t>1.1</w:t>
      </w:r>
      <w:r>
        <w:rPr>
          <w:rFonts w:hint="eastAsia" w:ascii="仿宋" w:hAnsi="仿宋" w:eastAsia="仿宋" w:cs="Arial"/>
          <w:kern w:val="0"/>
          <w:sz w:val="32"/>
          <w:szCs w:val="32"/>
          <w:highlight w:val="none"/>
        </w:rPr>
        <w:t>参加投标的单位必须提供有效的分支机构金融业务许可证，具有在对应标段公司当地从事相关金融服务的资质。投标单位获中国人民银行舟山市中心支行最近年度综合评价</w:t>
      </w:r>
      <w:r>
        <w:rPr>
          <w:rFonts w:ascii="仿宋" w:hAnsi="仿宋" w:eastAsia="仿宋" w:cs="Arial"/>
          <w:kern w:val="0"/>
          <w:sz w:val="32"/>
          <w:szCs w:val="32"/>
          <w:highlight w:val="none"/>
        </w:rPr>
        <w:t>B</w:t>
      </w:r>
      <w:r>
        <w:rPr>
          <w:rFonts w:hint="eastAsia" w:ascii="仿宋" w:hAnsi="仿宋" w:eastAsia="仿宋" w:cs="Arial"/>
          <w:kern w:val="0"/>
          <w:sz w:val="32"/>
          <w:szCs w:val="32"/>
          <w:highlight w:val="none"/>
        </w:rPr>
        <w:t>级及以上（其中：城市商业银行要求最近年度综合评价</w:t>
      </w:r>
      <w:r>
        <w:rPr>
          <w:rFonts w:ascii="仿宋" w:hAnsi="仿宋" w:eastAsia="仿宋" w:cs="Arial"/>
          <w:kern w:val="0"/>
          <w:sz w:val="32"/>
          <w:szCs w:val="32"/>
          <w:highlight w:val="none"/>
        </w:rPr>
        <w:t>A</w:t>
      </w:r>
      <w:r>
        <w:rPr>
          <w:rFonts w:hint="eastAsia" w:ascii="仿宋" w:hAnsi="仿宋" w:eastAsia="仿宋" w:cs="Arial"/>
          <w:kern w:val="0"/>
          <w:sz w:val="32"/>
          <w:szCs w:val="32"/>
          <w:highlight w:val="none"/>
        </w:rPr>
        <w:t>级），浙江银监局最近年度监管评级</w:t>
      </w:r>
      <w:r>
        <w:rPr>
          <w:rFonts w:ascii="仿宋" w:hAnsi="仿宋" w:eastAsia="仿宋" w:cs="Arial"/>
          <w:kern w:val="0"/>
          <w:sz w:val="32"/>
          <w:szCs w:val="32"/>
          <w:highlight w:val="none"/>
        </w:rPr>
        <w:t>2</w:t>
      </w:r>
      <w:r>
        <w:rPr>
          <w:rFonts w:hint="eastAsia" w:ascii="仿宋" w:hAnsi="仿宋" w:eastAsia="仿宋" w:cs="Arial"/>
          <w:kern w:val="0"/>
          <w:sz w:val="32"/>
          <w:szCs w:val="32"/>
          <w:highlight w:val="none"/>
        </w:rPr>
        <w:t>级及以上。</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1.2</w:t>
      </w:r>
      <w:r>
        <w:rPr>
          <w:rFonts w:hint="eastAsia" w:ascii="仿宋" w:hAnsi="仿宋" w:eastAsia="仿宋"/>
          <w:sz w:val="32"/>
          <w:szCs w:val="32"/>
          <w:highlight w:val="none"/>
        </w:rPr>
        <w:t>应具有足够的资源和能力来有效地履行合同。</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1.3</w:t>
      </w:r>
      <w:r>
        <w:rPr>
          <w:rFonts w:hint="eastAsia" w:ascii="仿宋" w:hAnsi="仿宋" w:eastAsia="仿宋"/>
          <w:sz w:val="32"/>
          <w:szCs w:val="32"/>
          <w:highlight w:val="none"/>
        </w:rPr>
        <w:t>投标人应认真、如实地填写投标书的有关内容（特别是贷款历史合作记录），如弄虚作假或虚报有关数据，一经发现查实，取消其中标资格。</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1.4</w:t>
      </w:r>
      <w:r>
        <w:rPr>
          <w:rFonts w:hint="eastAsia" w:ascii="仿宋" w:hAnsi="仿宋" w:eastAsia="仿宋"/>
          <w:sz w:val="32"/>
          <w:szCs w:val="32"/>
          <w:highlight w:val="none"/>
        </w:rPr>
        <w:t>投标单位应为市级或以上金融机构，投标时须同时提供具体服务所投标段公司的分支机构营业执照及金融业务许可证。</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2</w:t>
      </w:r>
      <w:r>
        <w:rPr>
          <w:rFonts w:hint="eastAsia" w:ascii="仿宋" w:hAnsi="仿宋" w:eastAsia="仿宋"/>
          <w:b/>
          <w:bCs/>
          <w:sz w:val="32"/>
          <w:szCs w:val="32"/>
          <w:highlight w:val="none"/>
        </w:rPr>
        <w:t>．投标文件内容</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2.1</w:t>
      </w:r>
      <w:r>
        <w:rPr>
          <w:rFonts w:hint="eastAsia" w:ascii="仿宋" w:hAnsi="仿宋" w:eastAsia="仿宋"/>
          <w:sz w:val="32"/>
          <w:szCs w:val="32"/>
          <w:highlight w:val="none"/>
        </w:rPr>
        <w:t>投标文件由投标书部分、商务部分和技术部分三部分组成。</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2.2</w:t>
      </w:r>
      <w:r>
        <w:rPr>
          <w:rFonts w:hint="eastAsia" w:ascii="仿宋" w:hAnsi="仿宋" w:eastAsia="仿宋"/>
          <w:sz w:val="32"/>
          <w:szCs w:val="32"/>
          <w:highlight w:val="none"/>
        </w:rPr>
        <w:t>投标书部分主要包括下列内容：</w:t>
      </w:r>
    </w:p>
    <w:p>
      <w:pPr>
        <w:autoSpaceDE w:val="0"/>
        <w:autoSpaceDN w:val="0"/>
        <w:adjustRightInd w:val="0"/>
        <w:spacing w:line="58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1</w:t>
      </w:r>
      <w:r>
        <w:rPr>
          <w:rFonts w:hint="eastAsia" w:ascii="仿宋" w:hAnsi="仿宋" w:eastAsia="仿宋"/>
          <w:sz w:val="32"/>
          <w:szCs w:val="32"/>
          <w:highlight w:val="none"/>
        </w:rPr>
        <w:t>）投标书。包括投标说明：投标人的概况，具体服务分支机构的概况，过往的银企合作历史及市场认可度，投标书的编制说明。</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2</w:t>
      </w:r>
      <w:r>
        <w:rPr>
          <w:rFonts w:hint="eastAsia" w:ascii="仿宋" w:hAnsi="仿宋" w:eastAsia="仿宋"/>
          <w:sz w:val="32"/>
          <w:szCs w:val="32"/>
          <w:highlight w:val="none"/>
        </w:rPr>
        <w:t>）法定代表人身份证明书。</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3</w:t>
      </w:r>
      <w:r>
        <w:rPr>
          <w:rFonts w:hint="eastAsia" w:ascii="仿宋" w:hAnsi="仿宋" w:eastAsia="仿宋"/>
          <w:sz w:val="32"/>
          <w:szCs w:val="32"/>
          <w:highlight w:val="none"/>
        </w:rPr>
        <w:t>）投标文件签署授权委托书。</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4</w:t>
      </w:r>
      <w:r>
        <w:rPr>
          <w:rFonts w:hint="eastAsia" w:ascii="仿宋" w:hAnsi="仿宋" w:eastAsia="仿宋"/>
          <w:sz w:val="32"/>
          <w:szCs w:val="32"/>
          <w:highlight w:val="none"/>
        </w:rPr>
        <w:t>）资格证明文件（企业营业执照、资质证书等复印件，需加盖公章）</w:t>
      </w:r>
      <w:r>
        <w:rPr>
          <w:rFonts w:ascii="仿宋" w:hAnsi="仿宋" w:eastAsia="仿宋"/>
          <w:sz w:val="32"/>
          <w:szCs w:val="32"/>
          <w:highlight w:val="none"/>
        </w:rPr>
        <w:t>,</w:t>
      </w:r>
      <w:r>
        <w:rPr>
          <w:rFonts w:hint="eastAsia" w:ascii="仿宋" w:hAnsi="仿宋" w:eastAsia="仿宋"/>
          <w:sz w:val="32"/>
          <w:szCs w:val="32"/>
          <w:highlight w:val="none"/>
        </w:rPr>
        <w:t>如证明文件复印件模糊影响辨认的</w:t>
      </w:r>
      <w:r>
        <w:rPr>
          <w:rFonts w:ascii="仿宋" w:hAnsi="仿宋" w:eastAsia="仿宋"/>
          <w:sz w:val="32"/>
          <w:szCs w:val="32"/>
          <w:highlight w:val="none"/>
        </w:rPr>
        <w:t>,</w:t>
      </w:r>
      <w:r>
        <w:rPr>
          <w:rFonts w:hint="eastAsia" w:ascii="仿宋" w:hAnsi="仿宋" w:eastAsia="仿宋"/>
          <w:sz w:val="32"/>
          <w:szCs w:val="32"/>
          <w:highlight w:val="none"/>
        </w:rPr>
        <w:t>须提供原件现场备查。</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5</w:t>
      </w:r>
      <w:r>
        <w:rPr>
          <w:rFonts w:hint="eastAsia" w:ascii="仿宋" w:hAnsi="仿宋" w:eastAsia="仿宋"/>
          <w:sz w:val="32"/>
          <w:szCs w:val="32"/>
          <w:highlight w:val="none"/>
        </w:rPr>
        <w:t>）法定代表人及被授权人身份证复印件。</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6</w:t>
      </w:r>
      <w:r>
        <w:rPr>
          <w:rFonts w:hint="eastAsia" w:ascii="仿宋" w:hAnsi="仿宋" w:eastAsia="仿宋"/>
          <w:sz w:val="32"/>
          <w:szCs w:val="32"/>
          <w:highlight w:val="none"/>
        </w:rPr>
        <w:t>）其他资信证明材料。</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2.3</w:t>
      </w:r>
      <w:r>
        <w:rPr>
          <w:rFonts w:hint="eastAsia" w:ascii="仿宋" w:hAnsi="仿宋" w:eastAsia="仿宋"/>
          <w:sz w:val="32"/>
          <w:szCs w:val="32"/>
          <w:highlight w:val="none"/>
        </w:rPr>
        <w:t>商务部分主要包括下列内容：</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1</w:t>
      </w:r>
      <w:r>
        <w:rPr>
          <w:rFonts w:hint="eastAsia" w:ascii="仿宋" w:hAnsi="仿宋" w:eastAsia="仿宋"/>
          <w:sz w:val="32"/>
          <w:szCs w:val="32"/>
          <w:highlight w:val="none"/>
        </w:rPr>
        <w:t>）存款利率报价，利率调整说明；</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2.4</w:t>
      </w:r>
      <w:r>
        <w:rPr>
          <w:rFonts w:hint="eastAsia" w:ascii="仿宋" w:hAnsi="仿宋" w:eastAsia="仿宋"/>
          <w:sz w:val="32"/>
          <w:szCs w:val="32"/>
          <w:highlight w:val="none"/>
        </w:rPr>
        <w:t>技术部分主要包括下列内容：</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1</w:t>
      </w:r>
      <w:r>
        <w:rPr>
          <w:rFonts w:hint="eastAsia" w:ascii="仿宋" w:hAnsi="仿宋" w:eastAsia="仿宋"/>
          <w:sz w:val="32"/>
          <w:szCs w:val="32"/>
          <w:highlight w:val="none"/>
        </w:rPr>
        <w:t>）投标单位资质、信用评级；</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2</w:t>
      </w:r>
      <w:r>
        <w:rPr>
          <w:rFonts w:hint="eastAsia" w:ascii="仿宋" w:hAnsi="仿宋" w:eastAsia="仿宋"/>
          <w:sz w:val="32"/>
          <w:szCs w:val="32"/>
          <w:highlight w:val="none"/>
        </w:rPr>
        <w:t>）可提供的配套金融服务；</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3</w:t>
      </w:r>
      <w:r>
        <w:rPr>
          <w:rFonts w:hint="eastAsia" w:ascii="仿宋" w:hAnsi="仿宋" w:eastAsia="仿宋"/>
          <w:sz w:val="32"/>
          <w:szCs w:val="32"/>
          <w:highlight w:val="none"/>
        </w:rPr>
        <w:t>）若与集团公司及下属公司有过往合作主要业绩，需提供相关证明文件。</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2.5</w:t>
      </w:r>
      <w:r>
        <w:rPr>
          <w:rFonts w:hint="eastAsia" w:ascii="仿宋" w:hAnsi="仿宋" w:eastAsia="仿宋"/>
          <w:sz w:val="32"/>
          <w:szCs w:val="32"/>
          <w:highlight w:val="none"/>
        </w:rPr>
        <w:t>其他资料。</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3</w:t>
      </w:r>
      <w:r>
        <w:rPr>
          <w:rFonts w:hint="eastAsia" w:ascii="仿宋" w:hAnsi="仿宋" w:eastAsia="仿宋"/>
          <w:b/>
          <w:bCs/>
          <w:sz w:val="32"/>
          <w:szCs w:val="32"/>
          <w:highlight w:val="none"/>
        </w:rPr>
        <w:t>．投标报价</w:t>
      </w:r>
    </w:p>
    <w:p>
      <w:pPr>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3.1</w:t>
      </w:r>
      <w:r>
        <w:rPr>
          <w:rFonts w:hint="eastAsia" w:ascii="仿宋" w:hAnsi="仿宋" w:eastAsia="仿宋"/>
          <w:sz w:val="32"/>
          <w:szCs w:val="32"/>
          <w:highlight w:val="none"/>
        </w:rPr>
        <w:t>参照中国人民银行公布的基准利率和利率浮动调整政策、规定，自行考虑优惠幅度进行报价，并承担相应的风险责任。</w:t>
      </w:r>
    </w:p>
    <w:p>
      <w:pPr>
        <w:spacing w:line="580" w:lineRule="exact"/>
        <w:ind w:firstLine="627" w:firstLineChars="196"/>
        <w:rPr>
          <w:rFonts w:ascii="仿宋" w:hAnsi="仿宋" w:eastAsia="仿宋"/>
          <w:sz w:val="32"/>
          <w:szCs w:val="32"/>
          <w:highlight w:val="none"/>
        </w:rPr>
      </w:pPr>
      <w:r>
        <w:rPr>
          <w:rFonts w:ascii="仿宋" w:hAnsi="仿宋" w:eastAsia="仿宋"/>
          <w:sz w:val="32"/>
          <w:szCs w:val="32"/>
          <w:highlight w:val="none"/>
        </w:rPr>
        <w:t xml:space="preserve">3.2 </w:t>
      </w:r>
      <w:r>
        <w:rPr>
          <w:rFonts w:hint="eastAsia" w:ascii="仿宋" w:hAnsi="仿宋" w:eastAsia="仿宋"/>
          <w:sz w:val="32"/>
          <w:szCs w:val="32"/>
          <w:highlight w:val="none"/>
        </w:rPr>
        <w:t>根据投标响应内容和要求，对活期存款、协定存款、定期存款利率、法人透支额度、法人透支利率进行报价。</w:t>
      </w:r>
    </w:p>
    <w:p>
      <w:pPr>
        <w:spacing w:line="580" w:lineRule="exact"/>
        <w:ind w:firstLine="629"/>
        <w:rPr>
          <w:rFonts w:ascii="仿宋" w:hAnsi="仿宋" w:eastAsia="仿宋"/>
          <w:sz w:val="32"/>
          <w:szCs w:val="32"/>
          <w:highlight w:val="none"/>
        </w:rPr>
      </w:pPr>
      <w:r>
        <w:rPr>
          <w:rFonts w:ascii="仿宋" w:hAnsi="仿宋" w:eastAsia="仿宋"/>
          <w:sz w:val="32"/>
          <w:szCs w:val="32"/>
          <w:highlight w:val="none"/>
        </w:rPr>
        <w:t>3.3</w:t>
      </w:r>
      <w:r>
        <w:rPr>
          <w:rFonts w:hint="eastAsia" w:ascii="仿宋" w:hAnsi="仿宋" w:eastAsia="仿宋"/>
          <w:sz w:val="32"/>
          <w:szCs w:val="32"/>
          <w:highlight w:val="none"/>
        </w:rPr>
        <w:t>各投标人应根据招标文件要求，编制投标文件，正本一份、副本四份，密封递交，并在</w:t>
      </w:r>
      <w:r>
        <w:rPr>
          <w:rFonts w:hint="eastAsia" w:ascii="仿宋" w:hAnsi="仿宋" w:eastAsia="仿宋" w:cs="仿宋_GB2312"/>
          <w:sz w:val="32"/>
          <w:szCs w:val="32"/>
          <w:highlight w:val="none"/>
        </w:rPr>
        <w:t>密封封面上注明标段</w:t>
      </w:r>
      <w:r>
        <w:rPr>
          <w:rFonts w:hint="eastAsia" w:ascii="仿宋" w:hAnsi="仿宋" w:eastAsia="仿宋"/>
          <w:sz w:val="32"/>
          <w:szCs w:val="32"/>
          <w:highlight w:val="none"/>
        </w:rPr>
        <w:t>。</w:t>
      </w:r>
    </w:p>
    <w:p>
      <w:pPr>
        <w:spacing w:line="580" w:lineRule="exact"/>
        <w:ind w:firstLine="627" w:firstLineChars="196"/>
        <w:rPr>
          <w:rFonts w:ascii="仿宋" w:hAnsi="仿宋" w:eastAsia="仿宋"/>
          <w:sz w:val="32"/>
          <w:szCs w:val="32"/>
          <w:highlight w:val="none"/>
        </w:rPr>
      </w:pPr>
      <w:r>
        <w:rPr>
          <w:rFonts w:ascii="仿宋" w:hAnsi="仿宋" w:eastAsia="仿宋"/>
          <w:sz w:val="32"/>
          <w:szCs w:val="32"/>
          <w:highlight w:val="none"/>
        </w:rPr>
        <w:t>3.4</w:t>
      </w:r>
      <w:r>
        <w:rPr>
          <w:rFonts w:hint="eastAsia" w:ascii="仿宋" w:hAnsi="仿宋" w:eastAsia="仿宋"/>
          <w:sz w:val="32"/>
          <w:szCs w:val="32"/>
          <w:highlight w:val="none"/>
        </w:rPr>
        <w:t>投标有效期为</w:t>
      </w:r>
      <w:r>
        <w:rPr>
          <w:rFonts w:ascii="仿宋" w:hAnsi="仿宋" w:eastAsia="仿宋"/>
          <w:sz w:val="32"/>
          <w:szCs w:val="32"/>
          <w:highlight w:val="none"/>
        </w:rPr>
        <w:t>90</w:t>
      </w:r>
      <w:r>
        <w:rPr>
          <w:rFonts w:hint="eastAsia" w:ascii="仿宋" w:hAnsi="仿宋" w:eastAsia="仿宋"/>
          <w:sz w:val="32"/>
          <w:szCs w:val="32"/>
          <w:highlight w:val="none"/>
        </w:rPr>
        <w:t>日历天。</w:t>
      </w:r>
    </w:p>
    <w:p>
      <w:pPr>
        <w:spacing w:line="580" w:lineRule="exact"/>
        <w:ind w:firstLine="630" w:firstLineChars="196"/>
        <w:rPr>
          <w:rFonts w:ascii="仿宋" w:hAnsi="仿宋" w:eastAsia="仿宋"/>
          <w:b/>
          <w:bCs/>
          <w:sz w:val="32"/>
          <w:szCs w:val="32"/>
          <w:highlight w:val="none"/>
        </w:rPr>
      </w:pPr>
      <w:r>
        <w:rPr>
          <w:rFonts w:ascii="仿宋" w:hAnsi="仿宋" w:eastAsia="仿宋"/>
          <w:b/>
          <w:bCs/>
          <w:sz w:val="32"/>
          <w:szCs w:val="32"/>
          <w:highlight w:val="none"/>
        </w:rPr>
        <w:t>4</w:t>
      </w:r>
      <w:r>
        <w:rPr>
          <w:rFonts w:hint="eastAsia" w:ascii="仿宋" w:hAnsi="仿宋" w:eastAsia="仿宋"/>
          <w:b/>
          <w:bCs/>
          <w:sz w:val="32"/>
          <w:szCs w:val="32"/>
          <w:highlight w:val="none"/>
        </w:rPr>
        <w:t>．违约责任</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在人民银行利率政策未发生重大变化的情况下，如中标人未能兑现投标文件及最终签署的合同中的陈述、承诺及义务的，招标人有权立即终止合同，并有权就实际的利息收支与中标人承诺的利息收支差额向中标人索赔。</w:t>
      </w:r>
    </w:p>
    <w:p>
      <w:pPr>
        <w:spacing w:line="580" w:lineRule="exact"/>
        <w:ind w:left="639" w:leftChars="304" w:hanging="1"/>
        <w:rPr>
          <w:rFonts w:ascii="仿宋" w:hAnsi="仿宋" w:eastAsia="仿宋"/>
          <w:b/>
          <w:bCs/>
          <w:sz w:val="32"/>
          <w:szCs w:val="32"/>
          <w:highlight w:val="none"/>
        </w:rPr>
      </w:pPr>
      <w:r>
        <w:rPr>
          <w:rFonts w:ascii="仿宋" w:hAnsi="仿宋" w:eastAsia="仿宋"/>
          <w:b/>
          <w:bCs/>
          <w:sz w:val="32"/>
          <w:szCs w:val="32"/>
          <w:highlight w:val="none"/>
        </w:rPr>
        <w:t>5</w:t>
      </w:r>
      <w:r>
        <w:rPr>
          <w:rFonts w:hint="eastAsia" w:ascii="仿宋" w:hAnsi="仿宋" w:eastAsia="仿宋"/>
          <w:b/>
          <w:bCs/>
          <w:sz w:val="32"/>
          <w:szCs w:val="32"/>
          <w:highlight w:val="none"/>
        </w:rPr>
        <w:t>．决标</w:t>
      </w:r>
    </w:p>
    <w:p>
      <w:pPr>
        <w:spacing w:line="580" w:lineRule="exact"/>
        <w:ind w:firstLine="640" w:firstLineChars="200"/>
        <w:rPr>
          <w:rFonts w:ascii="仿宋" w:hAnsi="仿宋" w:eastAsia="仿宋" w:cs="宋体"/>
          <w:sz w:val="32"/>
          <w:szCs w:val="32"/>
          <w:highlight w:val="none"/>
        </w:rPr>
      </w:pPr>
      <w:r>
        <w:rPr>
          <w:rFonts w:ascii="仿宋" w:hAnsi="仿宋" w:eastAsia="仿宋" w:cs="宋体"/>
          <w:sz w:val="32"/>
          <w:szCs w:val="32"/>
          <w:highlight w:val="none"/>
        </w:rPr>
        <w:t>5.1</w:t>
      </w:r>
      <w:r>
        <w:rPr>
          <w:rFonts w:hint="eastAsia" w:ascii="仿宋" w:hAnsi="仿宋" w:eastAsia="仿宋" w:cs="宋体"/>
          <w:sz w:val="32"/>
          <w:szCs w:val="32"/>
          <w:highlight w:val="none"/>
        </w:rPr>
        <w:t>本次评标由招标人自行组织相关人员参加，对投标人资信、服务及报价综合评审、集体评定，按排名顺序选择</w:t>
      </w:r>
      <w:r>
        <w:rPr>
          <w:rFonts w:ascii="仿宋" w:hAnsi="仿宋" w:eastAsia="仿宋" w:cs="宋体"/>
          <w:sz w:val="32"/>
          <w:szCs w:val="32"/>
          <w:highlight w:val="none"/>
        </w:rPr>
        <w:t>2</w:t>
      </w:r>
      <w:r>
        <w:rPr>
          <w:rFonts w:hint="eastAsia" w:ascii="仿宋" w:hAnsi="仿宋" w:eastAsia="仿宋" w:cs="宋体"/>
          <w:sz w:val="32"/>
          <w:szCs w:val="32"/>
          <w:highlight w:val="none"/>
        </w:rPr>
        <w:t>家入围单位，由招标人招标领导小组决标。</w:t>
      </w:r>
    </w:p>
    <w:p>
      <w:pPr>
        <w:spacing w:line="580" w:lineRule="exact"/>
        <w:ind w:firstLine="640" w:firstLineChars="200"/>
        <w:rPr>
          <w:rFonts w:ascii="仿宋" w:hAnsi="仿宋" w:eastAsia="仿宋" w:cs="宋体"/>
          <w:sz w:val="32"/>
          <w:szCs w:val="32"/>
          <w:highlight w:val="none"/>
        </w:rPr>
      </w:pPr>
      <w:r>
        <w:rPr>
          <w:rFonts w:ascii="仿宋" w:hAnsi="仿宋" w:eastAsia="仿宋" w:cs="宋体"/>
          <w:sz w:val="32"/>
          <w:szCs w:val="32"/>
          <w:highlight w:val="none"/>
        </w:rPr>
        <w:t>5.2</w:t>
      </w:r>
      <w:r>
        <w:rPr>
          <w:rFonts w:hint="eastAsia" w:ascii="仿宋" w:hAnsi="仿宋" w:eastAsia="仿宋" w:cs="宋体"/>
          <w:sz w:val="32"/>
          <w:szCs w:val="32"/>
          <w:highlight w:val="none"/>
        </w:rPr>
        <w:t>招标人对本次招标结果不负责解释。</w:t>
      </w:r>
    </w:p>
    <w:p>
      <w:pPr>
        <w:widowControl/>
        <w:jc w:val="left"/>
        <w:rPr>
          <w:rFonts w:ascii="仿宋_GB2312" w:hAnsi="仿宋_GB2312" w:eastAsia="仿宋_GB2312" w:cs="宋体"/>
          <w:sz w:val="32"/>
          <w:szCs w:val="32"/>
          <w:highlight w:val="none"/>
        </w:rPr>
      </w:pPr>
      <w:r>
        <w:rPr>
          <w:rFonts w:ascii="仿宋_GB2312" w:hAnsi="仿宋_GB2312" w:eastAsia="仿宋_GB2312" w:cs="宋体"/>
          <w:sz w:val="32"/>
          <w:szCs w:val="32"/>
          <w:highlight w:val="none"/>
        </w:rPr>
        <w:br w:type="page"/>
      </w:r>
    </w:p>
    <w:p>
      <w:pPr>
        <w:spacing w:line="580" w:lineRule="exact"/>
        <w:jc w:val="center"/>
        <w:rPr>
          <w:rFonts w:ascii="方正小标宋简体" w:hAnsi="仿宋" w:eastAsia="方正小标宋简体"/>
          <w:b/>
          <w:bCs/>
          <w:sz w:val="32"/>
          <w:szCs w:val="32"/>
          <w:highlight w:val="none"/>
        </w:rPr>
      </w:pPr>
      <w:r>
        <w:rPr>
          <w:rFonts w:hint="eastAsia" w:ascii="方正小标宋简体" w:hAnsi="仿宋" w:eastAsia="方正小标宋简体"/>
          <w:b/>
          <w:bCs/>
          <w:sz w:val="32"/>
          <w:szCs w:val="32"/>
          <w:highlight w:val="none"/>
        </w:rPr>
        <w:t>三、评标办法</w:t>
      </w:r>
    </w:p>
    <w:p>
      <w:pPr>
        <w:spacing w:line="580" w:lineRule="exact"/>
        <w:ind w:firstLine="643" w:firstLineChars="200"/>
        <w:rPr>
          <w:rFonts w:ascii="仿宋" w:hAnsi="仿宋" w:eastAsia="仿宋" w:cs="宋体"/>
          <w:b/>
          <w:bCs/>
          <w:color w:val="000000"/>
          <w:kern w:val="0"/>
          <w:sz w:val="32"/>
          <w:szCs w:val="32"/>
          <w:highlight w:val="none"/>
        </w:rPr>
      </w:pPr>
      <w:r>
        <w:rPr>
          <w:rFonts w:ascii="仿宋" w:hAnsi="仿宋" w:eastAsia="仿宋" w:cs="宋体"/>
          <w:b/>
          <w:bCs/>
          <w:color w:val="000000"/>
          <w:kern w:val="0"/>
          <w:sz w:val="32"/>
          <w:szCs w:val="32"/>
          <w:highlight w:val="none"/>
        </w:rPr>
        <w:t>1.</w:t>
      </w:r>
      <w:r>
        <w:rPr>
          <w:rFonts w:hint="eastAsia" w:ascii="仿宋" w:hAnsi="仿宋" w:eastAsia="仿宋" w:cs="宋体"/>
          <w:b/>
          <w:bCs/>
          <w:color w:val="000000"/>
          <w:kern w:val="0"/>
          <w:sz w:val="32"/>
          <w:szCs w:val="32"/>
          <w:highlight w:val="none"/>
        </w:rPr>
        <w:t>评标原则</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评标遵循“公平、公正、科学、择优”的原则。本次采用招标人自行组织，相关部门参加，通过综合评审择优选用。</w:t>
      </w:r>
      <w:r>
        <w:rPr>
          <w:rFonts w:ascii="仿宋" w:hAnsi="仿宋" w:eastAsia="仿宋" w:cs="宋体"/>
          <w:bCs/>
          <w:color w:val="000000"/>
          <w:kern w:val="0"/>
          <w:sz w:val="32"/>
          <w:szCs w:val="32"/>
          <w:highlight w:val="none"/>
        </w:rPr>
        <w:t xml:space="preserve"> </w:t>
      </w:r>
    </w:p>
    <w:p>
      <w:pPr>
        <w:spacing w:line="580" w:lineRule="exact"/>
        <w:ind w:firstLine="643" w:firstLineChars="200"/>
        <w:rPr>
          <w:rFonts w:ascii="仿宋" w:hAnsi="仿宋" w:eastAsia="仿宋" w:cs="宋体"/>
          <w:b/>
          <w:bCs/>
          <w:color w:val="000000"/>
          <w:kern w:val="0"/>
          <w:sz w:val="32"/>
          <w:szCs w:val="32"/>
          <w:highlight w:val="none"/>
        </w:rPr>
      </w:pPr>
      <w:r>
        <w:rPr>
          <w:rFonts w:ascii="仿宋" w:hAnsi="仿宋" w:eastAsia="仿宋" w:cs="宋体"/>
          <w:b/>
          <w:bCs/>
          <w:color w:val="000000"/>
          <w:kern w:val="0"/>
          <w:sz w:val="32"/>
          <w:szCs w:val="32"/>
          <w:highlight w:val="none"/>
        </w:rPr>
        <w:t>2.</w:t>
      </w:r>
      <w:r>
        <w:rPr>
          <w:rFonts w:hint="eastAsia" w:ascii="仿宋" w:hAnsi="仿宋" w:eastAsia="仿宋" w:cs="宋体"/>
          <w:b/>
          <w:bCs/>
          <w:color w:val="000000"/>
          <w:kern w:val="0"/>
          <w:sz w:val="32"/>
          <w:szCs w:val="32"/>
          <w:highlight w:val="none"/>
        </w:rPr>
        <w:t>评标内容</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本次评标办法采用综合评估法。评分方式为集体综合评议，独立打分。</w:t>
      </w:r>
    </w:p>
    <w:p>
      <w:pPr>
        <w:spacing w:line="580" w:lineRule="exact"/>
        <w:ind w:firstLine="643" w:firstLineChars="200"/>
        <w:rPr>
          <w:rFonts w:ascii="仿宋" w:hAnsi="仿宋" w:eastAsia="仿宋" w:cs="宋体"/>
          <w:b/>
          <w:bCs/>
          <w:color w:val="000000"/>
          <w:kern w:val="0"/>
          <w:sz w:val="32"/>
          <w:szCs w:val="32"/>
          <w:highlight w:val="none"/>
        </w:rPr>
      </w:pPr>
      <w:r>
        <w:rPr>
          <w:rFonts w:ascii="仿宋" w:hAnsi="仿宋" w:eastAsia="仿宋" w:cs="宋体"/>
          <w:b/>
          <w:bCs/>
          <w:color w:val="000000"/>
          <w:kern w:val="0"/>
          <w:sz w:val="32"/>
          <w:szCs w:val="32"/>
          <w:highlight w:val="none"/>
        </w:rPr>
        <w:t>3.</w:t>
      </w:r>
      <w:r>
        <w:rPr>
          <w:rFonts w:hint="eastAsia" w:ascii="仿宋" w:hAnsi="仿宋" w:eastAsia="仿宋" w:cs="宋体"/>
          <w:b/>
          <w:bCs/>
          <w:color w:val="000000"/>
          <w:kern w:val="0"/>
          <w:sz w:val="32"/>
          <w:szCs w:val="32"/>
          <w:highlight w:val="none"/>
        </w:rPr>
        <w:t>投标文件的符合性审查</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依照招标文件的要求和规定，首先对投标人的投标资格和投标文件进行符合性审查。</w:t>
      </w:r>
    </w:p>
    <w:p>
      <w:pPr>
        <w:spacing w:line="580" w:lineRule="exact"/>
        <w:ind w:firstLine="640" w:firstLineChars="200"/>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3.1</w:t>
      </w:r>
      <w:r>
        <w:rPr>
          <w:rFonts w:hint="eastAsia" w:ascii="仿宋" w:hAnsi="仿宋" w:eastAsia="仿宋" w:cs="宋体"/>
          <w:bCs/>
          <w:color w:val="000000"/>
          <w:kern w:val="0"/>
          <w:sz w:val="32"/>
          <w:szCs w:val="32"/>
          <w:highlight w:val="none"/>
        </w:rPr>
        <w:t>投标人在提交投标文件后不得通过补充、修改或撤消投标文件中的内容使其成为实质性响应的投标。投标人在投标截止以后不得提交任何资料作为评标依据。</w:t>
      </w:r>
    </w:p>
    <w:p>
      <w:pPr>
        <w:spacing w:line="580" w:lineRule="exact"/>
        <w:ind w:firstLine="640" w:firstLineChars="200"/>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3.2</w:t>
      </w:r>
      <w:r>
        <w:rPr>
          <w:rFonts w:hint="eastAsia" w:ascii="仿宋" w:hAnsi="仿宋" w:eastAsia="仿宋" w:cs="宋体"/>
          <w:bCs/>
          <w:color w:val="000000"/>
          <w:kern w:val="0"/>
          <w:sz w:val="32"/>
          <w:szCs w:val="32"/>
          <w:highlight w:val="none"/>
        </w:rPr>
        <w:t>投标文件如存在以下情况之一的，经评标小组审核认定，作为符合性审查未通过予以废除，不再进行技术和商务的评审：</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w:t>
      </w:r>
      <w:r>
        <w:rPr>
          <w:rFonts w:ascii="仿宋" w:hAnsi="仿宋" w:eastAsia="仿宋" w:cs="宋体"/>
          <w:bCs/>
          <w:color w:val="000000"/>
          <w:kern w:val="0"/>
          <w:sz w:val="32"/>
          <w:szCs w:val="32"/>
          <w:highlight w:val="none"/>
        </w:rPr>
        <w:t>1</w:t>
      </w:r>
      <w:r>
        <w:rPr>
          <w:rFonts w:hint="eastAsia" w:ascii="仿宋" w:hAnsi="仿宋" w:eastAsia="仿宋" w:cs="宋体"/>
          <w:bCs/>
          <w:color w:val="000000"/>
          <w:kern w:val="0"/>
          <w:sz w:val="32"/>
          <w:szCs w:val="32"/>
          <w:highlight w:val="none"/>
        </w:rPr>
        <w:t>）投标人的投标资格不满足国家有关规定或招标文件载明的投标资格条件的；</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w:t>
      </w:r>
      <w:r>
        <w:rPr>
          <w:rFonts w:ascii="仿宋" w:hAnsi="仿宋" w:eastAsia="仿宋" w:cs="宋体"/>
          <w:bCs/>
          <w:color w:val="000000"/>
          <w:kern w:val="0"/>
          <w:sz w:val="32"/>
          <w:szCs w:val="32"/>
          <w:highlight w:val="none"/>
        </w:rPr>
        <w:t>2</w:t>
      </w:r>
      <w:r>
        <w:rPr>
          <w:rFonts w:hint="eastAsia" w:ascii="仿宋" w:hAnsi="仿宋" w:eastAsia="仿宋" w:cs="宋体"/>
          <w:bCs/>
          <w:color w:val="000000"/>
          <w:kern w:val="0"/>
          <w:sz w:val="32"/>
          <w:szCs w:val="32"/>
          <w:highlight w:val="none"/>
        </w:rPr>
        <w:t>）未按招标文件的要求签署和盖章的（仅限于单位印章和法定代表人或其委托代理人签字或盖章）；</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w:t>
      </w:r>
      <w:r>
        <w:rPr>
          <w:rFonts w:ascii="仿宋" w:hAnsi="仿宋" w:eastAsia="仿宋" w:cs="宋体"/>
          <w:bCs/>
          <w:color w:val="000000"/>
          <w:kern w:val="0"/>
          <w:sz w:val="32"/>
          <w:szCs w:val="32"/>
          <w:highlight w:val="none"/>
        </w:rPr>
        <w:t>3</w:t>
      </w:r>
      <w:r>
        <w:rPr>
          <w:rFonts w:hint="eastAsia" w:ascii="仿宋" w:hAnsi="仿宋" w:eastAsia="仿宋" w:cs="宋体"/>
          <w:bCs/>
          <w:color w:val="000000"/>
          <w:kern w:val="0"/>
          <w:sz w:val="32"/>
          <w:szCs w:val="32"/>
          <w:highlight w:val="none"/>
        </w:rPr>
        <w:t>）不响应招标文件规定的实质性要求的（特别是不按期限规定响应历史合作记录的）；</w:t>
      </w:r>
      <w:r>
        <w:rPr>
          <w:rFonts w:ascii="仿宋" w:hAnsi="仿宋" w:eastAsia="仿宋" w:cs="宋体"/>
          <w:bCs/>
          <w:color w:val="000000"/>
          <w:kern w:val="0"/>
          <w:sz w:val="32"/>
          <w:szCs w:val="32"/>
          <w:highlight w:val="none"/>
        </w:rPr>
        <w:t xml:space="preserve"> </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w:t>
      </w:r>
      <w:r>
        <w:rPr>
          <w:rFonts w:ascii="仿宋" w:hAnsi="仿宋" w:eastAsia="仿宋" w:cs="宋体"/>
          <w:bCs/>
          <w:color w:val="000000"/>
          <w:kern w:val="0"/>
          <w:sz w:val="32"/>
          <w:szCs w:val="32"/>
          <w:highlight w:val="none"/>
        </w:rPr>
        <w:t>4</w:t>
      </w:r>
      <w:r>
        <w:rPr>
          <w:rFonts w:hint="eastAsia" w:ascii="仿宋" w:hAnsi="仿宋" w:eastAsia="仿宋" w:cs="宋体"/>
          <w:bCs/>
          <w:color w:val="000000"/>
          <w:kern w:val="0"/>
          <w:sz w:val="32"/>
          <w:szCs w:val="32"/>
          <w:highlight w:val="none"/>
        </w:rPr>
        <w:t>）所投标内容不完整的；</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w:t>
      </w:r>
      <w:r>
        <w:rPr>
          <w:rFonts w:ascii="仿宋" w:hAnsi="仿宋" w:eastAsia="仿宋" w:cs="宋体"/>
          <w:bCs/>
          <w:color w:val="000000"/>
          <w:kern w:val="0"/>
          <w:sz w:val="32"/>
          <w:szCs w:val="32"/>
          <w:highlight w:val="none"/>
        </w:rPr>
        <w:t>5</w:t>
      </w:r>
      <w:r>
        <w:rPr>
          <w:rFonts w:hint="eastAsia" w:ascii="仿宋" w:hAnsi="仿宋" w:eastAsia="仿宋" w:cs="宋体"/>
          <w:bCs/>
          <w:color w:val="000000"/>
          <w:kern w:val="0"/>
          <w:sz w:val="32"/>
          <w:szCs w:val="32"/>
          <w:highlight w:val="none"/>
        </w:rPr>
        <w:t>）存在法律、法规、规章规定的其它无效投标情况的。</w:t>
      </w:r>
    </w:p>
    <w:p>
      <w:pPr>
        <w:spacing w:line="580" w:lineRule="exact"/>
        <w:ind w:firstLine="643" w:firstLineChars="200"/>
        <w:rPr>
          <w:rFonts w:ascii="仿宋" w:hAnsi="仿宋" w:eastAsia="仿宋" w:cs="宋体"/>
          <w:b/>
          <w:bCs/>
          <w:color w:val="000000"/>
          <w:kern w:val="0"/>
          <w:sz w:val="32"/>
          <w:szCs w:val="32"/>
          <w:highlight w:val="none"/>
        </w:rPr>
      </w:pPr>
      <w:r>
        <w:rPr>
          <w:rFonts w:ascii="仿宋" w:hAnsi="仿宋" w:eastAsia="仿宋" w:cs="宋体"/>
          <w:b/>
          <w:bCs/>
          <w:color w:val="000000"/>
          <w:kern w:val="0"/>
          <w:sz w:val="32"/>
          <w:szCs w:val="32"/>
          <w:highlight w:val="none"/>
        </w:rPr>
        <w:t>4.</w:t>
      </w:r>
      <w:r>
        <w:rPr>
          <w:rFonts w:hint="eastAsia" w:ascii="仿宋" w:hAnsi="仿宋" w:eastAsia="仿宋" w:cs="宋体"/>
          <w:b/>
          <w:bCs/>
          <w:color w:val="000000"/>
          <w:kern w:val="0"/>
          <w:sz w:val="32"/>
          <w:szCs w:val="32"/>
          <w:highlight w:val="none"/>
        </w:rPr>
        <w:t>评分原则</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评标总分为</w:t>
      </w:r>
      <w:r>
        <w:rPr>
          <w:rFonts w:ascii="仿宋" w:hAnsi="仿宋" w:eastAsia="仿宋" w:cs="宋体"/>
          <w:bCs/>
          <w:color w:val="000000"/>
          <w:kern w:val="0"/>
          <w:sz w:val="32"/>
          <w:szCs w:val="32"/>
          <w:highlight w:val="none"/>
        </w:rPr>
        <w:t>100</w:t>
      </w:r>
      <w:r>
        <w:rPr>
          <w:rFonts w:hint="eastAsia" w:ascii="仿宋" w:hAnsi="仿宋" w:eastAsia="仿宋" w:cs="宋体"/>
          <w:bCs/>
          <w:color w:val="000000"/>
          <w:kern w:val="0"/>
          <w:sz w:val="32"/>
          <w:szCs w:val="32"/>
          <w:highlight w:val="none"/>
        </w:rPr>
        <w:t>分，其中商务报价占权重的</w:t>
      </w:r>
      <w:r>
        <w:rPr>
          <w:rFonts w:ascii="仿宋" w:hAnsi="仿宋" w:eastAsia="仿宋" w:cs="宋体"/>
          <w:bCs/>
          <w:color w:val="000000"/>
          <w:kern w:val="0"/>
          <w:sz w:val="32"/>
          <w:szCs w:val="32"/>
          <w:highlight w:val="none"/>
        </w:rPr>
        <w:t>50%</w:t>
      </w:r>
      <w:r>
        <w:rPr>
          <w:rFonts w:hint="eastAsia" w:ascii="仿宋" w:hAnsi="仿宋" w:eastAsia="仿宋" w:cs="宋体"/>
          <w:bCs/>
          <w:color w:val="000000"/>
          <w:kern w:val="0"/>
          <w:sz w:val="32"/>
          <w:szCs w:val="32"/>
          <w:highlight w:val="none"/>
        </w:rPr>
        <w:t>，技术评审占权重的</w:t>
      </w:r>
      <w:r>
        <w:rPr>
          <w:rFonts w:ascii="仿宋" w:hAnsi="仿宋" w:eastAsia="仿宋" w:cs="宋体"/>
          <w:bCs/>
          <w:color w:val="000000"/>
          <w:kern w:val="0"/>
          <w:sz w:val="32"/>
          <w:szCs w:val="32"/>
          <w:highlight w:val="none"/>
        </w:rPr>
        <w:t>50%</w:t>
      </w:r>
      <w:r>
        <w:rPr>
          <w:rFonts w:hint="eastAsia" w:ascii="仿宋" w:hAnsi="仿宋" w:eastAsia="仿宋" w:cs="宋体"/>
          <w:bCs/>
          <w:color w:val="000000"/>
          <w:kern w:val="0"/>
          <w:sz w:val="32"/>
          <w:szCs w:val="32"/>
          <w:highlight w:val="none"/>
        </w:rPr>
        <w:t>，分值保留到小数点后两位，第三位小数四舍五入。</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商务报价得分为存款利率报价。</w:t>
      </w:r>
    </w:p>
    <w:p>
      <w:pPr>
        <w:spacing w:line="580" w:lineRule="exact"/>
        <w:ind w:firstLine="640" w:firstLineChars="200"/>
        <w:rPr>
          <w:rFonts w:ascii="仿宋" w:hAnsi="仿宋" w:eastAsia="仿宋" w:cs="宋体"/>
          <w:bCs/>
          <w:color w:val="000000"/>
          <w:kern w:val="0"/>
          <w:sz w:val="32"/>
          <w:szCs w:val="32"/>
          <w:highlight w:val="none"/>
        </w:rPr>
      </w:pPr>
      <w:r>
        <w:rPr>
          <w:rFonts w:hint="eastAsia" w:ascii="仿宋" w:hAnsi="仿宋" w:eastAsia="仿宋" w:cs="宋体"/>
          <w:bCs/>
          <w:color w:val="000000"/>
          <w:kern w:val="0"/>
          <w:sz w:val="32"/>
          <w:szCs w:val="32"/>
          <w:highlight w:val="none"/>
        </w:rPr>
        <w:t>技术评审得分由机构资质、评级和历史合作记录及服务承诺得分组成。</w:t>
      </w:r>
    </w:p>
    <w:p>
      <w:pPr>
        <w:rPr>
          <w:rFonts w:ascii="Times New Roman" w:hAnsi="Times New Roman"/>
          <w:szCs w:val="24"/>
          <w:highlight w:val="none"/>
        </w:rPr>
        <w:sectPr>
          <w:pgSz w:w="11906" w:h="16838"/>
          <w:pgMar w:top="1440" w:right="1800" w:bottom="1440" w:left="1800" w:header="851" w:footer="992" w:gutter="0"/>
          <w:cols w:space="425" w:num="1"/>
          <w:docGrid w:type="lines" w:linePitch="312" w:charSpace="0"/>
        </w:sectPr>
      </w:pPr>
    </w:p>
    <w:p>
      <w:pPr>
        <w:jc w:val="center"/>
        <w:rPr>
          <w:rFonts w:ascii="方正小标宋简体" w:hAnsi="Times New Roman" w:eastAsia="方正小标宋简体"/>
          <w:bCs/>
          <w:sz w:val="32"/>
          <w:szCs w:val="32"/>
          <w:highlight w:val="none"/>
        </w:rPr>
      </w:pPr>
      <w:r>
        <w:rPr>
          <w:rFonts w:hint="eastAsia" w:ascii="方正小标宋简体" w:hAnsi="Times New Roman" w:eastAsia="方正小标宋简体"/>
          <w:bCs/>
          <w:sz w:val="32"/>
          <w:szCs w:val="32"/>
          <w:highlight w:val="none"/>
        </w:rPr>
        <w:t>四、评分细则</w:t>
      </w:r>
    </w:p>
    <w:p>
      <w:pPr>
        <w:ind w:firstLine="640" w:firstLineChars="200"/>
        <w:rPr>
          <w:rFonts w:ascii="仿宋" w:hAnsi="仿宋" w:eastAsia="仿宋"/>
          <w:b/>
          <w:bCs/>
          <w:sz w:val="28"/>
          <w:szCs w:val="32"/>
          <w:highlight w:val="none"/>
        </w:rPr>
      </w:pPr>
      <w:r>
        <w:rPr>
          <w:rFonts w:ascii="仿宋" w:hAnsi="仿宋" w:eastAsia="仿宋" w:cs="宋体"/>
          <w:bCs/>
          <w:color w:val="000000"/>
          <w:kern w:val="0"/>
          <w:sz w:val="32"/>
          <w:szCs w:val="32"/>
          <w:highlight w:val="none"/>
        </w:rPr>
        <w:t>1.</w:t>
      </w:r>
      <w:r>
        <w:rPr>
          <w:rFonts w:hint="eastAsia" w:ascii="仿宋" w:hAnsi="仿宋" w:eastAsia="仿宋" w:cs="宋体"/>
          <w:bCs/>
          <w:color w:val="000000"/>
          <w:kern w:val="0"/>
          <w:sz w:val="32"/>
          <w:szCs w:val="32"/>
          <w:highlight w:val="none"/>
        </w:rPr>
        <w:t>商务报价评分原则：（满分</w:t>
      </w:r>
      <w:r>
        <w:rPr>
          <w:rFonts w:ascii="仿宋" w:hAnsi="仿宋" w:eastAsia="仿宋" w:cs="宋体"/>
          <w:bCs/>
          <w:color w:val="000000"/>
          <w:kern w:val="0"/>
          <w:sz w:val="32"/>
          <w:szCs w:val="32"/>
          <w:highlight w:val="none"/>
        </w:rPr>
        <w:t>50</w:t>
      </w:r>
      <w:r>
        <w:rPr>
          <w:rFonts w:hint="eastAsia" w:ascii="仿宋" w:hAnsi="仿宋" w:eastAsia="仿宋" w:cs="宋体"/>
          <w:bCs/>
          <w:color w:val="000000"/>
          <w:kern w:val="0"/>
          <w:sz w:val="32"/>
          <w:szCs w:val="32"/>
          <w:highlight w:val="none"/>
        </w:rPr>
        <w:t>分）</w:t>
      </w:r>
    </w:p>
    <w:tbl>
      <w:tblPr>
        <w:tblStyle w:val="11"/>
        <w:tblW w:w="8472" w:type="dxa"/>
        <w:tblInd w:w="0" w:type="dxa"/>
        <w:tblLayout w:type="fixed"/>
        <w:tblCellMar>
          <w:top w:w="0" w:type="dxa"/>
          <w:left w:w="108" w:type="dxa"/>
          <w:bottom w:w="0" w:type="dxa"/>
          <w:right w:w="108" w:type="dxa"/>
        </w:tblCellMar>
      </w:tblPr>
      <w:tblGrid>
        <w:gridCol w:w="8472"/>
      </w:tblGrid>
      <w:tr>
        <w:tblPrEx>
          <w:tblLayout w:type="fixed"/>
          <w:tblCellMar>
            <w:top w:w="0" w:type="dxa"/>
            <w:left w:w="108" w:type="dxa"/>
            <w:bottom w:w="0" w:type="dxa"/>
            <w:right w:w="108" w:type="dxa"/>
          </w:tblCellMar>
        </w:tblPrEx>
        <w:trPr>
          <w:trHeight w:val="405" w:hRule="atLeast"/>
        </w:trPr>
        <w:tc>
          <w:tcPr>
            <w:tcW w:w="8472" w:type="dxa"/>
            <w:tcBorders>
              <w:top w:val="nil"/>
              <w:left w:val="nil"/>
              <w:bottom w:val="nil"/>
              <w:right w:val="nil"/>
            </w:tcBorders>
            <w:vAlign w:val="center"/>
          </w:tcPr>
          <w:p>
            <w:pPr>
              <w:widowControl/>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 xml:space="preserve">    1.1 </w:t>
            </w:r>
            <w:r>
              <w:rPr>
                <w:rFonts w:hint="eastAsia" w:ascii="仿宋" w:hAnsi="仿宋" w:eastAsia="仿宋" w:cs="宋体"/>
                <w:bCs/>
                <w:color w:val="000000"/>
                <w:kern w:val="0"/>
                <w:sz w:val="32"/>
                <w:szCs w:val="32"/>
                <w:highlight w:val="none"/>
              </w:rPr>
              <w:t>存款利率报价以人行最近一期公布的基准利率为基础，如存款利率报价有一项在基准利率以下的，则该投标人该项得分为</w:t>
            </w:r>
            <w:r>
              <w:rPr>
                <w:rFonts w:ascii="仿宋" w:hAnsi="仿宋" w:eastAsia="仿宋" w:cs="宋体"/>
                <w:bCs/>
                <w:color w:val="000000"/>
                <w:kern w:val="0"/>
                <w:sz w:val="32"/>
                <w:szCs w:val="32"/>
                <w:highlight w:val="none"/>
              </w:rPr>
              <w:t>0</w:t>
            </w:r>
            <w:r>
              <w:rPr>
                <w:rFonts w:hint="eastAsia" w:ascii="仿宋" w:hAnsi="仿宋" w:eastAsia="仿宋" w:cs="宋体"/>
                <w:bCs/>
                <w:color w:val="000000"/>
                <w:kern w:val="0"/>
                <w:sz w:val="32"/>
                <w:szCs w:val="32"/>
                <w:highlight w:val="none"/>
              </w:rPr>
              <w:t>分；</w:t>
            </w:r>
          </w:p>
          <w:p>
            <w:pPr>
              <w:widowControl/>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 xml:space="preserve">    1.2 </w:t>
            </w:r>
            <w:r>
              <w:rPr>
                <w:rFonts w:hint="eastAsia" w:ascii="仿宋" w:hAnsi="仿宋" w:eastAsia="仿宋"/>
                <w:sz w:val="32"/>
                <w:szCs w:val="32"/>
                <w:highlight w:val="none"/>
              </w:rPr>
              <w:t>活期存款利率上浮率最高的得</w:t>
            </w:r>
            <w:r>
              <w:rPr>
                <w:rFonts w:ascii="仿宋" w:hAnsi="仿宋" w:eastAsia="仿宋"/>
                <w:sz w:val="32"/>
                <w:szCs w:val="32"/>
                <w:highlight w:val="none"/>
              </w:rPr>
              <w:t>5</w:t>
            </w:r>
            <w:r>
              <w:rPr>
                <w:rFonts w:hint="eastAsia" w:ascii="仿宋" w:hAnsi="仿宋" w:eastAsia="仿宋"/>
                <w:sz w:val="32"/>
                <w:szCs w:val="32"/>
                <w:highlight w:val="none"/>
              </w:rPr>
              <w:t>分；</w:t>
            </w:r>
            <w:r>
              <w:rPr>
                <w:rFonts w:hint="eastAsia" w:ascii="仿宋" w:hAnsi="仿宋" w:eastAsia="仿宋" w:cs="Arial"/>
                <w:bCs/>
                <w:kern w:val="0"/>
                <w:sz w:val="32"/>
                <w:szCs w:val="32"/>
                <w:highlight w:val="none"/>
                <w:shd w:val="clear" w:color="auto" w:fill="FFFFFF"/>
              </w:rPr>
              <w:t>其他投标人的</w:t>
            </w:r>
            <w:r>
              <w:rPr>
                <w:rFonts w:hint="eastAsia" w:ascii="仿宋" w:hAnsi="仿宋" w:eastAsia="仿宋"/>
                <w:sz w:val="32"/>
                <w:szCs w:val="32"/>
                <w:highlight w:val="none"/>
              </w:rPr>
              <w:t>活期存款利率</w:t>
            </w:r>
            <w:r>
              <w:rPr>
                <w:rFonts w:hint="eastAsia" w:ascii="仿宋" w:hAnsi="仿宋" w:eastAsia="仿宋" w:cs="Arial"/>
                <w:bCs/>
                <w:kern w:val="0"/>
                <w:sz w:val="32"/>
                <w:szCs w:val="32"/>
                <w:highlight w:val="none"/>
                <w:shd w:val="clear" w:color="auto" w:fill="FFFFFF"/>
              </w:rPr>
              <w:t>得分按以下公式计算：</w:t>
            </w:r>
            <w:r>
              <w:rPr>
                <w:rFonts w:hint="eastAsia" w:ascii="仿宋" w:hAnsi="仿宋" w:eastAsia="仿宋"/>
                <w:sz w:val="32"/>
                <w:szCs w:val="32"/>
                <w:highlight w:val="none"/>
              </w:rPr>
              <w:t>活期存款利率</w:t>
            </w:r>
            <w:r>
              <w:rPr>
                <w:rFonts w:hint="eastAsia" w:ascii="仿宋" w:hAnsi="仿宋" w:eastAsia="仿宋" w:cs="Arial"/>
                <w:bCs/>
                <w:kern w:val="0"/>
                <w:sz w:val="32"/>
                <w:szCs w:val="32"/>
                <w:highlight w:val="none"/>
                <w:shd w:val="clear" w:color="auto" w:fill="FFFFFF"/>
              </w:rPr>
              <w:t>得分</w:t>
            </w:r>
            <w:r>
              <w:rPr>
                <w:rFonts w:ascii="仿宋" w:hAnsi="仿宋" w:eastAsia="仿宋" w:cs="Arial"/>
                <w:bCs/>
                <w:kern w:val="0"/>
                <w:sz w:val="32"/>
                <w:szCs w:val="32"/>
                <w:highlight w:val="none"/>
                <w:shd w:val="clear" w:color="auto" w:fill="FFFFFF"/>
              </w:rPr>
              <w:t>=</w:t>
            </w:r>
            <w:r>
              <w:rPr>
                <w:rFonts w:hint="eastAsia" w:ascii="仿宋" w:hAnsi="仿宋" w:eastAsia="仿宋" w:cs="Arial"/>
                <w:bCs/>
                <w:kern w:val="0"/>
                <w:sz w:val="32"/>
                <w:szCs w:val="32"/>
                <w:highlight w:val="none"/>
                <w:shd w:val="clear" w:color="auto" w:fill="FFFFFF"/>
              </w:rPr>
              <w:t>（投标人活期存款利率上浮率</w:t>
            </w:r>
            <w:r>
              <w:rPr>
                <w:rFonts w:ascii="仿宋" w:hAnsi="仿宋" w:eastAsia="仿宋" w:cs="Arial"/>
                <w:bCs/>
                <w:kern w:val="0"/>
                <w:sz w:val="32"/>
                <w:szCs w:val="32"/>
                <w:highlight w:val="none"/>
                <w:shd w:val="clear" w:color="auto" w:fill="FFFFFF"/>
              </w:rPr>
              <w:t>/</w:t>
            </w:r>
            <w:r>
              <w:rPr>
                <w:rFonts w:hint="eastAsia" w:ascii="仿宋" w:hAnsi="仿宋" w:eastAsia="仿宋"/>
                <w:sz w:val="32"/>
                <w:szCs w:val="32"/>
                <w:highlight w:val="none"/>
              </w:rPr>
              <w:t>活期存款利率</w:t>
            </w:r>
            <w:r>
              <w:rPr>
                <w:rFonts w:hint="eastAsia" w:ascii="仿宋" w:hAnsi="仿宋" w:eastAsia="仿宋" w:cs="Arial"/>
                <w:bCs/>
                <w:kern w:val="0"/>
                <w:sz w:val="32"/>
                <w:szCs w:val="32"/>
                <w:highlight w:val="none"/>
                <w:shd w:val="clear" w:color="auto" w:fill="FFFFFF"/>
              </w:rPr>
              <w:t>上浮率最高值）×</w:t>
            </w:r>
            <w:r>
              <w:rPr>
                <w:rFonts w:ascii="仿宋" w:hAnsi="仿宋" w:eastAsia="仿宋" w:cs="Arial"/>
                <w:bCs/>
                <w:kern w:val="0"/>
                <w:sz w:val="32"/>
                <w:szCs w:val="32"/>
                <w:highlight w:val="none"/>
                <w:shd w:val="clear" w:color="auto" w:fill="FFFFFF"/>
              </w:rPr>
              <w:t>10</w:t>
            </w:r>
            <w:r>
              <w:rPr>
                <w:rFonts w:hint="eastAsia" w:ascii="仿宋" w:hAnsi="仿宋" w:eastAsia="仿宋" w:cs="宋体"/>
                <w:bCs/>
                <w:color w:val="000000"/>
                <w:kern w:val="0"/>
                <w:sz w:val="32"/>
                <w:szCs w:val="32"/>
                <w:highlight w:val="none"/>
              </w:rPr>
              <w:t>；</w:t>
            </w:r>
          </w:p>
          <w:p>
            <w:pPr>
              <w:widowControl/>
              <w:ind w:firstLine="630"/>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1.3</w:t>
            </w:r>
            <w:r>
              <w:rPr>
                <w:rFonts w:hint="eastAsia" w:ascii="仿宋" w:hAnsi="仿宋" w:eastAsia="仿宋"/>
                <w:sz w:val="32"/>
                <w:szCs w:val="32"/>
                <w:highlight w:val="none"/>
              </w:rPr>
              <w:t>协定存款利率上浮率最高的得</w:t>
            </w:r>
            <w:r>
              <w:rPr>
                <w:rFonts w:ascii="仿宋" w:hAnsi="仿宋" w:eastAsia="仿宋"/>
                <w:sz w:val="32"/>
                <w:szCs w:val="32"/>
                <w:highlight w:val="none"/>
              </w:rPr>
              <w:t>15</w:t>
            </w:r>
            <w:r>
              <w:rPr>
                <w:rFonts w:hint="eastAsia" w:ascii="仿宋" w:hAnsi="仿宋" w:eastAsia="仿宋"/>
                <w:sz w:val="32"/>
                <w:szCs w:val="32"/>
                <w:highlight w:val="none"/>
              </w:rPr>
              <w:t>分；</w:t>
            </w:r>
            <w:r>
              <w:rPr>
                <w:rFonts w:hint="eastAsia" w:ascii="仿宋" w:hAnsi="仿宋" w:eastAsia="仿宋" w:cs="Arial"/>
                <w:bCs/>
                <w:kern w:val="0"/>
                <w:sz w:val="32"/>
                <w:szCs w:val="32"/>
                <w:highlight w:val="none"/>
                <w:shd w:val="clear" w:color="auto" w:fill="FFFFFF"/>
              </w:rPr>
              <w:t>其他投标人的</w:t>
            </w:r>
            <w:r>
              <w:rPr>
                <w:rFonts w:hint="eastAsia" w:ascii="仿宋" w:hAnsi="仿宋" w:eastAsia="仿宋"/>
                <w:sz w:val="32"/>
                <w:szCs w:val="32"/>
                <w:highlight w:val="none"/>
              </w:rPr>
              <w:t>协定存款利率</w:t>
            </w:r>
            <w:r>
              <w:rPr>
                <w:rFonts w:hint="eastAsia" w:ascii="仿宋" w:hAnsi="仿宋" w:eastAsia="仿宋" w:cs="Arial"/>
                <w:bCs/>
                <w:kern w:val="0"/>
                <w:sz w:val="32"/>
                <w:szCs w:val="32"/>
                <w:highlight w:val="none"/>
                <w:shd w:val="clear" w:color="auto" w:fill="FFFFFF"/>
              </w:rPr>
              <w:t>得分按以下公式计算：</w:t>
            </w:r>
            <w:r>
              <w:rPr>
                <w:rFonts w:hint="eastAsia" w:ascii="仿宋" w:hAnsi="仿宋" w:eastAsia="仿宋"/>
                <w:sz w:val="32"/>
                <w:szCs w:val="32"/>
                <w:highlight w:val="none"/>
              </w:rPr>
              <w:t>协定存款利率</w:t>
            </w:r>
            <w:r>
              <w:rPr>
                <w:rFonts w:hint="eastAsia" w:ascii="仿宋" w:hAnsi="仿宋" w:eastAsia="仿宋" w:cs="Arial"/>
                <w:bCs/>
                <w:kern w:val="0"/>
                <w:sz w:val="32"/>
                <w:szCs w:val="32"/>
                <w:highlight w:val="none"/>
                <w:shd w:val="clear" w:color="auto" w:fill="FFFFFF"/>
              </w:rPr>
              <w:t>得分</w:t>
            </w:r>
            <w:r>
              <w:rPr>
                <w:rFonts w:ascii="仿宋" w:hAnsi="仿宋" w:eastAsia="仿宋" w:cs="Arial"/>
                <w:bCs/>
                <w:kern w:val="0"/>
                <w:sz w:val="32"/>
                <w:szCs w:val="32"/>
                <w:highlight w:val="none"/>
                <w:shd w:val="clear" w:color="auto" w:fill="FFFFFF"/>
              </w:rPr>
              <w:t>=</w:t>
            </w:r>
            <w:r>
              <w:rPr>
                <w:rFonts w:hint="eastAsia" w:ascii="仿宋" w:hAnsi="仿宋" w:eastAsia="仿宋" w:cs="Arial"/>
                <w:bCs/>
                <w:kern w:val="0"/>
                <w:sz w:val="32"/>
                <w:szCs w:val="32"/>
                <w:highlight w:val="none"/>
                <w:shd w:val="clear" w:color="auto" w:fill="FFFFFF"/>
              </w:rPr>
              <w:t>（投标人</w:t>
            </w:r>
            <w:r>
              <w:rPr>
                <w:rFonts w:hint="eastAsia" w:ascii="仿宋" w:hAnsi="仿宋" w:eastAsia="仿宋"/>
                <w:sz w:val="32"/>
                <w:szCs w:val="32"/>
                <w:highlight w:val="none"/>
              </w:rPr>
              <w:t>协定存款利率</w:t>
            </w:r>
            <w:r>
              <w:rPr>
                <w:rFonts w:hint="eastAsia" w:ascii="仿宋" w:hAnsi="仿宋" w:eastAsia="仿宋" w:cs="Arial"/>
                <w:bCs/>
                <w:kern w:val="0"/>
                <w:sz w:val="32"/>
                <w:szCs w:val="32"/>
                <w:highlight w:val="none"/>
                <w:shd w:val="clear" w:color="auto" w:fill="FFFFFF"/>
              </w:rPr>
              <w:t>上浮率</w:t>
            </w:r>
            <w:r>
              <w:rPr>
                <w:rFonts w:ascii="仿宋" w:hAnsi="仿宋" w:eastAsia="仿宋" w:cs="Arial"/>
                <w:bCs/>
                <w:kern w:val="0"/>
                <w:sz w:val="32"/>
                <w:szCs w:val="32"/>
                <w:highlight w:val="none"/>
                <w:shd w:val="clear" w:color="auto" w:fill="FFFFFF"/>
              </w:rPr>
              <w:t>/</w:t>
            </w:r>
            <w:r>
              <w:rPr>
                <w:rFonts w:hint="eastAsia" w:ascii="仿宋" w:hAnsi="仿宋" w:eastAsia="仿宋"/>
                <w:sz w:val="32"/>
                <w:szCs w:val="32"/>
                <w:highlight w:val="none"/>
              </w:rPr>
              <w:t>协定存款利率</w:t>
            </w:r>
            <w:r>
              <w:rPr>
                <w:rFonts w:hint="eastAsia" w:ascii="仿宋" w:hAnsi="仿宋" w:eastAsia="仿宋" w:cs="Arial"/>
                <w:bCs/>
                <w:kern w:val="0"/>
                <w:sz w:val="32"/>
                <w:szCs w:val="32"/>
                <w:highlight w:val="none"/>
                <w:shd w:val="clear" w:color="auto" w:fill="FFFFFF"/>
              </w:rPr>
              <w:t>上浮率最高值）×</w:t>
            </w:r>
            <w:r>
              <w:rPr>
                <w:rFonts w:ascii="仿宋" w:hAnsi="仿宋" w:eastAsia="仿宋" w:cs="Arial"/>
                <w:bCs/>
                <w:kern w:val="0"/>
                <w:sz w:val="32"/>
                <w:szCs w:val="32"/>
                <w:highlight w:val="none"/>
                <w:shd w:val="clear" w:color="auto" w:fill="FFFFFF"/>
              </w:rPr>
              <w:t>20</w:t>
            </w:r>
            <w:r>
              <w:rPr>
                <w:rFonts w:hint="eastAsia" w:ascii="仿宋" w:hAnsi="仿宋" w:eastAsia="仿宋" w:cs="Arial"/>
                <w:bCs/>
                <w:kern w:val="0"/>
                <w:sz w:val="32"/>
                <w:szCs w:val="32"/>
                <w:highlight w:val="none"/>
                <w:shd w:val="clear" w:color="auto" w:fill="FFFFFF"/>
              </w:rPr>
              <w:t>；</w:t>
            </w:r>
          </w:p>
          <w:p>
            <w:pPr>
              <w:widowControl/>
              <w:ind w:firstLine="630"/>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 xml:space="preserve">1.4 </w:t>
            </w:r>
            <w:r>
              <w:rPr>
                <w:rFonts w:hint="eastAsia" w:ascii="仿宋" w:hAnsi="仿宋" w:eastAsia="仿宋" w:cs="宋体"/>
                <w:bCs/>
                <w:color w:val="000000"/>
                <w:kern w:val="0"/>
                <w:sz w:val="32"/>
                <w:szCs w:val="32"/>
                <w:highlight w:val="none"/>
              </w:rPr>
              <w:t>协定存款所对应结算账户的基本额度为</w:t>
            </w:r>
            <w:r>
              <w:rPr>
                <w:rFonts w:ascii="仿宋" w:hAnsi="仿宋" w:eastAsia="仿宋" w:cs="宋体"/>
                <w:bCs/>
                <w:color w:val="000000"/>
                <w:kern w:val="0"/>
                <w:sz w:val="32"/>
                <w:szCs w:val="32"/>
                <w:highlight w:val="none"/>
              </w:rPr>
              <w:t>0</w:t>
            </w:r>
            <w:r>
              <w:rPr>
                <w:rFonts w:hint="eastAsia" w:ascii="仿宋" w:hAnsi="仿宋" w:eastAsia="仿宋" w:cs="宋体"/>
                <w:bCs/>
                <w:color w:val="000000"/>
                <w:kern w:val="0"/>
                <w:sz w:val="32"/>
                <w:szCs w:val="32"/>
                <w:highlight w:val="none"/>
              </w:rPr>
              <w:t>元得</w:t>
            </w:r>
            <w:r>
              <w:rPr>
                <w:rFonts w:hint="eastAsia" w:ascii="仿宋" w:hAnsi="仿宋" w:eastAsia="仿宋"/>
                <w:sz w:val="32"/>
                <w:szCs w:val="32"/>
                <w:highlight w:val="none"/>
              </w:rPr>
              <w:t>满分</w:t>
            </w:r>
            <w:r>
              <w:rPr>
                <w:rFonts w:ascii="仿宋" w:hAnsi="仿宋" w:eastAsia="仿宋" w:cs="宋体"/>
                <w:bCs/>
                <w:color w:val="000000"/>
                <w:kern w:val="0"/>
                <w:sz w:val="32"/>
                <w:szCs w:val="32"/>
                <w:highlight w:val="none"/>
              </w:rPr>
              <w:t>5</w:t>
            </w:r>
            <w:r>
              <w:rPr>
                <w:rFonts w:hint="eastAsia" w:ascii="仿宋" w:hAnsi="仿宋" w:eastAsia="仿宋" w:cs="宋体"/>
                <w:bCs/>
                <w:color w:val="000000"/>
                <w:kern w:val="0"/>
                <w:sz w:val="32"/>
                <w:szCs w:val="32"/>
                <w:highlight w:val="none"/>
              </w:rPr>
              <w:t>分</w:t>
            </w:r>
            <w:r>
              <w:rPr>
                <w:rFonts w:hint="eastAsia" w:ascii="仿宋" w:hAnsi="仿宋" w:eastAsia="仿宋"/>
                <w:sz w:val="32"/>
                <w:szCs w:val="32"/>
                <w:highlight w:val="none"/>
              </w:rPr>
              <w:t>；</w:t>
            </w:r>
            <w:r>
              <w:rPr>
                <w:rFonts w:ascii="仿宋" w:hAnsi="仿宋" w:eastAsia="仿宋"/>
                <w:sz w:val="32"/>
                <w:szCs w:val="32"/>
                <w:highlight w:val="none"/>
              </w:rPr>
              <w:t>10</w:t>
            </w:r>
            <w:r>
              <w:rPr>
                <w:rFonts w:hint="eastAsia" w:ascii="仿宋" w:hAnsi="仿宋" w:eastAsia="仿宋"/>
                <w:sz w:val="32"/>
                <w:szCs w:val="32"/>
                <w:highlight w:val="none"/>
              </w:rPr>
              <w:t>万为一档，每提高</w:t>
            </w:r>
            <w:r>
              <w:rPr>
                <w:rFonts w:ascii="仿宋" w:hAnsi="仿宋" w:eastAsia="仿宋"/>
                <w:sz w:val="32"/>
                <w:szCs w:val="32"/>
                <w:highlight w:val="none"/>
              </w:rPr>
              <w:t>10</w:t>
            </w:r>
            <w:r>
              <w:rPr>
                <w:rFonts w:hint="eastAsia" w:ascii="仿宋" w:hAnsi="仿宋" w:eastAsia="仿宋"/>
                <w:sz w:val="32"/>
                <w:szCs w:val="32"/>
                <w:highlight w:val="none"/>
              </w:rPr>
              <w:t>万（含本数）扣</w:t>
            </w:r>
            <w:r>
              <w:rPr>
                <w:rFonts w:ascii="仿宋" w:hAnsi="仿宋" w:eastAsia="仿宋"/>
                <w:sz w:val="32"/>
                <w:szCs w:val="32"/>
                <w:highlight w:val="none"/>
              </w:rPr>
              <w:t>0.5</w:t>
            </w:r>
            <w:r>
              <w:rPr>
                <w:rFonts w:hint="eastAsia" w:ascii="仿宋" w:hAnsi="仿宋" w:eastAsia="仿宋"/>
                <w:sz w:val="32"/>
                <w:szCs w:val="32"/>
                <w:highlight w:val="none"/>
              </w:rPr>
              <w:t>分，不足</w:t>
            </w:r>
            <w:r>
              <w:rPr>
                <w:rFonts w:ascii="仿宋" w:hAnsi="仿宋" w:eastAsia="仿宋"/>
                <w:sz w:val="32"/>
                <w:szCs w:val="32"/>
                <w:highlight w:val="none"/>
              </w:rPr>
              <w:t>10</w:t>
            </w:r>
            <w:r>
              <w:rPr>
                <w:rFonts w:hint="eastAsia" w:ascii="仿宋" w:hAnsi="仿宋" w:eastAsia="仿宋"/>
                <w:sz w:val="32"/>
                <w:szCs w:val="32"/>
                <w:highlight w:val="none"/>
              </w:rPr>
              <w:t>万的按</w:t>
            </w:r>
            <w:r>
              <w:rPr>
                <w:rFonts w:ascii="仿宋" w:hAnsi="仿宋" w:eastAsia="仿宋"/>
                <w:sz w:val="32"/>
                <w:szCs w:val="32"/>
                <w:highlight w:val="none"/>
              </w:rPr>
              <w:t>10</w:t>
            </w:r>
            <w:r>
              <w:rPr>
                <w:rFonts w:hint="eastAsia" w:ascii="仿宋" w:hAnsi="仿宋" w:eastAsia="仿宋"/>
                <w:sz w:val="32"/>
                <w:szCs w:val="32"/>
                <w:highlight w:val="none"/>
              </w:rPr>
              <w:t>万计算，</w:t>
            </w:r>
            <w:r>
              <w:rPr>
                <w:rFonts w:ascii="仿宋" w:hAnsi="仿宋" w:eastAsia="仿宋"/>
                <w:sz w:val="32"/>
                <w:szCs w:val="32"/>
                <w:highlight w:val="none"/>
              </w:rPr>
              <w:t xml:space="preserve"> 90</w:t>
            </w:r>
            <w:r>
              <w:rPr>
                <w:rFonts w:hint="eastAsia" w:ascii="仿宋" w:hAnsi="仿宋" w:eastAsia="仿宋"/>
                <w:sz w:val="32"/>
                <w:szCs w:val="32"/>
                <w:highlight w:val="none"/>
              </w:rPr>
              <w:t>万以上不得分</w:t>
            </w:r>
            <w:r>
              <w:rPr>
                <w:rFonts w:hint="eastAsia" w:ascii="仿宋" w:hAnsi="仿宋" w:eastAsia="仿宋" w:cs="宋体"/>
                <w:bCs/>
                <w:color w:val="000000"/>
                <w:kern w:val="0"/>
                <w:sz w:val="32"/>
                <w:szCs w:val="32"/>
                <w:highlight w:val="none"/>
              </w:rPr>
              <w:t>；</w:t>
            </w:r>
          </w:p>
          <w:p>
            <w:pPr>
              <w:widowControl/>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 xml:space="preserve">    1.5 </w:t>
            </w:r>
            <w:r>
              <w:rPr>
                <w:rFonts w:hint="eastAsia" w:ascii="仿宋" w:hAnsi="仿宋" w:eastAsia="仿宋"/>
                <w:sz w:val="32"/>
                <w:szCs w:val="32"/>
                <w:highlight w:val="none"/>
              </w:rPr>
              <w:t>定期存款利率上浮率最高的得</w:t>
            </w:r>
            <w:r>
              <w:rPr>
                <w:rFonts w:ascii="仿宋" w:hAnsi="仿宋" w:eastAsia="仿宋"/>
                <w:sz w:val="32"/>
                <w:szCs w:val="32"/>
                <w:highlight w:val="none"/>
              </w:rPr>
              <w:t>15</w:t>
            </w:r>
            <w:r>
              <w:rPr>
                <w:rFonts w:hint="eastAsia" w:ascii="仿宋" w:hAnsi="仿宋" w:eastAsia="仿宋"/>
                <w:sz w:val="32"/>
                <w:szCs w:val="32"/>
                <w:highlight w:val="none"/>
              </w:rPr>
              <w:t>分；</w:t>
            </w:r>
            <w:r>
              <w:rPr>
                <w:rFonts w:hint="eastAsia" w:ascii="仿宋" w:hAnsi="仿宋" w:eastAsia="仿宋" w:cs="Arial"/>
                <w:bCs/>
                <w:kern w:val="0"/>
                <w:sz w:val="32"/>
                <w:szCs w:val="32"/>
                <w:highlight w:val="none"/>
                <w:shd w:val="clear" w:color="auto" w:fill="FFFFFF"/>
              </w:rPr>
              <w:t>其他投标人的</w:t>
            </w:r>
            <w:r>
              <w:rPr>
                <w:rFonts w:hint="eastAsia" w:ascii="仿宋" w:hAnsi="仿宋" w:eastAsia="仿宋"/>
                <w:sz w:val="32"/>
                <w:szCs w:val="32"/>
                <w:highlight w:val="none"/>
              </w:rPr>
              <w:t>定期存款利率</w:t>
            </w:r>
            <w:r>
              <w:rPr>
                <w:rFonts w:hint="eastAsia" w:ascii="仿宋" w:hAnsi="仿宋" w:eastAsia="仿宋" w:cs="Arial"/>
                <w:bCs/>
                <w:kern w:val="0"/>
                <w:sz w:val="32"/>
                <w:szCs w:val="32"/>
                <w:highlight w:val="none"/>
                <w:shd w:val="clear" w:color="auto" w:fill="FFFFFF"/>
              </w:rPr>
              <w:t>得分按以下公式计算：</w:t>
            </w:r>
            <w:r>
              <w:rPr>
                <w:rFonts w:hint="eastAsia" w:ascii="仿宋" w:hAnsi="仿宋" w:eastAsia="仿宋"/>
                <w:sz w:val="32"/>
                <w:szCs w:val="32"/>
                <w:highlight w:val="none"/>
              </w:rPr>
              <w:t>定期存款利率</w:t>
            </w:r>
            <w:r>
              <w:rPr>
                <w:rFonts w:hint="eastAsia" w:ascii="仿宋" w:hAnsi="仿宋" w:eastAsia="仿宋" w:cs="Arial"/>
                <w:bCs/>
                <w:kern w:val="0"/>
                <w:sz w:val="32"/>
                <w:szCs w:val="32"/>
                <w:highlight w:val="none"/>
                <w:shd w:val="clear" w:color="auto" w:fill="FFFFFF"/>
              </w:rPr>
              <w:t>得分</w:t>
            </w:r>
            <w:r>
              <w:rPr>
                <w:rFonts w:ascii="仿宋" w:hAnsi="仿宋" w:eastAsia="仿宋" w:cs="Arial"/>
                <w:bCs/>
                <w:kern w:val="0"/>
                <w:sz w:val="32"/>
                <w:szCs w:val="32"/>
                <w:highlight w:val="none"/>
                <w:shd w:val="clear" w:color="auto" w:fill="FFFFFF"/>
              </w:rPr>
              <w:t>=</w:t>
            </w:r>
            <w:r>
              <w:rPr>
                <w:rFonts w:hint="eastAsia" w:ascii="仿宋" w:hAnsi="仿宋" w:eastAsia="仿宋" w:cs="Arial"/>
                <w:bCs/>
                <w:kern w:val="0"/>
                <w:sz w:val="32"/>
                <w:szCs w:val="32"/>
                <w:highlight w:val="none"/>
                <w:shd w:val="clear" w:color="auto" w:fill="FFFFFF"/>
              </w:rPr>
              <w:t>（投标人</w:t>
            </w:r>
            <w:r>
              <w:rPr>
                <w:rFonts w:hint="eastAsia" w:ascii="仿宋" w:hAnsi="仿宋" w:eastAsia="仿宋"/>
                <w:sz w:val="32"/>
                <w:szCs w:val="32"/>
                <w:highlight w:val="none"/>
              </w:rPr>
              <w:t>定期存款</w:t>
            </w:r>
            <w:r>
              <w:rPr>
                <w:rFonts w:hint="eastAsia" w:ascii="仿宋" w:hAnsi="仿宋" w:eastAsia="仿宋" w:cs="Arial"/>
                <w:bCs/>
                <w:kern w:val="0"/>
                <w:sz w:val="32"/>
                <w:szCs w:val="32"/>
                <w:highlight w:val="none"/>
                <w:shd w:val="clear" w:color="auto" w:fill="FFFFFF"/>
              </w:rPr>
              <w:t>利率上浮率</w:t>
            </w:r>
            <w:r>
              <w:rPr>
                <w:rFonts w:ascii="仿宋" w:hAnsi="仿宋" w:eastAsia="仿宋" w:cs="Arial"/>
                <w:bCs/>
                <w:kern w:val="0"/>
                <w:sz w:val="32"/>
                <w:szCs w:val="32"/>
                <w:highlight w:val="none"/>
                <w:shd w:val="clear" w:color="auto" w:fill="FFFFFF"/>
              </w:rPr>
              <w:t>/</w:t>
            </w:r>
            <w:r>
              <w:rPr>
                <w:rFonts w:hint="eastAsia" w:ascii="仿宋" w:hAnsi="仿宋" w:eastAsia="仿宋"/>
                <w:sz w:val="32"/>
                <w:szCs w:val="32"/>
                <w:highlight w:val="none"/>
              </w:rPr>
              <w:t>定期存款利率</w:t>
            </w:r>
            <w:r>
              <w:rPr>
                <w:rFonts w:hint="eastAsia" w:ascii="仿宋" w:hAnsi="仿宋" w:eastAsia="仿宋" w:cs="Arial"/>
                <w:bCs/>
                <w:kern w:val="0"/>
                <w:sz w:val="32"/>
                <w:szCs w:val="32"/>
                <w:highlight w:val="none"/>
                <w:shd w:val="clear" w:color="auto" w:fill="FFFFFF"/>
              </w:rPr>
              <w:t>上浮率最高值）×</w:t>
            </w:r>
            <w:r>
              <w:rPr>
                <w:rFonts w:ascii="仿宋" w:hAnsi="仿宋" w:eastAsia="仿宋" w:cs="Arial"/>
                <w:bCs/>
                <w:kern w:val="0"/>
                <w:sz w:val="32"/>
                <w:szCs w:val="32"/>
                <w:highlight w:val="none"/>
                <w:shd w:val="clear" w:color="auto" w:fill="FFFFFF"/>
              </w:rPr>
              <w:t>15</w:t>
            </w:r>
            <w:r>
              <w:rPr>
                <w:rFonts w:hint="eastAsia" w:ascii="仿宋" w:hAnsi="仿宋" w:eastAsia="仿宋" w:cs="宋体"/>
                <w:bCs/>
                <w:color w:val="000000"/>
                <w:kern w:val="0"/>
                <w:sz w:val="32"/>
                <w:szCs w:val="32"/>
                <w:highlight w:val="none"/>
              </w:rPr>
              <w:t>定期存款利率满分</w:t>
            </w:r>
            <w:r>
              <w:rPr>
                <w:rFonts w:ascii="仿宋" w:hAnsi="仿宋" w:eastAsia="仿宋" w:cs="宋体"/>
                <w:bCs/>
                <w:color w:val="000000"/>
                <w:kern w:val="0"/>
                <w:sz w:val="32"/>
                <w:szCs w:val="32"/>
                <w:highlight w:val="none"/>
              </w:rPr>
              <w:t>12</w:t>
            </w:r>
            <w:r>
              <w:rPr>
                <w:rFonts w:hint="eastAsia" w:ascii="仿宋" w:hAnsi="仿宋" w:eastAsia="仿宋" w:cs="宋体"/>
                <w:bCs/>
                <w:color w:val="000000"/>
                <w:kern w:val="0"/>
                <w:sz w:val="32"/>
                <w:szCs w:val="32"/>
                <w:highlight w:val="none"/>
              </w:rPr>
              <w:t>分，每上浮</w:t>
            </w:r>
            <w:r>
              <w:rPr>
                <w:rFonts w:ascii="仿宋" w:hAnsi="仿宋" w:eastAsia="仿宋" w:cs="宋体"/>
                <w:bCs/>
                <w:color w:val="000000"/>
                <w:kern w:val="0"/>
                <w:sz w:val="32"/>
                <w:szCs w:val="32"/>
                <w:highlight w:val="none"/>
              </w:rPr>
              <w:t>1%</w:t>
            </w:r>
            <w:r>
              <w:rPr>
                <w:rFonts w:hint="eastAsia" w:ascii="仿宋" w:hAnsi="仿宋" w:eastAsia="仿宋" w:cs="宋体"/>
                <w:bCs/>
                <w:color w:val="000000"/>
                <w:kern w:val="0"/>
                <w:sz w:val="32"/>
                <w:szCs w:val="32"/>
                <w:highlight w:val="none"/>
              </w:rPr>
              <w:t>，</w:t>
            </w:r>
            <w:r>
              <w:rPr>
                <w:rFonts w:ascii="仿宋" w:hAnsi="仿宋" w:eastAsia="仿宋" w:cs="宋体"/>
                <w:bCs/>
                <w:color w:val="000000"/>
                <w:kern w:val="0"/>
                <w:sz w:val="32"/>
                <w:szCs w:val="32"/>
                <w:highlight w:val="none"/>
              </w:rPr>
              <w:t xml:space="preserve"> </w:t>
            </w:r>
            <w:r>
              <w:rPr>
                <w:rFonts w:hint="eastAsia" w:ascii="仿宋" w:hAnsi="仿宋" w:eastAsia="仿宋" w:cs="宋体"/>
                <w:bCs/>
                <w:color w:val="000000"/>
                <w:kern w:val="0"/>
                <w:sz w:val="32"/>
                <w:szCs w:val="32"/>
                <w:highlight w:val="none"/>
              </w:rPr>
              <w:t>得</w:t>
            </w:r>
            <w:r>
              <w:rPr>
                <w:rFonts w:ascii="仿宋" w:hAnsi="仿宋" w:eastAsia="仿宋" w:cs="宋体"/>
                <w:bCs/>
                <w:color w:val="000000"/>
                <w:kern w:val="0"/>
                <w:sz w:val="32"/>
                <w:szCs w:val="32"/>
                <w:highlight w:val="none"/>
              </w:rPr>
              <w:t>0.25</w:t>
            </w:r>
            <w:r>
              <w:rPr>
                <w:rFonts w:hint="eastAsia" w:ascii="仿宋" w:hAnsi="仿宋" w:eastAsia="仿宋" w:cs="宋体"/>
                <w:bCs/>
                <w:color w:val="000000"/>
                <w:kern w:val="0"/>
                <w:sz w:val="32"/>
                <w:szCs w:val="32"/>
                <w:highlight w:val="none"/>
              </w:rPr>
              <w:t>分；</w:t>
            </w:r>
          </w:p>
          <w:p>
            <w:pPr>
              <w:widowControl/>
              <w:ind w:firstLine="640" w:firstLineChars="200"/>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1.6</w:t>
            </w:r>
            <w:r>
              <w:rPr>
                <w:rFonts w:hint="eastAsia" w:ascii="仿宋" w:hAnsi="仿宋" w:eastAsia="仿宋"/>
                <w:sz w:val="32"/>
                <w:szCs w:val="32"/>
                <w:highlight w:val="none"/>
              </w:rPr>
              <w:t>法人透支额度承诺提供最高的得</w:t>
            </w:r>
            <w:r>
              <w:rPr>
                <w:rFonts w:ascii="仿宋" w:hAnsi="仿宋" w:eastAsia="仿宋"/>
                <w:sz w:val="32"/>
                <w:szCs w:val="32"/>
                <w:highlight w:val="none"/>
              </w:rPr>
              <w:t>2</w:t>
            </w:r>
            <w:r>
              <w:rPr>
                <w:rFonts w:hint="eastAsia" w:ascii="仿宋" w:hAnsi="仿宋" w:eastAsia="仿宋"/>
                <w:sz w:val="32"/>
                <w:szCs w:val="32"/>
                <w:highlight w:val="none"/>
              </w:rPr>
              <w:t>分，第二高的扣</w:t>
            </w:r>
            <w:r>
              <w:rPr>
                <w:rFonts w:ascii="仿宋" w:hAnsi="仿宋" w:eastAsia="仿宋"/>
                <w:sz w:val="32"/>
                <w:szCs w:val="32"/>
                <w:highlight w:val="none"/>
              </w:rPr>
              <w:t>0.5</w:t>
            </w:r>
            <w:r>
              <w:rPr>
                <w:rFonts w:hint="eastAsia" w:ascii="仿宋" w:hAnsi="仿宋" w:eastAsia="仿宋"/>
                <w:sz w:val="32"/>
                <w:szCs w:val="32"/>
                <w:highlight w:val="none"/>
              </w:rPr>
              <w:t>分，以此类推，扣完为止；</w:t>
            </w:r>
          </w:p>
          <w:p>
            <w:pPr>
              <w:widowControl/>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 xml:space="preserve">    1.7</w:t>
            </w:r>
            <w:r>
              <w:rPr>
                <w:rFonts w:hint="eastAsia" w:ascii="仿宋" w:hAnsi="仿宋" w:eastAsia="仿宋"/>
                <w:sz w:val="32"/>
                <w:szCs w:val="32"/>
                <w:highlight w:val="none"/>
              </w:rPr>
              <w:t>法人透支利率承诺提供最低的得</w:t>
            </w:r>
            <w:r>
              <w:rPr>
                <w:rFonts w:ascii="仿宋" w:hAnsi="仿宋" w:eastAsia="仿宋"/>
                <w:sz w:val="32"/>
                <w:szCs w:val="32"/>
                <w:highlight w:val="none"/>
              </w:rPr>
              <w:t>2</w:t>
            </w:r>
            <w:r>
              <w:rPr>
                <w:rFonts w:hint="eastAsia" w:ascii="仿宋" w:hAnsi="仿宋" w:eastAsia="仿宋"/>
                <w:sz w:val="32"/>
                <w:szCs w:val="32"/>
                <w:highlight w:val="none"/>
              </w:rPr>
              <w:t>分，第二低的扣</w:t>
            </w:r>
            <w:r>
              <w:rPr>
                <w:rFonts w:ascii="仿宋" w:hAnsi="仿宋" w:eastAsia="仿宋"/>
                <w:sz w:val="32"/>
                <w:szCs w:val="32"/>
                <w:highlight w:val="none"/>
              </w:rPr>
              <w:t>0.5</w:t>
            </w:r>
            <w:r>
              <w:rPr>
                <w:rFonts w:hint="eastAsia" w:ascii="仿宋" w:hAnsi="仿宋" w:eastAsia="仿宋"/>
                <w:sz w:val="32"/>
                <w:szCs w:val="32"/>
                <w:highlight w:val="none"/>
              </w:rPr>
              <w:t>分，以此类推，扣完为止；</w:t>
            </w:r>
          </w:p>
          <w:p>
            <w:pPr>
              <w:widowControl/>
              <w:ind w:firstLine="640" w:firstLineChars="200"/>
              <w:jc w:val="lef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 xml:space="preserve">1.8 </w:t>
            </w:r>
            <w:r>
              <w:rPr>
                <w:rFonts w:hint="eastAsia" w:ascii="仿宋" w:hAnsi="仿宋" w:eastAsia="仿宋" w:cs="宋体"/>
                <w:bCs/>
                <w:color w:val="000000"/>
                <w:kern w:val="0"/>
                <w:sz w:val="32"/>
                <w:szCs w:val="32"/>
                <w:highlight w:val="none"/>
              </w:rPr>
              <w:t>能提供分档计息存款的，得</w:t>
            </w:r>
            <w:r>
              <w:rPr>
                <w:rFonts w:ascii="仿宋" w:hAnsi="仿宋" w:eastAsia="仿宋" w:cs="宋体"/>
                <w:bCs/>
                <w:color w:val="000000"/>
                <w:kern w:val="0"/>
                <w:sz w:val="32"/>
                <w:szCs w:val="32"/>
                <w:highlight w:val="none"/>
              </w:rPr>
              <w:t>2</w:t>
            </w:r>
            <w:r>
              <w:rPr>
                <w:rFonts w:hint="eastAsia" w:ascii="仿宋" w:hAnsi="仿宋" w:eastAsia="仿宋" w:cs="宋体"/>
                <w:bCs/>
                <w:color w:val="000000"/>
                <w:kern w:val="0"/>
                <w:sz w:val="32"/>
                <w:szCs w:val="32"/>
                <w:highlight w:val="none"/>
              </w:rPr>
              <w:t>分；</w:t>
            </w:r>
          </w:p>
          <w:p>
            <w:pPr>
              <w:widowControl/>
              <w:jc w:val="left"/>
              <w:rPr>
                <w:rFonts w:ascii="仿宋" w:hAnsi="仿宋" w:eastAsia="仿宋" w:cs="宋体"/>
                <w:color w:val="000000"/>
                <w:kern w:val="0"/>
                <w:sz w:val="22"/>
                <w:highlight w:val="none"/>
              </w:rPr>
            </w:pPr>
            <w:r>
              <w:rPr>
                <w:rFonts w:ascii="仿宋" w:hAnsi="仿宋" w:eastAsia="仿宋" w:cs="宋体"/>
                <w:bCs/>
                <w:color w:val="000000"/>
                <w:kern w:val="0"/>
                <w:sz w:val="32"/>
                <w:szCs w:val="32"/>
                <w:highlight w:val="none"/>
              </w:rPr>
              <w:t xml:space="preserve">    1.9</w:t>
            </w:r>
            <w:r>
              <w:rPr>
                <w:rFonts w:hint="eastAsia" w:ascii="仿宋" w:hAnsi="仿宋" w:eastAsia="仿宋" w:cs="宋体"/>
                <w:bCs/>
                <w:color w:val="000000"/>
                <w:kern w:val="0"/>
                <w:sz w:val="32"/>
                <w:szCs w:val="32"/>
                <w:highlight w:val="none"/>
              </w:rPr>
              <w:t>承诺按照最新公布的行业政策，及时上调上述存款利率的，得</w:t>
            </w:r>
            <w:r>
              <w:rPr>
                <w:rFonts w:ascii="仿宋" w:hAnsi="仿宋" w:eastAsia="仿宋" w:cs="宋体"/>
                <w:bCs/>
                <w:color w:val="000000"/>
                <w:kern w:val="0"/>
                <w:sz w:val="32"/>
                <w:szCs w:val="32"/>
                <w:highlight w:val="none"/>
              </w:rPr>
              <w:t>2</w:t>
            </w:r>
            <w:r>
              <w:rPr>
                <w:rFonts w:hint="eastAsia" w:ascii="仿宋" w:hAnsi="仿宋" w:eastAsia="仿宋" w:cs="宋体"/>
                <w:bCs/>
                <w:color w:val="000000"/>
                <w:kern w:val="0"/>
                <w:sz w:val="32"/>
                <w:szCs w:val="32"/>
                <w:highlight w:val="none"/>
              </w:rPr>
              <w:t>分；如承诺遇政策下调时不调整的，可再加</w:t>
            </w:r>
            <w:r>
              <w:rPr>
                <w:rFonts w:ascii="仿宋" w:hAnsi="仿宋" w:eastAsia="仿宋" w:cs="宋体"/>
                <w:bCs/>
                <w:color w:val="000000"/>
                <w:kern w:val="0"/>
                <w:sz w:val="32"/>
                <w:szCs w:val="32"/>
                <w:highlight w:val="none"/>
              </w:rPr>
              <w:t>2</w:t>
            </w:r>
            <w:r>
              <w:rPr>
                <w:rFonts w:hint="eastAsia" w:ascii="仿宋" w:hAnsi="仿宋" w:eastAsia="仿宋" w:cs="宋体"/>
                <w:bCs/>
                <w:color w:val="000000"/>
                <w:kern w:val="0"/>
                <w:sz w:val="32"/>
                <w:szCs w:val="32"/>
                <w:highlight w:val="none"/>
              </w:rPr>
              <w:t>分。</w:t>
            </w:r>
          </w:p>
        </w:tc>
      </w:tr>
    </w:tbl>
    <w:p>
      <w:pPr>
        <w:spacing w:line="240" w:lineRule="atLeast"/>
        <w:rPr>
          <w:rFonts w:ascii="仿宋" w:hAnsi="仿宋" w:eastAsia="仿宋" w:cs="宋体"/>
          <w:bCs/>
          <w:color w:val="000000"/>
          <w:kern w:val="0"/>
          <w:sz w:val="32"/>
          <w:szCs w:val="32"/>
          <w:highlight w:val="none"/>
        </w:rPr>
      </w:pPr>
      <w:r>
        <w:rPr>
          <w:rFonts w:ascii="仿宋" w:hAnsi="仿宋" w:eastAsia="仿宋" w:cs="宋体"/>
          <w:bCs/>
          <w:color w:val="000000"/>
          <w:kern w:val="0"/>
          <w:sz w:val="32"/>
          <w:szCs w:val="32"/>
          <w:highlight w:val="none"/>
        </w:rPr>
        <w:t xml:space="preserve">    2.</w:t>
      </w:r>
      <w:r>
        <w:rPr>
          <w:rFonts w:hint="eastAsia" w:ascii="仿宋" w:hAnsi="仿宋" w:eastAsia="仿宋" w:cs="宋体"/>
          <w:bCs/>
          <w:color w:val="000000"/>
          <w:kern w:val="0"/>
          <w:sz w:val="32"/>
          <w:szCs w:val="32"/>
          <w:highlight w:val="none"/>
        </w:rPr>
        <w:t>技术部分评分原则（满分</w:t>
      </w:r>
      <w:r>
        <w:rPr>
          <w:rFonts w:ascii="仿宋" w:hAnsi="仿宋" w:eastAsia="仿宋" w:cs="宋体"/>
          <w:bCs/>
          <w:color w:val="000000"/>
          <w:kern w:val="0"/>
          <w:sz w:val="32"/>
          <w:szCs w:val="32"/>
          <w:highlight w:val="none"/>
        </w:rPr>
        <w:t>50</w:t>
      </w:r>
      <w:r>
        <w:rPr>
          <w:rFonts w:hint="eastAsia" w:ascii="仿宋" w:hAnsi="仿宋" w:eastAsia="仿宋" w:cs="宋体"/>
          <w:bCs/>
          <w:color w:val="000000"/>
          <w:kern w:val="0"/>
          <w:sz w:val="32"/>
          <w:szCs w:val="32"/>
          <w:highlight w:val="none"/>
        </w:rPr>
        <w:t>分）：</w:t>
      </w:r>
    </w:p>
    <w:tbl>
      <w:tblPr>
        <w:tblStyle w:val="11"/>
        <w:tblW w:w="9747" w:type="dxa"/>
        <w:tblInd w:w="-459" w:type="dxa"/>
        <w:tblLayout w:type="fixed"/>
        <w:tblCellMar>
          <w:top w:w="0" w:type="dxa"/>
          <w:left w:w="108" w:type="dxa"/>
          <w:bottom w:w="0" w:type="dxa"/>
          <w:right w:w="108" w:type="dxa"/>
        </w:tblCellMar>
      </w:tblPr>
      <w:tblGrid>
        <w:gridCol w:w="927"/>
        <w:gridCol w:w="2160"/>
        <w:gridCol w:w="720"/>
        <w:gridCol w:w="4500"/>
        <w:gridCol w:w="1440"/>
      </w:tblGrid>
      <w:tr>
        <w:tblPrEx>
          <w:tblLayout w:type="fixed"/>
          <w:tblCellMar>
            <w:top w:w="0" w:type="dxa"/>
            <w:left w:w="108" w:type="dxa"/>
            <w:bottom w:w="0" w:type="dxa"/>
            <w:right w:w="108" w:type="dxa"/>
          </w:tblCellMar>
        </w:tblPrEx>
        <w:trPr>
          <w:trHeight w:val="285" w:hRule="atLeast"/>
        </w:trPr>
        <w:tc>
          <w:tcPr>
            <w:tcW w:w="92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评审项目</w:t>
            </w:r>
          </w:p>
        </w:tc>
        <w:tc>
          <w:tcPr>
            <w:tcW w:w="2160"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评审因素</w:t>
            </w:r>
          </w:p>
        </w:tc>
        <w:tc>
          <w:tcPr>
            <w:tcW w:w="720"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满分分值</w:t>
            </w:r>
          </w:p>
        </w:tc>
        <w:tc>
          <w:tcPr>
            <w:tcW w:w="4500"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评分标准</w:t>
            </w:r>
          </w:p>
        </w:tc>
        <w:tc>
          <w:tcPr>
            <w:tcW w:w="1440"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备注</w:t>
            </w:r>
          </w:p>
        </w:tc>
      </w:tr>
      <w:tr>
        <w:tblPrEx>
          <w:tblLayout w:type="fixed"/>
          <w:tblCellMar>
            <w:top w:w="0" w:type="dxa"/>
            <w:left w:w="108" w:type="dxa"/>
            <w:bottom w:w="0" w:type="dxa"/>
            <w:right w:w="108" w:type="dxa"/>
          </w:tblCellMar>
        </w:tblPrEx>
        <w:trPr>
          <w:trHeight w:val="525" w:hRule="atLeast"/>
        </w:trPr>
        <w:tc>
          <w:tcPr>
            <w:tcW w:w="927"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机构资质、评级（满分</w:t>
            </w:r>
            <w:r>
              <w:rPr>
                <w:rFonts w:ascii="宋体" w:hAnsi="宋体" w:cs="宋体"/>
                <w:color w:val="000000"/>
                <w:kern w:val="0"/>
                <w:sz w:val="20"/>
                <w:szCs w:val="20"/>
                <w:highlight w:val="none"/>
              </w:rPr>
              <w:t>20</w:t>
            </w:r>
            <w:r>
              <w:rPr>
                <w:rFonts w:hint="eastAsia" w:ascii="宋体" w:hAnsi="宋体" w:cs="宋体"/>
                <w:color w:val="000000"/>
                <w:kern w:val="0"/>
                <w:sz w:val="20"/>
                <w:szCs w:val="20"/>
                <w:highlight w:val="none"/>
              </w:rPr>
              <w:t>分）</w:t>
            </w:r>
          </w:p>
        </w:tc>
        <w:tc>
          <w:tcPr>
            <w:tcW w:w="216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人行综合评价</w:t>
            </w:r>
          </w:p>
        </w:tc>
        <w:tc>
          <w:tcPr>
            <w:tcW w:w="720"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6</w:t>
            </w:r>
          </w:p>
        </w:tc>
        <w:tc>
          <w:tcPr>
            <w:tcW w:w="450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hint="eastAsia" w:ascii="宋体" w:hAnsi="宋体" w:cs="宋体"/>
                <w:color w:val="000000"/>
                <w:kern w:val="0"/>
                <w:sz w:val="20"/>
                <w:szCs w:val="20"/>
                <w:highlight w:val="none"/>
              </w:rPr>
              <w:t>近三年全部为</w:t>
            </w:r>
            <w:r>
              <w:rPr>
                <w:rFonts w:ascii="宋体" w:hAnsi="宋体" w:cs="Calibri"/>
                <w:color w:val="000000"/>
                <w:kern w:val="0"/>
                <w:sz w:val="20"/>
                <w:szCs w:val="20"/>
                <w:highlight w:val="none"/>
              </w:rPr>
              <w:t>A</w:t>
            </w:r>
            <w:r>
              <w:rPr>
                <w:rFonts w:hint="eastAsia" w:ascii="宋体" w:hAnsi="宋体" w:cs="宋体"/>
                <w:color w:val="000000"/>
                <w:kern w:val="0"/>
                <w:sz w:val="20"/>
                <w:szCs w:val="20"/>
                <w:highlight w:val="none"/>
              </w:rPr>
              <w:t>等的，得</w:t>
            </w:r>
            <w:r>
              <w:rPr>
                <w:rFonts w:ascii="宋体" w:hAnsi="宋体" w:cs="Calibri"/>
                <w:color w:val="000000"/>
                <w:kern w:val="0"/>
                <w:sz w:val="20"/>
                <w:szCs w:val="20"/>
                <w:highlight w:val="none"/>
              </w:rPr>
              <w:t>6</w:t>
            </w:r>
            <w:r>
              <w:rPr>
                <w:rFonts w:hint="eastAsia" w:ascii="宋体" w:hAnsi="宋体" w:cs="宋体"/>
                <w:color w:val="000000"/>
                <w:kern w:val="0"/>
                <w:sz w:val="20"/>
                <w:szCs w:val="20"/>
                <w:highlight w:val="none"/>
              </w:rPr>
              <w:t>分；近三年曾为</w:t>
            </w:r>
            <w:r>
              <w:rPr>
                <w:rFonts w:ascii="宋体" w:hAnsi="宋体" w:cs="Calibri"/>
                <w:color w:val="000000"/>
                <w:kern w:val="0"/>
                <w:sz w:val="20"/>
                <w:szCs w:val="20"/>
                <w:highlight w:val="none"/>
              </w:rPr>
              <w:t>A</w:t>
            </w:r>
            <w:r>
              <w:rPr>
                <w:rFonts w:hint="eastAsia" w:ascii="宋体" w:hAnsi="宋体" w:cs="宋体"/>
                <w:color w:val="000000"/>
                <w:kern w:val="0"/>
                <w:sz w:val="20"/>
                <w:szCs w:val="20"/>
                <w:highlight w:val="none"/>
              </w:rPr>
              <w:t>等的，</w:t>
            </w:r>
            <w:r>
              <w:rPr>
                <w:rFonts w:hint="eastAsia" w:ascii="宋体" w:hAnsi="宋体"/>
                <w:sz w:val="20"/>
                <w:szCs w:val="20"/>
                <w:highlight w:val="none"/>
              </w:rPr>
              <w:t>每年得</w:t>
            </w:r>
            <w:r>
              <w:rPr>
                <w:rFonts w:ascii="宋体" w:hAnsi="宋体"/>
                <w:sz w:val="20"/>
                <w:szCs w:val="20"/>
                <w:highlight w:val="none"/>
              </w:rPr>
              <w:t>2</w:t>
            </w:r>
            <w:r>
              <w:rPr>
                <w:rFonts w:hint="eastAsia" w:ascii="宋体" w:hAnsi="宋体"/>
                <w:sz w:val="20"/>
                <w:szCs w:val="20"/>
                <w:highlight w:val="none"/>
              </w:rPr>
              <w:t>分；评价为</w:t>
            </w:r>
            <w:r>
              <w:rPr>
                <w:rFonts w:ascii="宋体" w:hAnsi="宋体"/>
                <w:sz w:val="20"/>
                <w:szCs w:val="20"/>
                <w:highlight w:val="none"/>
              </w:rPr>
              <w:t>B</w:t>
            </w:r>
            <w:r>
              <w:rPr>
                <w:rFonts w:hint="eastAsia" w:ascii="宋体" w:hAnsi="宋体"/>
                <w:sz w:val="20"/>
                <w:szCs w:val="20"/>
                <w:highlight w:val="none"/>
              </w:rPr>
              <w:t>的每年得</w:t>
            </w:r>
            <w:r>
              <w:rPr>
                <w:rFonts w:ascii="宋体" w:hAnsi="宋体"/>
                <w:sz w:val="20"/>
                <w:szCs w:val="20"/>
                <w:highlight w:val="none"/>
              </w:rPr>
              <w:t>1</w:t>
            </w:r>
            <w:r>
              <w:rPr>
                <w:rFonts w:hint="eastAsia" w:ascii="宋体" w:hAnsi="宋体"/>
                <w:sz w:val="20"/>
                <w:szCs w:val="20"/>
                <w:highlight w:val="none"/>
              </w:rPr>
              <w:t>分；评价为</w:t>
            </w:r>
            <w:r>
              <w:rPr>
                <w:rFonts w:ascii="宋体" w:hAnsi="宋体"/>
                <w:sz w:val="20"/>
                <w:szCs w:val="20"/>
                <w:highlight w:val="none"/>
              </w:rPr>
              <w:t>C</w:t>
            </w:r>
            <w:r>
              <w:rPr>
                <w:rFonts w:hint="eastAsia" w:ascii="宋体" w:hAnsi="宋体"/>
                <w:sz w:val="20"/>
                <w:szCs w:val="20"/>
                <w:highlight w:val="none"/>
              </w:rPr>
              <w:t>的每年不得分</w:t>
            </w:r>
            <w:r>
              <w:rPr>
                <w:rFonts w:hint="eastAsia" w:ascii="宋体" w:hAnsi="宋体" w:cs="宋体"/>
                <w:color w:val="000000"/>
                <w:kern w:val="0"/>
                <w:sz w:val="20"/>
                <w:szCs w:val="20"/>
                <w:highlight w:val="none"/>
              </w:rPr>
              <w:t>。</w:t>
            </w:r>
          </w:p>
        </w:tc>
        <w:tc>
          <w:tcPr>
            <w:tcW w:w="1440" w:type="dxa"/>
            <w:tcBorders>
              <w:top w:val="single" w:color="auto" w:sz="8" w:space="0"/>
              <w:left w:val="nil"/>
              <w:bottom w:val="single" w:color="auto" w:sz="8" w:space="0"/>
              <w:right w:val="single" w:color="auto" w:sz="8" w:space="0"/>
            </w:tcBorders>
            <w:vAlign w:val="center"/>
          </w:tcPr>
          <w:p>
            <w:pPr>
              <w:widowControl/>
              <w:rPr>
                <w:rFonts w:ascii="宋体" w:cs="宋体"/>
                <w:color w:val="000000"/>
                <w:kern w:val="0"/>
                <w:sz w:val="18"/>
                <w:szCs w:val="18"/>
                <w:highlight w:val="none"/>
              </w:rPr>
            </w:pPr>
            <w:r>
              <w:rPr>
                <w:rFonts w:hint="eastAsia" w:ascii="宋体" w:hAnsi="宋体"/>
                <w:sz w:val="18"/>
                <w:szCs w:val="18"/>
                <w:highlight w:val="none"/>
              </w:rPr>
              <w:t>评价不足</w:t>
            </w:r>
            <w:r>
              <w:rPr>
                <w:rFonts w:ascii="宋体" w:hAnsi="宋体"/>
                <w:sz w:val="18"/>
                <w:szCs w:val="18"/>
                <w:highlight w:val="none"/>
              </w:rPr>
              <w:t>3</w:t>
            </w:r>
            <w:r>
              <w:rPr>
                <w:rFonts w:hint="eastAsia" w:ascii="宋体" w:hAnsi="宋体"/>
                <w:sz w:val="18"/>
                <w:szCs w:val="18"/>
                <w:highlight w:val="none"/>
              </w:rPr>
              <w:t>年的，按当年不得分处理。</w:t>
            </w:r>
            <w:r>
              <w:rPr>
                <w:rFonts w:hint="eastAsia" w:ascii="宋体" w:hAnsi="宋体" w:cs="宋体"/>
                <w:color w:val="000000"/>
                <w:kern w:val="0"/>
                <w:sz w:val="18"/>
                <w:szCs w:val="18"/>
                <w:highlight w:val="none"/>
              </w:rPr>
              <w:t>　</w:t>
            </w:r>
          </w:p>
        </w:tc>
      </w:tr>
      <w:tr>
        <w:tblPrEx>
          <w:tblLayout w:type="fixed"/>
          <w:tblCellMar>
            <w:top w:w="0" w:type="dxa"/>
            <w:left w:w="108" w:type="dxa"/>
            <w:bottom w:w="0" w:type="dxa"/>
            <w:right w:w="108" w:type="dxa"/>
          </w:tblCellMar>
        </w:tblPrEx>
        <w:trPr>
          <w:trHeight w:val="525" w:hRule="atLeast"/>
        </w:trPr>
        <w:tc>
          <w:tcPr>
            <w:tcW w:w="92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highlight w:val="none"/>
              </w:rPr>
            </w:pPr>
          </w:p>
        </w:tc>
        <w:tc>
          <w:tcPr>
            <w:tcW w:w="216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银监监管评级</w:t>
            </w:r>
          </w:p>
        </w:tc>
        <w:tc>
          <w:tcPr>
            <w:tcW w:w="720"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6</w:t>
            </w:r>
          </w:p>
        </w:tc>
        <w:tc>
          <w:tcPr>
            <w:tcW w:w="450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hint="eastAsia" w:ascii="宋体" w:hAnsi="宋体" w:cs="宋体"/>
                <w:color w:val="000000"/>
                <w:kern w:val="0"/>
                <w:sz w:val="20"/>
                <w:szCs w:val="20"/>
                <w:highlight w:val="none"/>
              </w:rPr>
              <w:t>近三年全部为</w:t>
            </w:r>
            <w:r>
              <w:rPr>
                <w:rFonts w:cs="Calibri"/>
                <w:color w:val="000000"/>
                <w:kern w:val="0"/>
                <w:sz w:val="20"/>
                <w:szCs w:val="20"/>
                <w:highlight w:val="none"/>
              </w:rPr>
              <w:t>1</w:t>
            </w:r>
            <w:r>
              <w:rPr>
                <w:rFonts w:hint="eastAsia" w:ascii="宋体" w:hAnsi="宋体" w:cs="宋体"/>
                <w:color w:val="000000"/>
                <w:kern w:val="0"/>
                <w:sz w:val="20"/>
                <w:szCs w:val="20"/>
                <w:highlight w:val="none"/>
              </w:rPr>
              <w:t>级的，得</w:t>
            </w:r>
            <w:r>
              <w:rPr>
                <w:rFonts w:cs="Calibri"/>
                <w:color w:val="000000"/>
                <w:kern w:val="0"/>
                <w:sz w:val="20"/>
                <w:szCs w:val="20"/>
                <w:highlight w:val="none"/>
              </w:rPr>
              <w:t>6</w:t>
            </w:r>
            <w:r>
              <w:rPr>
                <w:rFonts w:hint="eastAsia" w:ascii="宋体" w:hAnsi="宋体" w:cs="宋体"/>
                <w:color w:val="000000"/>
                <w:kern w:val="0"/>
                <w:sz w:val="20"/>
                <w:szCs w:val="20"/>
                <w:highlight w:val="none"/>
              </w:rPr>
              <w:t>分；近三年曾为</w:t>
            </w:r>
            <w:r>
              <w:rPr>
                <w:rFonts w:cs="Calibri"/>
                <w:color w:val="000000"/>
                <w:kern w:val="0"/>
                <w:sz w:val="20"/>
                <w:szCs w:val="20"/>
                <w:highlight w:val="none"/>
              </w:rPr>
              <w:t>1</w:t>
            </w:r>
            <w:r>
              <w:rPr>
                <w:rFonts w:hint="eastAsia" w:ascii="宋体" w:hAnsi="宋体" w:cs="宋体"/>
                <w:color w:val="000000"/>
                <w:kern w:val="0"/>
                <w:sz w:val="20"/>
                <w:szCs w:val="20"/>
                <w:highlight w:val="none"/>
              </w:rPr>
              <w:t>级的，</w:t>
            </w:r>
            <w:r>
              <w:rPr>
                <w:rFonts w:hint="eastAsia" w:ascii="宋体" w:hAnsi="宋体"/>
                <w:sz w:val="20"/>
                <w:szCs w:val="20"/>
                <w:highlight w:val="none"/>
              </w:rPr>
              <w:t>每年</w:t>
            </w:r>
            <w:r>
              <w:rPr>
                <w:rFonts w:hint="eastAsia" w:ascii="宋体" w:hAnsi="宋体" w:cs="宋体"/>
                <w:color w:val="000000"/>
                <w:kern w:val="0"/>
                <w:sz w:val="20"/>
                <w:szCs w:val="20"/>
                <w:highlight w:val="none"/>
              </w:rPr>
              <w:t>得</w:t>
            </w:r>
            <w:r>
              <w:rPr>
                <w:rFonts w:cs="Calibri"/>
                <w:color w:val="000000"/>
                <w:kern w:val="0"/>
                <w:sz w:val="20"/>
                <w:szCs w:val="20"/>
                <w:highlight w:val="none"/>
              </w:rPr>
              <w:t>2</w:t>
            </w:r>
            <w:r>
              <w:rPr>
                <w:rFonts w:hint="eastAsia" w:ascii="宋体" w:hAnsi="宋体" w:cs="宋体"/>
                <w:color w:val="000000"/>
                <w:kern w:val="0"/>
                <w:sz w:val="20"/>
                <w:szCs w:val="20"/>
                <w:highlight w:val="none"/>
              </w:rPr>
              <w:t>分；</w:t>
            </w:r>
            <w:r>
              <w:rPr>
                <w:rFonts w:hint="eastAsia" w:ascii="宋体" w:hAnsi="宋体"/>
                <w:sz w:val="20"/>
                <w:szCs w:val="20"/>
                <w:highlight w:val="none"/>
              </w:rPr>
              <w:t>评价为</w:t>
            </w:r>
            <w:r>
              <w:rPr>
                <w:rFonts w:ascii="宋体" w:hAnsi="宋体"/>
                <w:sz w:val="20"/>
                <w:szCs w:val="20"/>
                <w:highlight w:val="none"/>
              </w:rPr>
              <w:t>2</w:t>
            </w:r>
            <w:r>
              <w:rPr>
                <w:rFonts w:hint="eastAsia" w:ascii="宋体" w:hAnsi="宋体"/>
                <w:sz w:val="20"/>
                <w:szCs w:val="20"/>
                <w:highlight w:val="none"/>
              </w:rPr>
              <w:t>级的每年得</w:t>
            </w:r>
            <w:r>
              <w:rPr>
                <w:rFonts w:ascii="宋体" w:hAnsi="宋体"/>
                <w:sz w:val="20"/>
                <w:szCs w:val="20"/>
                <w:highlight w:val="none"/>
              </w:rPr>
              <w:t>1</w:t>
            </w:r>
            <w:r>
              <w:rPr>
                <w:rFonts w:hint="eastAsia" w:ascii="宋体" w:hAnsi="宋体"/>
                <w:sz w:val="20"/>
                <w:szCs w:val="20"/>
                <w:highlight w:val="none"/>
              </w:rPr>
              <w:t>分；评价为</w:t>
            </w:r>
            <w:r>
              <w:rPr>
                <w:rFonts w:ascii="宋体" w:hAnsi="宋体"/>
                <w:sz w:val="20"/>
                <w:szCs w:val="20"/>
                <w:highlight w:val="none"/>
              </w:rPr>
              <w:t>3</w:t>
            </w:r>
            <w:r>
              <w:rPr>
                <w:rFonts w:hint="eastAsia" w:ascii="宋体" w:hAnsi="宋体"/>
                <w:sz w:val="20"/>
                <w:szCs w:val="20"/>
                <w:highlight w:val="none"/>
              </w:rPr>
              <w:t>级的每年不得分</w:t>
            </w:r>
            <w:r>
              <w:rPr>
                <w:rFonts w:hint="eastAsia" w:ascii="宋体" w:hAnsi="宋体" w:cs="宋体"/>
                <w:color w:val="000000"/>
                <w:kern w:val="0"/>
                <w:sz w:val="20"/>
                <w:szCs w:val="20"/>
                <w:highlight w:val="none"/>
              </w:rPr>
              <w:t>。</w:t>
            </w:r>
          </w:p>
        </w:tc>
        <w:tc>
          <w:tcPr>
            <w:tcW w:w="1440" w:type="dxa"/>
            <w:tcBorders>
              <w:top w:val="single" w:color="auto" w:sz="8" w:space="0"/>
              <w:left w:val="nil"/>
              <w:bottom w:val="single" w:color="auto" w:sz="8" w:space="0"/>
              <w:right w:val="single" w:color="auto" w:sz="8" w:space="0"/>
            </w:tcBorders>
            <w:vAlign w:val="center"/>
          </w:tcPr>
          <w:p>
            <w:pPr>
              <w:widowControl/>
              <w:rPr>
                <w:rFonts w:ascii="宋体" w:cs="宋体"/>
                <w:color w:val="000000"/>
                <w:kern w:val="0"/>
                <w:sz w:val="20"/>
                <w:szCs w:val="20"/>
                <w:highlight w:val="none"/>
              </w:rPr>
            </w:pPr>
            <w:r>
              <w:rPr>
                <w:rFonts w:hint="eastAsia" w:ascii="宋体" w:hAnsi="宋体"/>
                <w:sz w:val="18"/>
                <w:szCs w:val="18"/>
                <w:highlight w:val="none"/>
              </w:rPr>
              <w:t>评价不足</w:t>
            </w:r>
            <w:r>
              <w:rPr>
                <w:rFonts w:ascii="宋体" w:hAnsi="宋体"/>
                <w:sz w:val="18"/>
                <w:szCs w:val="18"/>
                <w:highlight w:val="none"/>
              </w:rPr>
              <w:t>3</w:t>
            </w:r>
            <w:r>
              <w:rPr>
                <w:rFonts w:hint="eastAsia" w:ascii="宋体" w:hAnsi="宋体"/>
                <w:sz w:val="18"/>
                <w:szCs w:val="18"/>
                <w:highlight w:val="none"/>
              </w:rPr>
              <w:t>年的，按当年不得分处理。</w:t>
            </w:r>
            <w:r>
              <w:rPr>
                <w:rFonts w:hint="eastAsia" w:ascii="宋体" w:hAnsi="宋体" w:cs="宋体"/>
                <w:color w:val="000000"/>
                <w:kern w:val="0"/>
                <w:sz w:val="18"/>
                <w:szCs w:val="18"/>
                <w:highlight w:val="none"/>
              </w:rPr>
              <w:t>　</w:t>
            </w:r>
          </w:p>
        </w:tc>
      </w:tr>
      <w:tr>
        <w:tblPrEx>
          <w:tblLayout w:type="fixed"/>
          <w:tblCellMar>
            <w:top w:w="0" w:type="dxa"/>
            <w:left w:w="108" w:type="dxa"/>
            <w:bottom w:w="0" w:type="dxa"/>
            <w:right w:w="108" w:type="dxa"/>
          </w:tblCellMar>
        </w:tblPrEx>
        <w:trPr>
          <w:trHeight w:val="495" w:hRule="atLeast"/>
        </w:trPr>
        <w:tc>
          <w:tcPr>
            <w:tcW w:w="92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highlight w:val="none"/>
              </w:rPr>
            </w:pPr>
          </w:p>
        </w:tc>
        <w:tc>
          <w:tcPr>
            <w:tcW w:w="216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为国有大型企业服务经验</w:t>
            </w:r>
          </w:p>
        </w:tc>
        <w:tc>
          <w:tcPr>
            <w:tcW w:w="720"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4</w:t>
            </w:r>
          </w:p>
        </w:tc>
        <w:tc>
          <w:tcPr>
            <w:tcW w:w="450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hint="eastAsia" w:ascii="宋体" w:hAnsi="宋体" w:cs="宋体"/>
                <w:color w:val="000000"/>
                <w:kern w:val="0"/>
                <w:sz w:val="20"/>
                <w:szCs w:val="20"/>
                <w:highlight w:val="none"/>
              </w:rPr>
              <w:t>有为国有大型企业提供金融服务经验得</w:t>
            </w:r>
            <w:r>
              <w:rPr>
                <w:rFonts w:ascii="宋体" w:hAnsi="宋体" w:cs="宋体"/>
                <w:color w:val="000000"/>
                <w:kern w:val="0"/>
                <w:sz w:val="20"/>
                <w:szCs w:val="20"/>
                <w:highlight w:val="none"/>
              </w:rPr>
              <w:t>2</w:t>
            </w:r>
            <w:r>
              <w:rPr>
                <w:rFonts w:hint="eastAsia" w:ascii="宋体" w:hAnsi="宋体" w:cs="宋体"/>
                <w:color w:val="000000"/>
                <w:kern w:val="0"/>
                <w:sz w:val="20"/>
                <w:szCs w:val="20"/>
                <w:highlight w:val="none"/>
              </w:rPr>
              <w:t>分。（需提供合同复印件作为证明材料）</w:t>
            </w:r>
          </w:p>
        </w:tc>
        <w:tc>
          <w:tcPr>
            <w:tcW w:w="144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555" w:hRule="atLeast"/>
        </w:trPr>
        <w:tc>
          <w:tcPr>
            <w:tcW w:w="92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highlight w:val="none"/>
              </w:rPr>
            </w:pPr>
          </w:p>
        </w:tc>
        <w:tc>
          <w:tcPr>
            <w:tcW w:w="216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机构评级</w:t>
            </w:r>
          </w:p>
        </w:tc>
        <w:tc>
          <w:tcPr>
            <w:tcW w:w="720"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4</w:t>
            </w:r>
          </w:p>
        </w:tc>
        <w:tc>
          <w:tcPr>
            <w:tcW w:w="450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ascii="宋体" w:hAnsi="宋体" w:cs="宋体"/>
                <w:color w:val="000000"/>
                <w:kern w:val="0"/>
                <w:sz w:val="20"/>
                <w:szCs w:val="20"/>
                <w:highlight w:val="none"/>
              </w:rPr>
              <w:t>A+/A/A-</w:t>
            </w:r>
            <w:r>
              <w:rPr>
                <w:rFonts w:hint="eastAsia" w:ascii="宋体" w:hAnsi="宋体" w:cs="宋体"/>
                <w:color w:val="000000"/>
                <w:kern w:val="0"/>
                <w:sz w:val="20"/>
                <w:szCs w:val="20"/>
                <w:highlight w:val="none"/>
              </w:rPr>
              <w:t>的</w:t>
            </w:r>
            <w:r>
              <w:rPr>
                <w:rFonts w:ascii="宋体" w:hAnsi="宋体" w:cs="宋体"/>
                <w:color w:val="000000"/>
                <w:kern w:val="0"/>
                <w:sz w:val="20"/>
                <w:szCs w:val="20"/>
                <w:highlight w:val="none"/>
              </w:rPr>
              <w:t>4</w:t>
            </w:r>
            <w:r>
              <w:rPr>
                <w:rFonts w:hint="eastAsia" w:ascii="宋体" w:hAnsi="宋体" w:cs="宋体"/>
                <w:color w:val="000000"/>
                <w:kern w:val="0"/>
                <w:sz w:val="20"/>
                <w:szCs w:val="20"/>
                <w:highlight w:val="none"/>
              </w:rPr>
              <w:t>分，</w:t>
            </w:r>
            <w:r>
              <w:rPr>
                <w:rFonts w:ascii="宋体" w:hAnsi="宋体" w:cs="宋体"/>
                <w:color w:val="000000"/>
                <w:kern w:val="0"/>
                <w:sz w:val="20"/>
                <w:szCs w:val="20"/>
                <w:highlight w:val="none"/>
              </w:rPr>
              <w:t>BBB+/BBB/BBB-</w:t>
            </w:r>
            <w:r>
              <w:rPr>
                <w:rFonts w:hint="eastAsia" w:ascii="宋体" w:hAnsi="宋体" w:cs="宋体"/>
                <w:color w:val="000000"/>
                <w:kern w:val="0"/>
                <w:sz w:val="20"/>
                <w:szCs w:val="20"/>
                <w:highlight w:val="none"/>
              </w:rPr>
              <w:t>，</w:t>
            </w:r>
            <w:r>
              <w:rPr>
                <w:rFonts w:ascii="宋体" w:hAnsi="宋体" w:cs="宋体"/>
                <w:color w:val="000000"/>
                <w:kern w:val="0"/>
                <w:sz w:val="20"/>
                <w:szCs w:val="20"/>
                <w:highlight w:val="none"/>
              </w:rPr>
              <w:t>3</w:t>
            </w:r>
            <w:r>
              <w:rPr>
                <w:rFonts w:hint="eastAsia" w:ascii="宋体" w:hAnsi="宋体" w:cs="宋体"/>
                <w:color w:val="000000"/>
                <w:kern w:val="0"/>
                <w:sz w:val="20"/>
                <w:szCs w:val="20"/>
                <w:highlight w:val="none"/>
              </w:rPr>
              <w:t>分，</w:t>
            </w:r>
            <w:r>
              <w:rPr>
                <w:rFonts w:ascii="宋体" w:hAnsi="宋体" w:cs="宋体"/>
                <w:color w:val="000000"/>
                <w:kern w:val="0"/>
                <w:sz w:val="20"/>
                <w:szCs w:val="20"/>
                <w:highlight w:val="none"/>
              </w:rPr>
              <w:t>BB+/BB/BB-</w:t>
            </w:r>
            <w:r>
              <w:rPr>
                <w:rFonts w:hint="eastAsia" w:ascii="宋体" w:hAnsi="宋体" w:cs="宋体"/>
                <w:color w:val="000000"/>
                <w:kern w:val="0"/>
                <w:sz w:val="20"/>
                <w:szCs w:val="20"/>
                <w:highlight w:val="none"/>
              </w:rPr>
              <w:t>：</w:t>
            </w:r>
            <w:r>
              <w:rPr>
                <w:rFonts w:ascii="宋体" w:hAnsi="宋体" w:cs="宋体"/>
                <w:color w:val="000000"/>
                <w:kern w:val="0"/>
                <w:sz w:val="20"/>
                <w:szCs w:val="20"/>
                <w:highlight w:val="none"/>
              </w:rPr>
              <w:t>2</w:t>
            </w:r>
            <w:r>
              <w:rPr>
                <w:rFonts w:hint="eastAsia" w:ascii="宋体" w:hAnsi="宋体" w:cs="宋体"/>
                <w:color w:val="000000"/>
                <w:kern w:val="0"/>
                <w:sz w:val="20"/>
                <w:szCs w:val="20"/>
                <w:highlight w:val="none"/>
              </w:rPr>
              <w:t>分，无评级不得分（此为惠誉评分标准，如提供的为其他评级，按此折算酌情给分）</w:t>
            </w:r>
          </w:p>
        </w:tc>
        <w:tc>
          <w:tcPr>
            <w:tcW w:w="144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Layout w:type="fixed"/>
          <w:tblCellMar>
            <w:top w:w="0" w:type="dxa"/>
            <w:left w:w="108" w:type="dxa"/>
            <w:bottom w:w="0" w:type="dxa"/>
            <w:right w:w="108" w:type="dxa"/>
          </w:tblCellMar>
        </w:tblPrEx>
        <w:trPr>
          <w:trHeight w:val="510" w:hRule="atLeast"/>
        </w:trPr>
        <w:tc>
          <w:tcPr>
            <w:tcW w:w="927" w:type="dxa"/>
            <w:vMerge w:val="restart"/>
            <w:tcBorders>
              <w:top w:val="single" w:color="auto" w:sz="8" w:space="0"/>
              <w:left w:val="single" w:color="auto" w:sz="8" w:space="0"/>
              <w:right w:val="single" w:color="auto" w:sz="8" w:space="0"/>
            </w:tcBorders>
            <w:vAlign w:val="center"/>
          </w:tcPr>
          <w:p>
            <w:pPr>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历史合作记录及服务承诺（满</w:t>
            </w:r>
            <w:r>
              <w:rPr>
                <w:rFonts w:ascii="宋体" w:hAnsi="宋体" w:cs="宋体"/>
                <w:color w:val="000000"/>
                <w:kern w:val="0"/>
                <w:sz w:val="20"/>
                <w:szCs w:val="20"/>
                <w:highlight w:val="none"/>
              </w:rPr>
              <w:t>3</w:t>
            </w:r>
            <w:r>
              <w:rPr>
                <w:rFonts w:ascii="宋体" w:cs="宋体"/>
                <w:color w:val="000000"/>
                <w:kern w:val="0"/>
                <w:sz w:val="20"/>
                <w:szCs w:val="20"/>
                <w:highlight w:val="none"/>
              </w:rPr>
              <w:t>0</w:t>
            </w:r>
            <w:r>
              <w:rPr>
                <w:rFonts w:hint="eastAsia" w:ascii="宋体" w:hAnsi="宋体" w:cs="宋体"/>
                <w:color w:val="000000"/>
                <w:kern w:val="0"/>
                <w:sz w:val="20"/>
                <w:szCs w:val="20"/>
                <w:highlight w:val="none"/>
              </w:rPr>
              <w:t>分）</w:t>
            </w:r>
          </w:p>
        </w:tc>
        <w:tc>
          <w:tcPr>
            <w:tcW w:w="2160" w:type="dxa"/>
            <w:tcBorders>
              <w:top w:val="single" w:color="auto" w:sz="8" w:space="0"/>
              <w:left w:val="nil"/>
              <w:bottom w:val="single" w:color="auto" w:sz="8" w:space="0"/>
              <w:right w:val="nil"/>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网点布局</w:t>
            </w:r>
          </w:p>
        </w:tc>
        <w:tc>
          <w:tcPr>
            <w:tcW w:w="720" w:type="dxa"/>
            <w:tcBorders>
              <w:top w:val="single" w:color="auto" w:sz="8" w:space="0"/>
              <w:left w:val="single" w:color="auto" w:sz="8" w:space="0"/>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6</w:t>
            </w:r>
          </w:p>
        </w:tc>
        <w:tc>
          <w:tcPr>
            <w:tcW w:w="450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hint="eastAsia" w:ascii="宋体" w:hAnsi="宋体" w:cs="宋体"/>
                <w:color w:val="000000"/>
                <w:kern w:val="0"/>
                <w:sz w:val="20"/>
                <w:szCs w:val="20"/>
                <w:highlight w:val="none"/>
              </w:rPr>
              <w:t>在机场所在地</w:t>
            </w:r>
            <w:r>
              <w:rPr>
                <w:rFonts w:hint="eastAsia" w:ascii="宋体" w:hAnsi="宋体" w:cs="宋体"/>
                <w:kern w:val="0"/>
                <w:sz w:val="20"/>
                <w:szCs w:val="20"/>
                <w:highlight w:val="none"/>
              </w:rPr>
              <w:t>（指舟山市朱家尖）</w:t>
            </w:r>
            <w:r>
              <w:rPr>
                <w:rFonts w:hint="eastAsia" w:ascii="宋体" w:hAnsi="宋体" w:cs="宋体"/>
                <w:color w:val="000000"/>
                <w:kern w:val="0"/>
                <w:sz w:val="20"/>
                <w:szCs w:val="20"/>
                <w:highlight w:val="none"/>
              </w:rPr>
              <w:t>设有营业网点的得</w:t>
            </w:r>
            <w:r>
              <w:rPr>
                <w:rFonts w:ascii="宋体" w:hAnsi="宋体" w:cs="宋体"/>
                <w:color w:val="000000"/>
                <w:kern w:val="0"/>
                <w:sz w:val="20"/>
                <w:szCs w:val="20"/>
                <w:highlight w:val="none"/>
              </w:rPr>
              <w:t>3</w:t>
            </w:r>
            <w:r>
              <w:rPr>
                <w:rFonts w:hint="eastAsia" w:ascii="宋体" w:hAnsi="宋体" w:cs="宋体"/>
                <w:color w:val="000000"/>
                <w:kern w:val="0"/>
                <w:sz w:val="20"/>
                <w:szCs w:val="20"/>
                <w:highlight w:val="none"/>
              </w:rPr>
              <w:t>分；在机场所在地内</w:t>
            </w:r>
            <w:r>
              <w:rPr>
                <w:rFonts w:hint="eastAsia" w:ascii="宋体" w:hAnsi="宋体" w:cs="宋体"/>
                <w:kern w:val="0"/>
                <w:sz w:val="20"/>
                <w:szCs w:val="20"/>
                <w:highlight w:val="none"/>
              </w:rPr>
              <w:t>（指舟山市朱家尖机场内）</w:t>
            </w:r>
            <w:r>
              <w:rPr>
                <w:rFonts w:hint="eastAsia" w:ascii="宋体" w:hAnsi="宋体" w:cs="宋体"/>
                <w:color w:val="000000"/>
                <w:kern w:val="0"/>
                <w:sz w:val="20"/>
                <w:szCs w:val="20"/>
                <w:highlight w:val="none"/>
              </w:rPr>
              <w:t>设有营业网点的再得</w:t>
            </w:r>
            <w:r>
              <w:rPr>
                <w:rFonts w:ascii="宋体" w:hAnsi="宋体" w:cs="宋体"/>
                <w:color w:val="000000"/>
                <w:kern w:val="0"/>
                <w:sz w:val="20"/>
                <w:szCs w:val="20"/>
                <w:highlight w:val="none"/>
              </w:rPr>
              <w:t>3</w:t>
            </w:r>
            <w:r>
              <w:rPr>
                <w:rFonts w:hint="eastAsia" w:ascii="宋体" w:hAnsi="宋体" w:cs="宋体"/>
                <w:color w:val="000000"/>
                <w:kern w:val="0"/>
                <w:sz w:val="20"/>
                <w:szCs w:val="20"/>
                <w:highlight w:val="none"/>
              </w:rPr>
              <w:t>分。</w:t>
            </w:r>
          </w:p>
        </w:tc>
        <w:tc>
          <w:tcPr>
            <w:tcW w:w="144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510" w:hRule="atLeast"/>
        </w:trPr>
        <w:tc>
          <w:tcPr>
            <w:tcW w:w="927" w:type="dxa"/>
            <w:vMerge w:val="continue"/>
            <w:tcBorders>
              <w:left w:val="single" w:color="auto" w:sz="8" w:space="0"/>
              <w:right w:val="single" w:color="auto" w:sz="8" w:space="0"/>
            </w:tcBorders>
            <w:vAlign w:val="center"/>
          </w:tcPr>
          <w:p>
            <w:pPr>
              <w:widowControl/>
              <w:jc w:val="center"/>
              <w:rPr>
                <w:rFonts w:ascii="宋体" w:cs="宋体"/>
                <w:color w:val="000000"/>
                <w:kern w:val="0"/>
                <w:sz w:val="20"/>
                <w:szCs w:val="20"/>
                <w:highlight w:val="none"/>
              </w:rPr>
            </w:pPr>
          </w:p>
        </w:tc>
        <w:tc>
          <w:tcPr>
            <w:tcW w:w="2160" w:type="dxa"/>
            <w:tcBorders>
              <w:top w:val="single" w:color="auto" w:sz="8" w:space="0"/>
              <w:left w:val="nil"/>
              <w:bottom w:val="single" w:color="auto" w:sz="8" w:space="0"/>
              <w:right w:val="nil"/>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贷款服务</w:t>
            </w:r>
          </w:p>
        </w:tc>
        <w:tc>
          <w:tcPr>
            <w:tcW w:w="720" w:type="dxa"/>
            <w:tcBorders>
              <w:top w:val="single" w:color="auto" w:sz="8" w:space="0"/>
              <w:left w:val="single" w:color="auto" w:sz="8" w:space="0"/>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16</w:t>
            </w:r>
          </w:p>
        </w:tc>
        <w:tc>
          <w:tcPr>
            <w:tcW w:w="4500"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hint="eastAsia" w:ascii="宋体" w:hAnsi="宋体" w:cs="宋体"/>
                <w:color w:val="000000"/>
                <w:kern w:val="0"/>
                <w:sz w:val="20"/>
                <w:szCs w:val="20"/>
                <w:highlight w:val="none"/>
              </w:rPr>
              <w:t>历史上为机场或下属公司提供过基准贷款服务的，得</w:t>
            </w:r>
            <w:r>
              <w:rPr>
                <w:rFonts w:ascii="宋体" w:hAnsi="宋体" w:cs="宋体"/>
                <w:color w:val="000000"/>
                <w:kern w:val="0"/>
                <w:sz w:val="20"/>
                <w:szCs w:val="20"/>
                <w:highlight w:val="none"/>
              </w:rPr>
              <w:t>4</w:t>
            </w:r>
            <w:r>
              <w:rPr>
                <w:rFonts w:hint="eastAsia" w:ascii="宋体" w:hAnsi="宋体" w:cs="宋体"/>
                <w:color w:val="000000"/>
                <w:kern w:val="0"/>
                <w:sz w:val="20"/>
                <w:szCs w:val="20"/>
                <w:highlight w:val="none"/>
              </w:rPr>
              <w:t>分；近五年为机场或下属公司提供过基准贷款服务的，再加</w:t>
            </w:r>
            <w:r>
              <w:rPr>
                <w:rFonts w:ascii="宋体" w:hAnsi="宋体" w:cs="宋体"/>
                <w:color w:val="000000"/>
                <w:kern w:val="0"/>
                <w:sz w:val="20"/>
                <w:szCs w:val="20"/>
                <w:highlight w:val="none"/>
              </w:rPr>
              <w:t>4</w:t>
            </w:r>
            <w:r>
              <w:rPr>
                <w:rFonts w:hint="eastAsia" w:ascii="宋体" w:hAnsi="宋体" w:cs="宋体"/>
                <w:color w:val="000000"/>
                <w:kern w:val="0"/>
                <w:sz w:val="20"/>
                <w:szCs w:val="20"/>
                <w:highlight w:val="none"/>
              </w:rPr>
              <w:t>分；近五年为机场或下属公司提供过</w:t>
            </w:r>
            <w:r>
              <w:rPr>
                <w:rFonts w:ascii="宋体" w:hAnsi="宋体" w:cs="宋体"/>
                <w:color w:val="000000"/>
                <w:kern w:val="0"/>
                <w:sz w:val="20"/>
                <w:szCs w:val="20"/>
                <w:highlight w:val="none"/>
              </w:rPr>
              <w:t>5000</w:t>
            </w:r>
            <w:r>
              <w:rPr>
                <w:rFonts w:hint="eastAsia" w:ascii="宋体" w:hAnsi="宋体" w:cs="宋体"/>
                <w:color w:val="000000"/>
                <w:kern w:val="0"/>
                <w:sz w:val="20"/>
                <w:szCs w:val="20"/>
                <w:highlight w:val="none"/>
              </w:rPr>
              <w:t>万元以上基准贷款服务的，再加</w:t>
            </w:r>
            <w:r>
              <w:rPr>
                <w:rFonts w:ascii="宋体" w:hAnsi="宋体" w:cs="宋体"/>
                <w:color w:val="000000"/>
                <w:kern w:val="0"/>
                <w:sz w:val="20"/>
                <w:szCs w:val="20"/>
                <w:highlight w:val="none"/>
              </w:rPr>
              <w:t>4</w:t>
            </w:r>
            <w:r>
              <w:rPr>
                <w:rFonts w:hint="eastAsia" w:ascii="宋体" w:hAnsi="宋体" w:cs="宋体"/>
                <w:color w:val="000000"/>
                <w:kern w:val="0"/>
                <w:sz w:val="20"/>
                <w:szCs w:val="20"/>
                <w:highlight w:val="none"/>
              </w:rPr>
              <w:t>分；近一年为机场或下属公司提供过基准贷款服务的，再加</w:t>
            </w:r>
            <w:r>
              <w:rPr>
                <w:rFonts w:ascii="宋体" w:hAnsi="宋体" w:cs="宋体"/>
                <w:color w:val="000000"/>
                <w:kern w:val="0"/>
                <w:sz w:val="20"/>
                <w:szCs w:val="20"/>
                <w:highlight w:val="none"/>
              </w:rPr>
              <w:t>4</w:t>
            </w:r>
            <w:r>
              <w:rPr>
                <w:rFonts w:hint="eastAsia" w:ascii="宋体" w:hAnsi="宋体" w:cs="宋体"/>
                <w:color w:val="000000"/>
                <w:kern w:val="0"/>
                <w:sz w:val="20"/>
                <w:szCs w:val="20"/>
                <w:highlight w:val="none"/>
              </w:rPr>
              <w:t>分；未提供的不得分。</w:t>
            </w:r>
          </w:p>
        </w:tc>
        <w:tc>
          <w:tcPr>
            <w:tcW w:w="1440"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Layout w:type="fixed"/>
          <w:tblCellMar>
            <w:top w:w="0" w:type="dxa"/>
            <w:left w:w="108" w:type="dxa"/>
            <w:bottom w:w="0" w:type="dxa"/>
            <w:right w:w="108" w:type="dxa"/>
          </w:tblCellMar>
        </w:tblPrEx>
        <w:trPr>
          <w:trHeight w:val="750" w:hRule="atLeast"/>
        </w:trPr>
        <w:tc>
          <w:tcPr>
            <w:tcW w:w="927" w:type="dxa"/>
            <w:vMerge w:val="continue"/>
            <w:tcBorders>
              <w:left w:val="single" w:color="auto" w:sz="8" w:space="0"/>
              <w:right w:val="single" w:color="auto" w:sz="8" w:space="0"/>
            </w:tcBorders>
            <w:vAlign w:val="center"/>
          </w:tcPr>
          <w:p>
            <w:pPr>
              <w:widowControl/>
              <w:jc w:val="left"/>
              <w:rPr>
                <w:rFonts w:ascii="宋体" w:cs="宋体"/>
                <w:color w:val="000000"/>
                <w:kern w:val="0"/>
                <w:sz w:val="20"/>
                <w:szCs w:val="20"/>
                <w:highlight w:val="none"/>
              </w:rPr>
            </w:pPr>
          </w:p>
        </w:tc>
        <w:tc>
          <w:tcPr>
            <w:tcW w:w="2160" w:type="dxa"/>
            <w:tcBorders>
              <w:top w:val="nil"/>
              <w:left w:val="nil"/>
              <w:bottom w:val="single" w:color="auto" w:sz="8" w:space="0"/>
              <w:right w:val="nil"/>
            </w:tcBorders>
            <w:vAlign w:val="center"/>
          </w:tcPr>
          <w:p>
            <w:pPr>
              <w:widowControl/>
              <w:jc w:val="center"/>
              <w:rPr>
                <w:rFonts w:ascii="宋体" w:cs="宋体"/>
                <w:color w:val="000000"/>
                <w:kern w:val="0"/>
                <w:sz w:val="20"/>
                <w:szCs w:val="20"/>
                <w:highlight w:val="none"/>
              </w:rPr>
            </w:pPr>
            <w:r>
              <w:rPr>
                <w:rFonts w:hint="eastAsia" w:ascii="宋体" w:cs="宋体"/>
                <w:color w:val="000000"/>
                <w:kern w:val="0"/>
                <w:sz w:val="20"/>
                <w:szCs w:val="20"/>
                <w:highlight w:val="none"/>
              </w:rPr>
              <w:t>承诺可提供的其他服务</w:t>
            </w:r>
          </w:p>
        </w:tc>
        <w:tc>
          <w:tcPr>
            <w:tcW w:w="720"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4</w:t>
            </w:r>
          </w:p>
        </w:tc>
        <w:tc>
          <w:tcPr>
            <w:tcW w:w="450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hint="eastAsia" w:ascii="宋体" w:hAnsi="宋体" w:cs="宋体"/>
                <w:color w:val="000000"/>
                <w:kern w:val="0"/>
                <w:sz w:val="20"/>
                <w:szCs w:val="20"/>
                <w:highlight w:val="none"/>
              </w:rPr>
              <w:t>如：手续费减免、上门服务等等。视情得</w:t>
            </w:r>
            <w:r>
              <w:rPr>
                <w:rFonts w:ascii="宋体" w:cs="宋体"/>
                <w:color w:val="000000"/>
                <w:kern w:val="0"/>
                <w:sz w:val="20"/>
                <w:szCs w:val="20"/>
                <w:highlight w:val="none"/>
              </w:rPr>
              <w:t>0-</w:t>
            </w:r>
            <w:r>
              <w:rPr>
                <w:rFonts w:ascii="宋体" w:hAnsi="宋体" w:cs="宋体"/>
                <w:color w:val="000000"/>
                <w:kern w:val="0"/>
                <w:sz w:val="20"/>
                <w:szCs w:val="20"/>
                <w:highlight w:val="none"/>
              </w:rPr>
              <w:t>4</w:t>
            </w:r>
            <w:r>
              <w:rPr>
                <w:rFonts w:hint="eastAsia" w:ascii="宋体" w:hAnsi="宋体" w:cs="宋体"/>
                <w:color w:val="000000"/>
                <w:kern w:val="0"/>
                <w:sz w:val="20"/>
                <w:szCs w:val="20"/>
                <w:highlight w:val="none"/>
              </w:rPr>
              <w:t>分。</w:t>
            </w:r>
          </w:p>
        </w:tc>
        <w:tc>
          <w:tcPr>
            <w:tcW w:w="14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604" w:hRule="atLeast"/>
        </w:trPr>
        <w:tc>
          <w:tcPr>
            <w:tcW w:w="927" w:type="dxa"/>
            <w:vMerge w:val="continue"/>
            <w:tcBorders>
              <w:left w:val="single" w:color="auto" w:sz="8" w:space="0"/>
              <w:bottom w:val="single" w:color="000000" w:sz="4" w:space="0"/>
              <w:right w:val="single" w:color="auto" w:sz="8" w:space="0"/>
            </w:tcBorders>
            <w:vAlign w:val="center"/>
          </w:tcPr>
          <w:p>
            <w:pPr>
              <w:widowControl/>
              <w:jc w:val="left"/>
              <w:rPr>
                <w:rFonts w:ascii="宋体" w:cs="宋体"/>
                <w:color w:val="000000"/>
                <w:kern w:val="0"/>
                <w:sz w:val="20"/>
                <w:szCs w:val="20"/>
                <w:highlight w:val="none"/>
              </w:rPr>
            </w:pPr>
          </w:p>
        </w:tc>
        <w:tc>
          <w:tcPr>
            <w:tcW w:w="2160" w:type="dxa"/>
            <w:tcBorders>
              <w:top w:val="nil"/>
              <w:left w:val="nil"/>
              <w:bottom w:val="single" w:color="auto" w:sz="8" w:space="0"/>
              <w:right w:val="nil"/>
            </w:tcBorders>
            <w:vAlign w:val="center"/>
          </w:tcPr>
          <w:p>
            <w:pPr>
              <w:widowControl/>
              <w:jc w:val="center"/>
              <w:rPr>
                <w:rFonts w:ascii="宋体" w:cs="宋体"/>
                <w:color w:val="000000"/>
                <w:kern w:val="0"/>
                <w:sz w:val="20"/>
                <w:szCs w:val="20"/>
                <w:highlight w:val="none"/>
              </w:rPr>
            </w:pPr>
            <w:r>
              <w:rPr>
                <w:rFonts w:hint="eastAsia" w:ascii="宋体" w:hAnsi="宋体" w:cs="宋体"/>
                <w:color w:val="000000"/>
                <w:kern w:val="0"/>
                <w:sz w:val="20"/>
                <w:szCs w:val="20"/>
                <w:highlight w:val="none"/>
              </w:rPr>
              <w:t>承诺可提供的配套金融服务</w:t>
            </w:r>
          </w:p>
        </w:tc>
        <w:tc>
          <w:tcPr>
            <w:tcW w:w="720"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20"/>
                <w:szCs w:val="20"/>
                <w:highlight w:val="none"/>
              </w:rPr>
            </w:pPr>
            <w:r>
              <w:rPr>
                <w:rFonts w:cs="Calibri"/>
                <w:color w:val="000000"/>
                <w:kern w:val="0"/>
                <w:sz w:val="20"/>
                <w:szCs w:val="20"/>
                <w:highlight w:val="none"/>
              </w:rPr>
              <w:t>4</w:t>
            </w:r>
          </w:p>
        </w:tc>
        <w:tc>
          <w:tcPr>
            <w:tcW w:w="4500"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highlight w:val="none"/>
              </w:rPr>
            </w:pPr>
            <w:r>
              <w:rPr>
                <w:rFonts w:hint="eastAsia" w:ascii="宋体" w:hAnsi="宋体" w:cs="宋体"/>
                <w:color w:val="000000"/>
                <w:kern w:val="0"/>
                <w:sz w:val="20"/>
                <w:szCs w:val="20"/>
                <w:highlight w:val="none"/>
              </w:rPr>
              <w:t>如：贷款、年金管理、信用卡服务、员工增值服务等等。酌情加</w:t>
            </w:r>
            <w:r>
              <w:rPr>
                <w:rFonts w:ascii="宋体" w:cs="宋体"/>
                <w:color w:val="000000"/>
                <w:kern w:val="0"/>
                <w:sz w:val="20"/>
                <w:szCs w:val="20"/>
                <w:highlight w:val="none"/>
              </w:rPr>
              <w:t>0-</w:t>
            </w:r>
            <w:r>
              <w:rPr>
                <w:rFonts w:ascii="宋体" w:hAnsi="宋体" w:cs="宋体"/>
                <w:color w:val="000000"/>
                <w:kern w:val="0"/>
                <w:sz w:val="20"/>
                <w:szCs w:val="20"/>
                <w:highlight w:val="none"/>
              </w:rPr>
              <w:t>4</w:t>
            </w:r>
            <w:r>
              <w:rPr>
                <w:rFonts w:hint="eastAsia" w:ascii="宋体" w:hAnsi="宋体" w:cs="宋体"/>
                <w:color w:val="000000"/>
                <w:kern w:val="0"/>
                <w:sz w:val="20"/>
                <w:szCs w:val="20"/>
                <w:highlight w:val="none"/>
              </w:rPr>
              <w:t>分。</w:t>
            </w:r>
          </w:p>
        </w:tc>
        <w:tc>
          <w:tcPr>
            <w:tcW w:w="1440"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highlight w:val="none"/>
              </w:rPr>
            </w:pPr>
          </w:p>
        </w:tc>
      </w:tr>
      <w:tr>
        <w:tblPrEx>
          <w:tblLayout w:type="fixed"/>
          <w:tblCellMar>
            <w:top w:w="0" w:type="dxa"/>
            <w:left w:w="108" w:type="dxa"/>
            <w:bottom w:w="0" w:type="dxa"/>
            <w:right w:w="108" w:type="dxa"/>
          </w:tblCellMar>
        </w:tblPrEx>
        <w:trPr>
          <w:trHeight w:val="347" w:hRule="atLeast"/>
        </w:trPr>
        <w:tc>
          <w:tcPr>
            <w:tcW w:w="927" w:type="dxa"/>
            <w:tcBorders>
              <w:top w:val="nil"/>
              <w:left w:val="single" w:color="auto" w:sz="8" w:space="0"/>
              <w:bottom w:val="single" w:color="auto" w:sz="8" w:space="0"/>
              <w:right w:val="single" w:color="auto" w:sz="8" w:space="0"/>
            </w:tcBorders>
            <w:vAlign w:val="center"/>
          </w:tcPr>
          <w:p>
            <w:pPr>
              <w:widowControl/>
              <w:jc w:val="center"/>
              <w:rPr>
                <w:rFonts w:ascii="宋体" w:cs="宋体"/>
                <w:b/>
                <w:color w:val="000000"/>
                <w:kern w:val="0"/>
                <w:sz w:val="20"/>
                <w:szCs w:val="20"/>
                <w:highlight w:val="none"/>
              </w:rPr>
            </w:pPr>
            <w:r>
              <w:rPr>
                <w:rFonts w:hint="eastAsia" w:ascii="宋体" w:cs="宋体"/>
                <w:b/>
                <w:color w:val="000000"/>
                <w:kern w:val="0"/>
                <w:sz w:val="20"/>
                <w:szCs w:val="20"/>
                <w:highlight w:val="none"/>
              </w:rPr>
              <w:t>合计</w:t>
            </w:r>
          </w:p>
        </w:tc>
        <w:tc>
          <w:tcPr>
            <w:tcW w:w="216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　</w:t>
            </w:r>
          </w:p>
        </w:tc>
        <w:tc>
          <w:tcPr>
            <w:tcW w:w="720" w:type="dxa"/>
            <w:tcBorders>
              <w:top w:val="single" w:color="auto" w:sz="8" w:space="0"/>
              <w:left w:val="single" w:color="auto" w:sz="8" w:space="0"/>
              <w:bottom w:val="single" w:color="auto" w:sz="8" w:space="0"/>
              <w:right w:val="single" w:color="auto" w:sz="8" w:space="0"/>
            </w:tcBorders>
            <w:vAlign w:val="center"/>
          </w:tcPr>
          <w:p>
            <w:pPr>
              <w:widowControl/>
              <w:jc w:val="center"/>
              <w:rPr>
                <w:rFonts w:cs="Calibri"/>
                <w:b/>
                <w:bCs/>
                <w:color w:val="000000"/>
                <w:kern w:val="0"/>
                <w:sz w:val="20"/>
                <w:szCs w:val="20"/>
                <w:highlight w:val="none"/>
              </w:rPr>
            </w:pPr>
            <w:r>
              <w:rPr>
                <w:rFonts w:cs="Calibri"/>
                <w:b/>
                <w:bCs/>
                <w:color w:val="000000"/>
                <w:kern w:val="0"/>
                <w:sz w:val="20"/>
                <w:szCs w:val="20"/>
                <w:highlight w:val="none"/>
              </w:rPr>
              <w:t>50</w:t>
            </w:r>
          </w:p>
        </w:tc>
        <w:tc>
          <w:tcPr>
            <w:tcW w:w="450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　</w:t>
            </w: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highlight w:val="none"/>
              </w:rPr>
            </w:pPr>
            <w:r>
              <w:rPr>
                <w:rFonts w:hint="eastAsia" w:ascii="宋体" w:hAnsi="宋体" w:cs="宋体"/>
                <w:b/>
                <w:bCs/>
                <w:color w:val="000000"/>
                <w:kern w:val="0"/>
                <w:sz w:val="20"/>
                <w:szCs w:val="20"/>
                <w:highlight w:val="none"/>
              </w:rPr>
              <w:t>　</w:t>
            </w:r>
          </w:p>
        </w:tc>
      </w:tr>
    </w:tbl>
    <w:p>
      <w:pPr>
        <w:widowControl/>
        <w:jc w:val="left"/>
        <w:rPr>
          <w:rFonts w:ascii="方正小标宋简体" w:hAnsi="Arial" w:eastAsia="方正小标宋简体"/>
          <w:b/>
          <w:kern w:val="0"/>
          <w:sz w:val="44"/>
          <w:szCs w:val="20"/>
          <w:highlight w:val="none"/>
        </w:rPr>
      </w:pPr>
      <w:r>
        <w:rPr>
          <w:rFonts w:ascii="方正小标宋简体" w:hAnsi="Arial" w:eastAsia="方正小标宋简体"/>
          <w:b/>
          <w:kern w:val="0"/>
          <w:sz w:val="44"/>
          <w:szCs w:val="20"/>
          <w:highlight w:val="none"/>
        </w:rPr>
        <w:br w:type="page"/>
      </w:r>
    </w:p>
    <w:p>
      <w:pPr>
        <w:keepNext/>
        <w:keepLines/>
        <w:widowControl/>
        <w:spacing w:before="260" w:after="260" w:line="360" w:lineRule="auto"/>
        <w:jc w:val="center"/>
        <w:outlineLvl w:val="1"/>
        <w:rPr>
          <w:rFonts w:ascii="方正小标宋简体" w:hAnsi="Arial" w:eastAsia="方正小标宋简体"/>
          <w:b/>
          <w:kern w:val="0"/>
          <w:sz w:val="44"/>
          <w:szCs w:val="20"/>
          <w:highlight w:val="none"/>
        </w:rPr>
      </w:pPr>
      <w:r>
        <w:rPr>
          <w:rFonts w:hint="eastAsia" w:ascii="方正小标宋简体" w:hAnsi="Arial" w:eastAsia="方正小标宋简体"/>
          <w:b/>
          <w:kern w:val="0"/>
          <w:sz w:val="44"/>
          <w:szCs w:val="20"/>
          <w:highlight w:val="none"/>
        </w:rPr>
        <w:t>投标文件投标书部分格式</w:t>
      </w:r>
    </w:p>
    <w:p>
      <w:pPr>
        <w:keepNext/>
        <w:keepLines/>
        <w:widowControl/>
        <w:numPr>
          <w:ilvl w:val="2"/>
          <w:numId w:val="0"/>
        </w:numPr>
        <w:tabs>
          <w:tab w:val="left" w:pos="720"/>
        </w:tabs>
        <w:spacing w:before="120" w:after="120" w:line="360" w:lineRule="auto"/>
        <w:ind w:left="720" w:hanging="720"/>
        <w:jc w:val="center"/>
        <w:outlineLvl w:val="2"/>
        <w:rPr>
          <w:rFonts w:ascii="方正小标宋简体" w:hAnsi="Times New Roman" w:eastAsia="方正小标宋简体"/>
          <w:b/>
          <w:kern w:val="0"/>
          <w:sz w:val="36"/>
          <w:szCs w:val="20"/>
          <w:highlight w:val="none"/>
        </w:rPr>
      </w:pPr>
      <w:r>
        <w:rPr>
          <w:rFonts w:hint="eastAsia" w:ascii="方正小标宋简体" w:hAnsi="Times New Roman" w:eastAsia="方正小标宋简体"/>
          <w:b/>
          <w:kern w:val="0"/>
          <w:sz w:val="36"/>
          <w:szCs w:val="20"/>
          <w:highlight w:val="none"/>
        </w:rPr>
        <w:t>目</w:t>
      </w:r>
      <w:r>
        <w:rPr>
          <w:rFonts w:ascii="方正小标宋简体" w:hAnsi="Times New Roman" w:eastAsia="方正小标宋简体"/>
          <w:b/>
          <w:kern w:val="0"/>
          <w:sz w:val="36"/>
          <w:szCs w:val="20"/>
          <w:highlight w:val="none"/>
        </w:rPr>
        <w:t xml:space="preserve">    </w:t>
      </w:r>
      <w:r>
        <w:rPr>
          <w:rFonts w:hint="eastAsia" w:ascii="方正小标宋简体" w:hAnsi="Times New Roman" w:eastAsia="方正小标宋简体"/>
          <w:b/>
          <w:kern w:val="0"/>
          <w:sz w:val="36"/>
          <w:szCs w:val="20"/>
          <w:highlight w:val="none"/>
        </w:rPr>
        <w:t>录</w:t>
      </w:r>
    </w:p>
    <w:p>
      <w:pPr>
        <w:spacing w:line="360" w:lineRule="auto"/>
        <w:jc w:val="center"/>
        <w:rPr>
          <w:rFonts w:ascii="宋体"/>
          <w:b/>
          <w:sz w:val="48"/>
          <w:szCs w:val="24"/>
          <w:highlight w:val="none"/>
        </w:rPr>
      </w:pPr>
    </w:p>
    <w:p>
      <w:pPr>
        <w:spacing w:line="360" w:lineRule="auto"/>
        <w:rPr>
          <w:rFonts w:ascii="仿宋_GB2312" w:hAnsi="宋体" w:eastAsia="仿宋_GB2312"/>
          <w:sz w:val="32"/>
          <w:szCs w:val="32"/>
          <w:highlight w:val="none"/>
        </w:rPr>
      </w:pPr>
      <w:r>
        <w:rPr>
          <w:rFonts w:ascii="宋体" w:hAnsi="宋体"/>
          <w:sz w:val="24"/>
          <w:szCs w:val="24"/>
          <w:highlight w:val="none"/>
        </w:rPr>
        <w:t xml:space="preserve">        </w:t>
      </w:r>
      <w:r>
        <w:rPr>
          <w:rFonts w:ascii="仿宋_GB2312" w:hAnsi="宋体" w:eastAsia="仿宋_GB2312"/>
          <w:sz w:val="32"/>
          <w:szCs w:val="32"/>
          <w:highlight w:val="none"/>
        </w:rPr>
        <w:t xml:space="preserve">  </w:t>
      </w:r>
      <w:r>
        <w:rPr>
          <w:rFonts w:hint="eastAsia" w:ascii="仿宋_GB2312" w:hAnsi="宋体" w:eastAsia="仿宋_GB2312"/>
          <w:sz w:val="32"/>
          <w:szCs w:val="32"/>
          <w:highlight w:val="none"/>
        </w:rPr>
        <w:t>一、投标书（投标文件首页格式）</w:t>
      </w:r>
    </w:p>
    <w:p>
      <w:pPr>
        <w:spacing w:line="360" w:lineRule="auto"/>
        <w:rPr>
          <w:rFonts w:ascii="仿宋_GB2312" w:hAnsi="宋体" w:eastAsia="仿宋_GB2312"/>
          <w:sz w:val="32"/>
          <w:szCs w:val="32"/>
          <w:highlight w:val="none"/>
        </w:rPr>
      </w:pPr>
      <w:r>
        <w:rPr>
          <w:rFonts w:ascii="仿宋_GB2312" w:hAnsi="宋体" w:eastAsia="仿宋_GB2312"/>
          <w:sz w:val="32"/>
          <w:szCs w:val="32"/>
          <w:highlight w:val="none"/>
        </w:rPr>
        <w:t xml:space="preserve">        </w:t>
      </w:r>
      <w:r>
        <w:rPr>
          <w:rFonts w:hint="eastAsia" w:ascii="仿宋_GB2312" w:hAnsi="宋体" w:eastAsia="仿宋_GB2312"/>
          <w:sz w:val="32"/>
          <w:szCs w:val="32"/>
          <w:highlight w:val="none"/>
        </w:rPr>
        <w:t>二、法定代表人身份证明书</w:t>
      </w:r>
    </w:p>
    <w:p>
      <w:pPr>
        <w:spacing w:line="360" w:lineRule="auto"/>
        <w:rPr>
          <w:rFonts w:ascii="仿宋_GB2312" w:hAnsi="宋体" w:eastAsia="仿宋_GB2312"/>
          <w:sz w:val="32"/>
          <w:szCs w:val="32"/>
          <w:highlight w:val="none"/>
        </w:rPr>
      </w:pPr>
      <w:r>
        <w:rPr>
          <w:rFonts w:ascii="仿宋_GB2312" w:hAnsi="宋体" w:eastAsia="仿宋_GB2312"/>
          <w:sz w:val="32"/>
          <w:szCs w:val="32"/>
          <w:highlight w:val="none"/>
        </w:rPr>
        <w:t xml:space="preserve">        </w:t>
      </w:r>
      <w:r>
        <w:rPr>
          <w:rFonts w:hint="eastAsia" w:ascii="仿宋_GB2312" w:hAnsi="宋体" w:eastAsia="仿宋_GB2312"/>
          <w:sz w:val="32"/>
          <w:szCs w:val="32"/>
          <w:highlight w:val="none"/>
        </w:rPr>
        <w:t>三、投标文件签署授权委托书</w:t>
      </w:r>
    </w:p>
    <w:p>
      <w:pPr>
        <w:spacing w:line="360" w:lineRule="auto"/>
        <w:rPr>
          <w:rFonts w:ascii="仿宋_GB2312" w:hAnsi="宋体" w:eastAsia="仿宋_GB2312"/>
          <w:sz w:val="32"/>
          <w:szCs w:val="32"/>
          <w:highlight w:val="none"/>
        </w:rPr>
      </w:pPr>
      <w:r>
        <w:rPr>
          <w:rFonts w:ascii="仿宋_GB2312" w:hAnsi="宋体" w:eastAsia="仿宋_GB2312"/>
          <w:sz w:val="32"/>
          <w:szCs w:val="32"/>
          <w:highlight w:val="none"/>
        </w:rPr>
        <w:t xml:space="preserve">        </w:t>
      </w:r>
      <w:r>
        <w:rPr>
          <w:rFonts w:hint="eastAsia" w:ascii="仿宋_GB2312" w:hAnsi="宋体" w:eastAsia="仿宋_GB2312"/>
          <w:sz w:val="32"/>
          <w:szCs w:val="32"/>
          <w:highlight w:val="none"/>
        </w:rPr>
        <w:t>四、投标人提交的其他投标资料</w:t>
      </w:r>
      <w:r>
        <w:rPr>
          <w:rFonts w:ascii="仿宋_GB2312" w:hAnsi="宋体" w:eastAsia="仿宋_GB2312"/>
          <w:sz w:val="32"/>
          <w:szCs w:val="32"/>
          <w:highlight w:val="none"/>
        </w:rPr>
        <w:t xml:space="preserve">  </w:t>
      </w:r>
    </w:p>
    <w:p>
      <w:pPr>
        <w:spacing w:line="360" w:lineRule="auto"/>
        <w:rPr>
          <w:rFonts w:ascii="宋体"/>
          <w:sz w:val="24"/>
          <w:szCs w:val="24"/>
          <w:highlight w:val="none"/>
        </w:rPr>
      </w:pPr>
      <w:r>
        <w:rPr>
          <w:rFonts w:ascii="宋体" w:hAnsi="宋体"/>
          <w:sz w:val="24"/>
          <w:szCs w:val="24"/>
          <w:highlight w:val="none"/>
        </w:rPr>
        <w:t xml:space="preserve">       </w:t>
      </w: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spacing w:line="360" w:lineRule="auto"/>
        <w:rPr>
          <w:rFonts w:ascii="宋体"/>
          <w:sz w:val="24"/>
          <w:szCs w:val="24"/>
          <w:highlight w:val="none"/>
        </w:rPr>
      </w:pPr>
    </w:p>
    <w:p>
      <w:pPr>
        <w:keepNext/>
        <w:keepLines/>
        <w:widowControl/>
        <w:spacing w:before="120" w:after="120" w:line="300" w:lineRule="atLeast"/>
        <w:jc w:val="center"/>
        <w:outlineLvl w:val="2"/>
        <w:rPr>
          <w:rFonts w:ascii="方正小标宋简体" w:hAnsi="Times New Roman" w:eastAsia="方正小标宋简体"/>
          <w:b/>
          <w:kern w:val="0"/>
          <w:sz w:val="36"/>
          <w:szCs w:val="20"/>
          <w:highlight w:val="none"/>
        </w:rPr>
      </w:pPr>
      <w:r>
        <w:rPr>
          <w:rFonts w:hint="eastAsia" w:ascii="方正小标宋简体" w:hAnsi="Times New Roman" w:eastAsia="方正小标宋简体"/>
          <w:b/>
          <w:kern w:val="0"/>
          <w:sz w:val="36"/>
          <w:szCs w:val="20"/>
          <w:highlight w:val="none"/>
        </w:rPr>
        <w:t>一、投</w:t>
      </w:r>
      <w:r>
        <w:rPr>
          <w:rFonts w:ascii="方正小标宋简体" w:hAnsi="Times New Roman" w:eastAsia="方正小标宋简体"/>
          <w:b/>
          <w:kern w:val="0"/>
          <w:sz w:val="36"/>
          <w:szCs w:val="20"/>
          <w:highlight w:val="none"/>
        </w:rPr>
        <w:t xml:space="preserve"> </w:t>
      </w:r>
      <w:r>
        <w:rPr>
          <w:rFonts w:hint="eastAsia" w:ascii="方正小标宋简体" w:hAnsi="Times New Roman" w:eastAsia="方正小标宋简体"/>
          <w:b/>
          <w:kern w:val="0"/>
          <w:sz w:val="36"/>
          <w:szCs w:val="20"/>
          <w:highlight w:val="none"/>
        </w:rPr>
        <w:t>标</w:t>
      </w:r>
      <w:r>
        <w:rPr>
          <w:rFonts w:ascii="方正小标宋简体" w:hAnsi="Times New Roman" w:eastAsia="方正小标宋简体"/>
          <w:b/>
          <w:kern w:val="0"/>
          <w:sz w:val="36"/>
          <w:szCs w:val="20"/>
          <w:highlight w:val="none"/>
        </w:rPr>
        <w:t xml:space="preserve"> </w:t>
      </w:r>
      <w:r>
        <w:rPr>
          <w:rFonts w:hint="eastAsia" w:ascii="方正小标宋简体" w:hAnsi="Times New Roman" w:eastAsia="方正小标宋简体"/>
          <w:b/>
          <w:kern w:val="0"/>
          <w:sz w:val="36"/>
          <w:szCs w:val="20"/>
          <w:highlight w:val="none"/>
        </w:rPr>
        <w:t>书</w:t>
      </w:r>
    </w:p>
    <w:p>
      <w:pPr>
        <w:spacing w:line="300" w:lineRule="atLeast"/>
        <w:jc w:val="center"/>
        <w:rPr>
          <w:rFonts w:ascii="方正小标宋简体" w:hAnsi="Times New Roman" w:eastAsia="方正小标宋简体"/>
          <w:b/>
          <w:sz w:val="32"/>
          <w:szCs w:val="24"/>
          <w:highlight w:val="none"/>
        </w:rPr>
      </w:pPr>
      <w:r>
        <w:rPr>
          <w:rFonts w:hint="eastAsia" w:ascii="方正小标宋简体" w:hAnsi="Times New Roman" w:eastAsia="方正小标宋简体"/>
          <w:b/>
          <w:sz w:val="32"/>
          <w:szCs w:val="24"/>
          <w:highlight w:val="none"/>
        </w:rPr>
        <w:t>舟山民航集团有限公司资金存放开户银行</w:t>
      </w:r>
    </w:p>
    <w:p>
      <w:pPr>
        <w:widowControl/>
        <w:spacing w:line="300" w:lineRule="atLeast"/>
        <w:ind w:firstLine="420"/>
        <w:jc w:val="center"/>
        <w:rPr>
          <w:rFonts w:ascii="Times New Roman" w:hAnsi="Times New Roman"/>
          <w:b/>
          <w:bCs/>
          <w:kern w:val="0"/>
          <w:sz w:val="36"/>
          <w:szCs w:val="20"/>
          <w:highlight w:val="none"/>
        </w:rPr>
      </w:pPr>
      <w:r>
        <w:rPr>
          <w:rFonts w:hint="eastAsia" w:ascii="Times New Roman" w:hAnsi="Times New Roman"/>
          <w:b/>
          <w:bCs/>
          <w:kern w:val="0"/>
          <w:sz w:val="36"/>
          <w:szCs w:val="20"/>
          <w:highlight w:val="none"/>
        </w:rPr>
        <w:t>投</w:t>
      </w:r>
      <w:r>
        <w:rPr>
          <w:rFonts w:ascii="Times New Roman" w:hAnsi="Times New Roman"/>
          <w:b/>
          <w:bCs/>
          <w:kern w:val="0"/>
          <w:sz w:val="36"/>
          <w:szCs w:val="20"/>
          <w:highlight w:val="none"/>
        </w:rPr>
        <w:t xml:space="preserve"> </w:t>
      </w:r>
      <w:r>
        <w:rPr>
          <w:rFonts w:hint="eastAsia" w:ascii="Times New Roman" w:hAnsi="Times New Roman"/>
          <w:b/>
          <w:bCs/>
          <w:kern w:val="0"/>
          <w:sz w:val="36"/>
          <w:szCs w:val="20"/>
          <w:highlight w:val="none"/>
        </w:rPr>
        <w:t>标</w:t>
      </w:r>
      <w:r>
        <w:rPr>
          <w:rFonts w:ascii="Times New Roman" w:hAnsi="Times New Roman"/>
          <w:b/>
          <w:bCs/>
          <w:kern w:val="0"/>
          <w:sz w:val="36"/>
          <w:szCs w:val="20"/>
          <w:highlight w:val="none"/>
        </w:rPr>
        <w:t xml:space="preserve"> </w:t>
      </w:r>
      <w:r>
        <w:rPr>
          <w:rFonts w:hint="eastAsia" w:ascii="Times New Roman" w:hAnsi="Times New Roman"/>
          <w:b/>
          <w:bCs/>
          <w:kern w:val="0"/>
          <w:sz w:val="36"/>
          <w:szCs w:val="20"/>
          <w:highlight w:val="none"/>
        </w:rPr>
        <w:t>函</w:t>
      </w:r>
    </w:p>
    <w:p>
      <w:pPr>
        <w:widowControl/>
        <w:ind w:firstLine="420"/>
        <w:jc w:val="left"/>
        <w:rPr>
          <w:rFonts w:ascii="方正小标宋简体" w:hAnsi="Times New Roman" w:eastAsia="方正小标宋简体"/>
          <w:b/>
          <w:bCs/>
          <w:kern w:val="0"/>
          <w:sz w:val="24"/>
          <w:szCs w:val="24"/>
          <w:highlight w:val="none"/>
        </w:rPr>
      </w:pPr>
      <w:r>
        <w:rPr>
          <w:rFonts w:hint="eastAsia" w:ascii="仿宋_GB2312" w:hAnsi="Times New Roman" w:eastAsia="仿宋_GB2312"/>
          <w:kern w:val="0"/>
          <w:sz w:val="24"/>
          <w:szCs w:val="24"/>
          <w:highlight w:val="none"/>
        </w:rPr>
        <w:t>舟山民航集团有限公司：</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我方全面阅读和研究了</w:t>
      </w:r>
      <w:r>
        <w:rPr>
          <w:rFonts w:hint="eastAsia" w:ascii="仿宋_GB2312" w:hAnsi="Times New Roman" w:eastAsia="仿宋_GB2312"/>
          <w:sz w:val="24"/>
          <w:szCs w:val="24"/>
          <w:highlight w:val="none"/>
          <w:u w:val="single"/>
        </w:rPr>
        <w:t>舟山民航集团有限公司资金存放开户银行招标文件</w:t>
      </w:r>
      <w:r>
        <w:rPr>
          <w:rFonts w:hint="eastAsia" w:ascii="仿宋_GB2312" w:hAnsi="Times New Roman" w:eastAsia="仿宋_GB2312"/>
          <w:sz w:val="24"/>
          <w:szCs w:val="24"/>
          <w:highlight w:val="none"/>
        </w:rPr>
        <w:t>，已充分理解并掌握了本项目招标的全部有关情况，同意接受招标文件的全部内容和条件，并按此确定资金存放投标的要约内容，以本投标书向你方发布的</w:t>
      </w:r>
      <w:r>
        <w:rPr>
          <w:rFonts w:hint="eastAsia" w:ascii="仿宋_GB2312" w:hAnsi="Times New Roman" w:eastAsia="仿宋_GB2312"/>
          <w:sz w:val="24"/>
          <w:szCs w:val="24"/>
          <w:highlight w:val="none"/>
          <w:u w:val="single"/>
        </w:rPr>
        <w:t>舟山民航集团有限公司资金存放开户银行招标文件</w:t>
      </w:r>
      <w:r>
        <w:rPr>
          <w:rFonts w:hint="eastAsia" w:ascii="仿宋_GB2312" w:hAnsi="Times New Roman" w:eastAsia="仿宋_GB2312"/>
          <w:sz w:val="24"/>
          <w:szCs w:val="24"/>
          <w:highlight w:val="none"/>
        </w:rPr>
        <w:t>的全部内容进行投标。</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w:t>
      </w:r>
      <w:r>
        <w:rPr>
          <w:rFonts w:ascii="仿宋_GB2312" w:hAnsi="Times New Roman" w:eastAsia="仿宋_GB2312"/>
          <w:sz w:val="24"/>
          <w:szCs w:val="24"/>
          <w:highlight w:val="none"/>
        </w:rPr>
        <w:t>1</w:t>
      </w:r>
      <w:r>
        <w:rPr>
          <w:rFonts w:hint="eastAsia" w:ascii="仿宋_GB2312" w:hAnsi="Times New Roman" w:eastAsia="仿宋_GB2312"/>
          <w:sz w:val="24"/>
          <w:szCs w:val="24"/>
          <w:highlight w:val="none"/>
        </w:rPr>
        <w:t>）存款利率报价：</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活期存款，我行承诺提供人民银行最新公布的金融机构人民币存款基准利率上浮</w:t>
      </w:r>
      <w:r>
        <w:rPr>
          <w:rFonts w:hint="eastAsia" w:ascii="仿宋_GB2312" w:eastAsia="仿宋_GB2312"/>
          <w:sz w:val="24"/>
          <w:highlight w:val="none"/>
        </w:rPr>
        <w:t>（或下浮）：</w:t>
      </w: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协定存款，我行承诺提供人民银行最新公布的金融机构人民币存款基准利率上浮</w:t>
      </w:r>
      <w:r>
        <w:rPr>
          <w:rFonts w:hint="eastAsia" w:ascii="仿宋_GB2312" w:eastAsia="仿宋_GB2312"/>
          <w:sz w:val="24"/>
          <w:highlight w:val="none"/>
        </w:rPr>
        <w:t>（或下浮）：</w:t>
      </w: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，账户的基本额度（协定存款起存点）：</w:t>
      </w: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大额存单，我行承诺提供人民银行最新公布的金融机构人民币存款基准利率上浮</w:t>
      </w:r>
      <w:r>
        <w:rPr>
          <w:rFonts w:hint="eastAsia" w:ascii="仿宋_GB2312" w:eastAsia="仿宋_GB2312"/>
          <w:sz w:val="24"/>
          <w:highlight w:val="none"/>
        </w:rPr>
        <w:t>（或下浮）：</w:t>
      </w: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普通定期存款，我行承诺提供人民银行最新公布的金融机构人民币存款基准利率上浮</w:t>
      </w:r>
      <w:r>
        <w:rPr>
          <w:rFonts w:hint="eastAsia" w:ascii="仿宋_GB2312" w:eastAsia="仿宋_GB2312"/>
          <w:sz w:val="24"/>
          <w:highlight w:val="none"/>
        </w:rPr>
        <w:t>（或下浮）：</w:t>
      </w: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是否能提供分档计息存款：</w:t>
      </w: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w:t>
      </w:r>
    </w:p>
    <w:p>
      <w:pPr>
        <w:autoSpaceDE w:val="0"/>
        <w:autoSpaceDN w:val="0"/>
        <w:adjustRightInd w:val="0"/>
        <w:spacing w:line="360" w:lineRule="auto"/>
        <w:ind w:firstLine="480" w:firstLineChars="200"/>
        <w:rPr>
          <w:rFonts w:ascii="仿宋_GB2312" w:hAnsi="Times New Roman" w:eastAsia="仿宋_GB2312"/>
          <w:sz w:val="24"/>
          <w:szCs w:val="24"/>
          <w:highlight w:val="none"/>
        </w:rPr>
      </w:pPr>
      <w:r>
        <w:rPr>
          <w:rFonts w:hint="eastAsia" w:ascii="仿宋_GB2312" w:hAnsi="Times New Roman" w:eastAsia="仿宋_GB2312"/>
          <w:sz w:val="24"/>
          <w:szCs w:val="24"/>
          <w:highlight w:val="none"/>
        </w:rPr>
        <w:t>如遇政策调整，我行承诺的利率调整政策为：</w:t>
      </w:r>
    </w:p>
    <w:p>
      <w:pPr>
        <w:autoSpaceDE w:val="0"/>
        <w:autoSpaceDN w:val="0"/>
        <w:adjustRightInd w:val="0"/>
        <w:spacing w:line="360" w:lineRule="auto"/>
        <w:rPr>
          <w:rFonts w:ascii="仿宋_GB2312" w:hAnsi="Times New Roman" w:eastAsia="仿宋_GB2312"/>
          <w:sz w:val="24"/>
          <w:szCs w:val="24"/>
          <w:highlight w:val="none"/>
        </w:rPr>
      </w:pP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w:t>
      </w:r>
    </w:p>
    <w:p>
      <w:pPr>
        <w:autoSpaceDE w:val="0"/>
        <w:autoSpaceDN w:val="0"/>
        <w:adjustRightInd w:val="0"/>
        <w:spacing w:line="360" w:lineRule="auto"/>
        <w:ind w:firstLine="471"/>
        <w:rPr>
          <w:rFonts w:ascii="仿宋_GB2312" w:hAnsi="Times New Roman" w:eastAsia="仿宋_GB2312"/>
          <w:sz w:val="24"/>
          <w:szCs w:val="24"/>
          <w:highlight w:val="none"/>
        </w:rPr>
      </w:pPr>
      <w:r>
        <w:rPr>
          <w:rFonts w:hint="eastAsia" w:ascii="仿宋_GB2312" w:hAnsi="Times New Roman" w:eastAsia="仿宋_GB2312"/>
          <w:sz w:val="24"/>
          <w:szCs w:val="24"/>
          <w:highlight w:val="none"/>
        </w:rPr>
        <w:t>（</w:t>
      </w:r>
      <w:r>
        <w:rPr>
          <w:rFonts w:ascii="仿宋_GB2312" w:hAnsi="Times New Roman" w:eastAsia="仿宋_GB2312"/>
          <w:sz w:val="24"/>
          <w:szCs w:val="24"/>
          <w:highlight w:val="none"/>
        </w:rPr>
        <w:t>2</w:t>
      </w:r>
      <w:r>
        <w:rPr>
          <w:rFonts w:hint="eastAsia" w:ascii="仿宋_GB2312" w:hAnsi="Times New Roman" w:eastAsia="仿宋_GB2312"/>
          <w:sz w:val="24"/>
          <w:szCs w:val="24"/>
          <w:highlight w:val="none"/>
        </w:rPr>
        <w:t>）投标有效期为</w:t>
      </w:r>
      <w:r>
        <w:rPr>
          <w:rFonts w:ascii="仿宋_GB2312" w:hAnsi="Times New Roman" w:eastAsia="仿宋_GB2312"/>
          <w:sz w:val="24"/>
          <w:szCs w:val="24"/>
          <w:highlight w:val="none"/>
          <w:u w:val="single"/>
        </w:rPr>
        <w:t xml:space="preserve">    </w:t>
      </w:r>
      <w:r>
        <w:rPr>
          <w:rFonts w:hint="eastAsia" w:ascii="仿宋_GB2312" w:hAnsi="Times New Roman" w:eastAsia="仿宋_GB2312"/>
          <w:sz w:val="24"/>
          <w:szCs w:val="24"/>
          <w:highlight w:val="none"/>
        </w:rPr>
        <w:t>日历天。</w:t>
      </w:r>
    </w:p>
    <w:p>
      <w:pPr>
        <w:autoSpaceDE w:val="0"/>
        <w:autoSpaceDN w:val="0"/>
        <w:adjustRightInd w:val="0"/>
        <w:spacing w:line="360" w:lineRule="auto"/>
        <w:ind w:firstLine="480"/>
        <w:rPr>
          <w:rFonts w:ascii="仿宋_GB2312" w:hAnsi="Times New Roman" w:eastAsia="仿宋_GB2312"/>
          <w:sz w:val="24"/>
          <w:szCs w:val="24"/>
          <w:highlight w:val="none"/>
        </w:rPr>
      </w:pPr>
      <w:r>
        <w:rPr>
          <w:rFonts w:hint="eastAsia" w:ascii="仿宋_GB2312" w:hAnsi="Times New Roman" w:eastAsia="仿宋_GB2312"/>
          <w:sz w:val="24"/>
          <w:szCs w:val="24"/>
          <w:highlight w:val="none"/>
        </w:rPr>
        <w:t>我方将严格按照有关招标投标法规及招标文件的规定参加投标，我方充分理解并接受贵方的评分办法，贵方对投标结果也没有解释义务。如由我方中标，我方保证在接到你方发出的中标通知书起</w:t>
      </w:r>
      <w:r>
        <w:rPr>
          <w:rFonts w:ascii="仿宋_GB2312" w:hAnsi="Times New Roman" w:eastAsia="仿宋_GB2312"/>
          <w:sz w:val="24"/>
          <w:szCs w:val="24"/>
          <w:highlight w:val="none"/>
          <w:u w:val="single"/>
        </w:rPr>
        <w:t xml:space="preserve"> 10 </w:t>
      </w:r>
      <w:r>
        <w:rPr>
          <w:rFonts w:hint="eastAsia" w:ascii="仿宋_GB2312" w:hAnsi="Times New Roman" w:eastAsia="仿宋_GB2312"/>
          <w:sz w:val="24"/>
          <w:szCs w:val="24"/>
          <w:highlight w:val="none"/>
        </w:rPr>
        <w:t>天内，按中标通知书、招标文件和本投标书的条件和内容与招标人签订资金存放委托协议书，提供资金存放配套金融服务。</w:t>
      </w:r>
    </w:p>
    <w:p>
      <w:pPr>
        <w:autoSpaceDE w:val="0"/>
        <w:autoSpaceDN w:val="0"/>
        <w:adjustRightInd w:val="0"/>
        <w:spacing w:line="360" w:lineRule="auto"/>
        <w:ind w:firstLine="480"/>
        <w:rPr>
          <w:rFonts w:ascii="仿宋_GB2312" w:hAnsi="Times New Roman" w:eastAsia="仿宋_GB2312"/>
          <w:sz w:val="24"/>
          <w:szCs w:val="24"/>
          <w:highlight w:val="none"/>
        </w:rPr>
      </w:pPr>
      <w:r>
        <w:rPr>
          <w:rFonts w:hint="eastAsia" w:ascii="仿宋_GB2312" w:hAnsi="Times New Roman" w:eastAsia="仿宋_GB2312"/>
          <w:sz w:val="24"/>
          <w:szCs w:val="24"/>
          <w:highlight w:val="none"/>
        </w:rPr>
        <w:t>本投标书自递交你方之日起</w:t>
      </w:r>
      <w:r>
        <w:rPr>
          <w:rFonts w:ascii="仿宋_GB2312" w:hAnsi="Times New Roman" w:eastAsia="仿宋_GB2312"/>
          <w:sz w:val="24"/>
          <w:szCs w:val="24"/>
          <w:highlight w:val="none"/>
        </w:rPr>
        <w:t>90</w:t>
      </w:r>
      <w:r>
        <w:rPr>
          <w:rFonts w:hint="eastAsia" w:ascii="仿宋_GB2312" w:hAnsi="Times New Roman" w:eastAsia="仿宋_GB2312"/>
          <w:sz w:val="24"/>
          <w:szCs w:val="24"/>
          <w:highlight w:val="none"/>
        </w:rPr>
        <w:t>天内有效，在此有效期内，全部条款内容对我方具有约束力。</w:t>
      </w:r>
    </w:p>
    <w:p>
      <w:pPr>
        <w:autoSpaceDE w:val="0"/>
        <w:autoSpaceDN w:val="0"/>
        <w:adjustRightInd w:val="0"/>
        <w:spacing w:line="360" w:lineRule="auto"/>
        <w:ind w:firstLine="600" w:firstLineChars="250"/>
        <w:rPr>
          <w:rFonts w:ascii="仿宋_GB2312" w:hAnsi="Times New Roman" w:eastAsia="仿宋_GB2312"/>
          <w:sz w:val="24"/>
          <w:szCs w:val="24"/>
          <w:highlight w:val="none"/>
        </w:rPr>
      </w:pPr>
      <w:r>
        <w:rPr>
          <w:rFonts w:hint="eastAsia" w:ascii="仿宋_GB2312" w:hAnsi="Times New Roman" w:eastAsia="仿宋_GB2312"/>
          <w:sz w:val="24"/>
          <w:szCs w:val="24"/>
          <w:highlight w:val="none"/>
        </w:rPr>
        <w:t>联系地址：</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邮</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编：</w:t>
      </w:r>
    </w:p>
    <w:p>
      <w:pPr>
        <w:autoSpaceDE w:val="0"/>
        <w:autoSpaceDN w:val="0"/>
        <w:adjustRightInd w:val="0"/>
        <w:spacing w:line="360" w:lineRule="auto"/>
        <w:ind w:firstLine="600" w:firstLineChars="250"/>
        <w:rPr>
          <w:rFonts w:ascii="仿宋_GB2312" w:hAnsi="Times New Roman" w:eastAsia="仿宋_GB2312"/>
          <w:sz w:val="24"/>
          <w:szCs w:val="24"/>
          <w:highlight w:val="none"/>
        </w:rPr>
      </w:pPr>
      <w:r>
        <w:rPr>
          <w:rFonts w:hint="eastAsia" w:ascii="仿宋_GB2312" w:hAnsi="Times New Roman" w:eastAsia="仿宋_GB2312"/>
          <w:sz w:val="24"/>
          <w:szCs w:val="24"/>
          <w:highlight w:val="none"/>
        </w:rPr>
        <w:t>联系人：</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电</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话：</w:t>
      </w:r>
    </w:p>
    <w:p>
      <w:pPr>
        <w:autoSpaceDE w:val="0"/>
        <w:autoSpaceDN w:val="0"/>
        <w:adjustRightInd w:val="0"/>
        <w:spacing w:line="360" w:lineRule="auto"/>
        <w:ind w:firstLine="570"/>
        <w:rPr>
          <w:rFonts w:ascii="仿宋_GB2312" w:hAnsi="Times New Roman" w:eastAsia="仿宋_GB2312"/>
          <w:sz w:val="24"/>
          <w:szCs w:val="24"/>
          <w:highlight w:val="none"/>
        </w:rPr>
      </w:pPr>
      <w:r>
        <w:rPr>
          <w:rFonts w:hint="eastAsia" w:ascii="仿宋_GB2312" w:hAnsi="Times New Roman" w:eastAsia="仿宋_GB2312"/>
          <w:sz w:val="24"/>
          <w:szCs w:val="24"/>
          <w:highlight w:val="none"/>
        </w:rPr>
        <w:t>开户银行：</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银行帐号：</w:t>
      </w:r>
    </w:p>
    <w:p>
      <w:pPr>
        <w:autoSpaceDE w:val="0"/>
        <w:autoSpaceDN w:val="0"/>
        <w:adjustRightInd w:val="0"/>
        <w:spacing w:line="360" w:lineRule="auto"/>
        <w:ind w:firstLine="600" w:firstLineChars="250"/>
        <w:rPr>
          <w:rFonts w:ascii="仿宋_GB2312" w:hAnsi="Times New Roman" w:eastAsia="仿宋_GB2312"/>
          <w:sz w:val="24"/>
          <w:szCs w:val="24"/>
          <w:highlight w:val="none"/>
        </w:rPr>
      </w:pPr>
      <w:r>
        <w:rPr>
          <w:rFonts w:hint="eastAsia" w:ascii="仿宋_GB2312" w:hAnsi="Times New Roman" w:eastAsia="仿宋_GB2312"/>
          <w:sz w:val="24"/>
          <w:szCs w:val="24"/>
          <w:highlight w:val="none"/>
        </w:rPr>
        <w:t>投标单位：</w:t>
      </w:r>
      <w:r>
        <w:rPr>
          <w:rFonts w:ascii="仿宋_GB2312" w:hAnsi="Times New Roman" w:eastAsia="仿宋_GB2312"/>
          <w:sz w:val="24"/>
          <w:szCs w:val="24"/>
          <w:highlight w:val="none"/>
        </w:rPr>
        <w:t>(</w:t>
      </w:r>
      <w:r>
        <w:rPr>
          <w:rFonts w:hint="eastAsia" w:ascii="仿宋_GB2312" w:hAnsi="Times New Roman" w:eastAsia="仿宋_GB2312"/>
          <w:sz w:val="24"/>
          <w:szCs w:val="24"/>
          <w:highlight w:val="none"/>
        </w:rPr>
        <w:t>盖章</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法定代表人或授权代表</w:t>
      </w:r>
      <w:r>
        <w:rPr>
          <w:rFonts w:ascii="仿宋_GB2312" w:hAnsi="Times New Roman" w:eastAsia="仿宋_GB2312"/>
          <w:sz w:val="24"/>
          <w:szCs w:val="24"/>
          <w:highlight w:val="none"/>
        </w:rPr>
        <w:t>(</w:t>
      </w:r>
      <w:r>
        <w:rPr>
          <w:rFonts w:hint="eastAsia" w:ascii="仿宋_GB2312" w:hAnsi="Times New Roman" w:eastAsia="仿宋_GB2312"/>
          <w:sz w:val="24"/>
          <w:szCs w:val="24"/>
          <w:highlight w:val="none"/>
        </w:rPr>
        <w:t>签字或盖章</w:t>
      </w:r>
      <w:r>
        <w:rPr>
          <w:rFonts w:ascii="仿宋_GB2312" w:hAnsi="Times New Roman" w:eastAsia="仿宋_GB2312"/>
          <w:sz w:val="24"/>
          <w:szCs w:val="24"/>
          <w:highlight w:val="none"/>
        </w:rPr>
        <w:t>)</w:t>
      </w:r>
      <w:r>
        <w:rPr>
          <w:rFonts w:hint="eastAsia" w:ascii="仿宋_GB2312" w:hAnsi="Times New Roman" w:eastAsia="仿宋_GB2312"/>
          <w:sz w:val="24"/>
          <w:szCs w:val="24"/>
          <w:highlight w:val="none"/>
        </w:rPr>
        <w:t>：</w:t>
      </w:r>
    </w:p>
    <w:p>
      <w:pPr>
        <w:autoSpaceDE w:val="0"/>
        <w:autoSpaceDN w:val="0"/>
        <w:adjustRightInd w:val="0"/>
        <w:spacing w:line="360" w:lineRule="auto"/>
        <w:ind w:firstLine="600" w:firstLineChars="250"/>
        <w:rPr>
          <w:rFonts w:ascii="仿宋_GB2312" w:hAnsi="Times New Roman" w:eastAsia="仿宋_GB2312"/>
          <w:sz w:val="24"/>
          <w:szCs w:val="24"/>
          <w:highlight w:val="none"/>
        </w:rPr>
      </w:pPr>
    </w:p>
    <w:p>
      <w:pPr>
        <w:autoSpaceDE w:val="0"/>
        <w:autoSpaceDN w:val="0"/>
        <w:adjustRightInd w:val="0"/>
        <w:spacing w:line="360" w:lineRule="auto"/>
        <w:rPr>
          <w:rFonts w:ascii="仿宋_GB2312" w:hAnsi="Times New Roman" w:eastAsia="仿宋_GB2312"/>
          <w:sz w:val="24"/>
          <w:szCs w:val="24"/>
          <w:highlight w:val="none"/>
        </w:rPr>
      </w:pP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年</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月</w:t>
      </w:r>
      <w:r>
        <w:rPr>
          <w:rFonts w:ascii="仿宋_GB2312" w:hAnsi="Times New Roman" w:eastAsia="仿宋_GB2312"/>
          <w:sz w:val="24"/>
          <w:szCs w:val="24"/>
          <w:highlight w:val="none"/>
        </w:rPr>
        <w:t xml:space="preserve">     </w:t>
      </w:r>
      <w:r>
        <w:rPr>
          <w:rFonts w:hint="eastAsia" w:ascii="仿宋_GB2312" w:hAnsi="Times New Roman" w:eastAsia="仿宋_GB2312"/>
          <w:sz w:val="24"/>
          <w:szCs w:val="24"/>
          <w:highlight w:val="none"/>
        </w:rPr>
        <w:t>日</w:t>
      </w: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autoSpaceDE w:val="0"/>
        <w:autoSpaceDN w:val="0"/>
        <w:adjustRightInd w:val="0"/>
        <w:spacing w:line="360" w:lineRule="auto"/>
        <w:rPr>
          <w:rFonts w:ascii="方正小标宋简体" w:hAnsi="Times New Roman" w:eastAsia="方正小标宋简体"/>
          <w:b/>
          <w:sz w:val="18"/>
          <w:szCs w:val="18"/>
          <w:highlight w:val="none"/>
        </w:rPr>
      </w:pPr>
    </w:p>
    <w:p>
      <w:pPr>
        <w:keepNext/>
        <w:keepLines/>
        <w:widowControl/>
        <w:spacing w:before="120" w:after="120" w:line="360" w:lineRule="auto"/>
        <w:jc w:val="center"/>
        <w:outlineLvl w:val="2"/>
        <w:rPr>
          <w:rFonts w:ascii="方正小标宋简体" w:hAnsi="Times New Roman" w:eastAsia="方正小标宋简体"/>
          <w:b/>
          <w:kern w:val="0"/>
          <w:sz w:val="36"/>
          <w:szCs w:val="20"/>
          <w:highlight w:val="none"/>
        </w:rPr>
      </w:pPr>
      <w:r>
        <w:rPr>
          <w:rFonts w:hint="eastAsia" w:ascii="方正小标宋简体" w:hAnsi="Times New Roman" w:eastAsia="方正小标宋简体"/>
          <w:b/>
          <w:kern w:val="0"/>
          <w:sz w:val="36"/>
          <w:szCs w:val="20"/>
          <w:highlight w:val="none"/>
        </w:rPr>
        <w:t>二、法定代表人身份证明书</w:t>
      </w:r>
    </w:p>
    <w:p>
      <w:pPr>
        <w:spacing w:line="360" w:lineRule="auto"/>
        <w:rPr>
          <w:rFonts w:ascii="宋体"/>
          <w:b/>
          <w:sz w:val="36"/>
          <w:szCs w:val="24"/>
          <w:highlight w:val="none"/>
        </w:rPr>
      </w:pPr>
    </w:p>
    <w:p>
      <w:pPr>
        <w:spacing w:line="360" w:lineRule="auto"/>
        <w:rPr>
          <w:rFonts w:ascii="宋体"/>
          <w:b/>
          <w:szCs w:val="24"/>
          <w:highlight w:val="none"/>
        </w:rPr>
      </w:pPr>
    </w:p>
    <w:p>
      <w:pPr>
        <w:spacing w:line="360" w:lineRule="auto"/>
        <w:ind w:firstLine="612"/>
        <w:rPr>
          <w:rFonts w:ascii="仿宋_GB2312" w:hAnsi="宋体" w:eastAsia="仿宋_GB2312"/>
          <w:sz w:val="24"/>
          <w:szCs w:val="24"/>
          <w:highlight w:val="none"/>
        </w:rPr>
      </w:pPr>
      <w:r>
        <w:rPr>
          <w:rFonts w:hint="eastAsia" w:ascii="仿宋_GB2312" w:hAnsi="宋体" w:eastAsia="仿宋_GB2312"/>
          <w:sz w:val="24"/>
          <w:szCs w:val="24"/>
          <w:highlight w:val="none"/>
        </w:rPr>
        <w:t>单位名称：</w:t>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p>
    <w:p>
      <w:pPr>
        <w:spacing w:line="360" w:lineRule="auto"/>
        <w:ind w:firstLine="610"/>
        <w:rPr>
          <w:rFonts w:ascii="仿宋_GB2312" w:hAnsi="宋体" w:eastAsia="仿宋_GB2312"/>
          <w:sz w:val="24"/>
          <w:szCs w:val="24"/>
          <w:highlight w:val="none"/>
          <w:u w:val="single"/>
        </w:rPr>
      </w:pPr>
      <w:r>
        <w:rPr>
          <w:rFonts w:hint="eastAsia" w:ascii="仿宋_GB2312" w:hAnsi="宋体" w:eastAsia="仿宋_GB2312"/>
          <w:sz w:val="24"/>
          <w:szCs w:val="24"/>
          <w:highlight w:val="none"/>
        </w:rPr>
        <w:t>单位性质：</w:t>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p>
    <w:p>
      <w:pPr>
        <w:spacing w:line="360" w:lineRule="auto"/>
        <w:ind w:firstLine="610"/>
        <w:rPr>
          <w:rFonts w:ascii="仿宋_GB2312" w:hAnsi="宋体" w:eastAsia="仿宋_GB2312"/>
          <w:sz w:val="24"/>
          <w:szCs w:val="24"/>
          <w:highlight w:val="none"/>
          <w:u w:val="single"/>
        </w:rPr>
      </w:pPr>
      <w:r>
        <w:rPr>
          <w:rFonts w:hint="eastAsia" w:ascii="仿宋_GB2312" w:hAnsi="宋体" w:eastAsia="仿宋_GB2312"/>
          <w:sz w:val="24"/>
          <w:szCs w:val="24"/>
          <w:highlight w:val="none"/>
        </w:rPr>
        <w:t>地</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址：</w:t>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 xml:space="preserve">  </w:t>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 xml:space="preserve">       </w:t>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p>
    <w:p>
      <w:pPr>
        <w:spacing w:line="360" w:lineRule="auto"/>
        <w:ind w:firstLine="610"/>
        <w:rPr>
          <w:rFonts w:ascii="仿宋_GB2312" w:hAnsi="宋体" w:eastAsia="仿宋_GB2312"/>
          <w:sz w:val="24"/>
          <w:szCs w:val="24"/>
          <w:highlight w:val="none"/>
        </w:rPr>
      </w:pPr>
      <w:r>
        <w:rPr>
          <w:rFonts w:hint="eastAsia" w:ascii="仿宋_GB2312" w:hAnsi="宋体" w:eastAsia="仿宋_GB2312"/>
          <w:sz w:val="24"/>
          <w:szCs w:val="24"/>
          <w:highlight w:val="none"/>
        </w:rPr>
        <w:t>成立时间：</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年</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月</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日</w:t>
      </w:r>
    </w:p>
    <w:p>
      <w:pPr>
        <w:spacing w:line="360" w:lineRule="auto"/>
        <w:ind w:firstLine="610"/>
        <w:rPr>
          <w:rFonts w:ascii="仿宋_GB2312" w:hAnsi="宋体" w:eastAsia="仿宋_GB2312"/>
          <w:sz w:val="24"/>
          <w:szCs w:val="24"/>
          <w:highlight w:val="none"/>
          <w:u w:val="single"/>
        </w:rPr>
      </w:pPr>
      <w:r>
        <w:rPr>
          <w:rFonts w:hint="eastAsia" w:ascii="仿宋_GB2312" w:hAnsi="宋体" w:eastAsia="仿宋_GB2312"/>
          <w:sz w:val="24"/>
          <w:szCs w:val="24"/>
          <w:highlight w:val="none"/>
        </w:rPr>
        <w:t>经营期限：</w:t>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 xml:space="preserve">                                                </w:t>
      </w:r>
      <w:r>
        <w:rPr>
          <w:rFonts w:ascii="仿宋_GB2312" w:hAnsi="宋体" w:eastAsia="仿宋_GB2312"/>
          <w:sz w:val="24"/>
          <w:szCs w:val="24"/>
          <w:highlight w:val="none"/>
          <w:u w:val="single"/>
        </w:rPr>
        <w:tab/>
      </w:r>
    </w:p>
    <w:p>
      <w:pPr>
        <w:spacing w:line="360" w:lineRule="auto"/>
        <w:ind w:firstLine="610"/>
        <w:rPr>
          <w:rFonts w:ascii="仿宋_GB2312" w:hAnsi="宋体" w:eastAsia="仿宋_GB2312"/>
          <w:sz w:val="24"/>
          <w:szCs w:val="24"/>
          <w:highlight w:val="none"/>
          <w:u w:val="single"/>
        </w:rPr>
      </w:pPr>
      <w:r>
        <w:rPr>
          <w:rFonts w:hint="eastAsia" w:ascii="仿宋_GB2312" w:hAnsi="宋体" w:eastAsia="仿宋_GB2312"/>
          <w:sz w:val="24"/>
          <w:szCs w:val="24"/>
          <w:highlight w:val="none"/>
        </w:rPr>
        <w:t>姓</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名：</w:t>
      </w:r>
      <w:r>
        <w:rPr>
          <w:rFonts w:ascii="仿宋_GB2312" w:hAnsi="宋体" w:eastAsia="仿宋_GB2312"/>
          <w:sz w:val="24"/>
          <w:szCs w:val="24"/>
          <w:highlight w:val="none"/>
          <w:u w:val="single"/>
        </w:rPr>
        <w:t xml:space="preserve">        </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性别：</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年龄：</w:t>
      </w:r>
      <w:r>
        <w:rPr>
          <w:rFonts w:ascii="仿宋_GB2312" w:hAnsi="宋体" w:eastAsia="仿宋_GB2312"/>
          <w:sz w:val="24"/>
          <w:szCs w:val="24"/>
          <w:highlight w:val="none"/>
          <w:u w:val="single"/>
        </w:rPr>
        <w:t xml:space="preserve">         </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职务：</w:t>
      </w:r>
      <w:r>
        <w:rPr>
          <w:rFonts w:ascii="仿宋_GB2312" w:hAnsi="宋体" w:eastAsia="仿宋_GB2312"/>
          <w:sz w:val="24"/>
          <w:szCs w:val="24"/>
          <w:highlight w:val="none"/>
          <w:u w:val="single"/>
        </w:rPr>
        <w:tab/>
      </w:r>
      <w:r>
        <w:rPr>
          <w:rFonts w:ascii="仿宋_GB2312" w:hAnsi="宋体" w:eastAsia="仿宋_GB2312"/>
          <w:sz w:val="24"/>
          <w:szCs w:val="24"/>
          <w:highlight w:val="none"/>
          <w:u w:val="single"/>
        </w:rPr>
        <w:tab/>
      </w:r>
    </w:p>
    <w:p>
      <w:pPr>
        <w:spacing w:line="360" w:lineRule="auto"/>
        <w:ind w:left="609" w:leftChars="290"/>
        <w:rPr>
          <w:rFonts w:ascii="仿宋_GB2312" w:hAnsi="宋体" w:eastAsia="仿宋_GB2312"/>
          <w:sz w:val="24"/>
          <w:szCs w:val="24"/>
          <w:highlight w:val="none"/>
        </w:rPr>
      </w:pPr>
      <w:r>
        <w:rPr>
          <w:rFonts w:hint="eastAsia" w:ascii="仿宋_GB2312" w:hAnsi="宋体" w:eastAsia="仿宋_GB2312"/>
          <w:sz w:val="24"/>
          <w:szCs w:val="24"/>
          <w:highlight w:val="none"/>
        </w:rPr>
        <w:t>身份证号码</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系</w:t>
      </w:r>
      <w:r>
        <w:rPr>
          <w:rFonts w:ascii="仿宋_GB2312" w:hAnsi="宋体" w:eastAsia="仿宋_GB2312"/>
          <w:sz w:val="24"/>
          <w:szCs w:val="24"/>
          <w:highlight w:val="none"/>
        </w:rPr>
        <w:t xml:space="preserve"> </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（投标人单位名称的法定代表人）。</w:t>
      </w:r>
    </w:p>
    <w:p>
      <w:pPr>
        <w:spacing w:line="360" w:lineRule="auto"/>
        <w:ind w:firstLine="610"/>
        <w:rPr>
          <w:rFonts w:ascii="仿宋_GB2312" w:hAnsi="宋体" w:eastAsia="仿宋_GB2312"/>
          <w:sz w:val="24"/>
          <w:szCs w:val="24"/>
          <w:highlight w:val="none"/>
          <w:u w:val="single"/>
        </w:rPr>
      </w:pPr>
    </w:p>
    <w:p>
      <w:pPr>
        <w:spacing w:line="360" w:lineRule="auto"/>
        <w:ind w:firstLine="2530" w:firstLineChars="1054"/>
        <w:rPr>
          <w:rFonts w:ascii="仿宋_GB2312" w:hAnsi="宋体" w:eastAsia="仿宋_GB2312"/>
          <w:sz w:val="24"/>
          <w:szCs w:val="24"/>
          <w:highlight w:val="none"/>
          <w:u w:val="single"/>
        </w:rPr>
      </w:pPr>
    </w:p>
    <w:p>
      <w:pPr>
        <w:spacing w:line="360" w:lineRule="auto"/>
        <w:ind w:firstLine="610"/>
        <w:rPr>
          <w:rFonts w:ascii="仿宋_GB2312" w:hAnsi="宋体" w:eastAsia="仿宋_GB2312"/>
          <w:sz w:val="24"/>
          <w:szCs w:val="24"/>
          <w:highlight w:val="none"/>
        </w:rPr>
      </w:pPr>
    </w:p>
    <w:p>
      <w:pPr>
        <w:spacing w:line="360" w:lineRule="auto"/>
        <w:ind w:firstLine="1330" w:firstLineChars="554"/>
        <w:rPr>
          <w:rFonts w:ascii="仿宋_GB2312" w:hAnsi="宋体" w:eastAsia="仿宋_GB2312"/>
          <w:sz w:val="24"/>
          <w:szCs w:val="24"/>
          <w:highlight w:val="none"/>
        </w:rPr>
      </w:pPr>
      <w:r>
        <w:rPr>
          <w:rFonts w:hint="eastAsia" w:ascii="仿宋_GB2312" w:hAnsi="宋体" w:eastAsia="仿宋_GB2312"/>
          <w:sz w:val="24"/>
          <w:szCs w:val="24"/>
          <w:highlight w:val="none"/>
        </w:rPr>
        <w:t>特此证明。</w:t>
      </w:r>
    </w:p>
    <w:p>
      <w:pPr>
        <w:tabs>
          <w:tab w:val="left" w:pos="720"/>
          <w:tab w:val="left" w:pos="900"/>
        </w:tabs>
        <w:spacing w:line="360" w:lineRule="auto"/>
        <w:ind w:firstLine="480" w:firstLineChars="200"/>
        <w:rPr>
          <w:rFonts w:ascii="仿宋_GB2312" w:hAnsi="宋体" w:eastAsia="仿宋_GB2312"/>
          <w:sz w:val="24"/>
          <w:szCs w:val="24"/>
          <w:highlight w:val="none"/>
        </w:rPr>
      </w:pPr>
    </w:p>
    <w:p>
      <w:pPr>
        <w:tabs>
          <w:tab w:val="left" w:pos="720"/>
          <w:tab w:val="left" w:pos="900"/>
        </w:tabs>
        <w:spacing w:line="360" w:lineRule="auto"/>
        <w:ind w:firstLine="480" w:firstLineChars="200"/>
        <w:rPr>
          <w:rFonts w:ascii="仿宋_GB2312" w:hAnsi="宋体" w:eastAsia="仿宋_GB2312"/>
          <w:sz w:val="24"/>
          <w:szCs w:val="24"/>
          <w:highlight w:val="none"/>
        </w:rPr>
      </w:pPr>
    </w:p>
    <w:p>
      <w:pPr>
        <w:tabs>
          <w:tab w:val="left" w:pos="720"/>
          <w:tab w:val="left" w:pos="900"/>
        </w:tabs>
        <w:spacing w:line="360" w:lineRule="auto"/>
        <w:ind w:firstLine="480" w:firstLineChars="200"/>
        <w:rPr>
          <w:rFonts w:ascii="仿宋_GB2312" w:hAnsi="宋体" w:eastAsia="仿宋_GB2312"/>
          <w:sz w:val="24"/>
          <w:szCs w:val="24"/>
          <w:highlight w:val="none"/>
        </w:rPr>
      </w:pPr>
    </w:p>
    <w:p>
      <w:pPr>
        <w:tabs>
          <w:tab w:val="left" w:pos="720"/>
          <w:tab w:val="left" w:pos="900"/>
        </w:tabs>
        <w:spacing w:line="360" w:lineRule="auto"/>
        <w:rPr>
          <w:rFonts w:ascii="仿宋_GB2312" w:hAnsi="宋体" w:eastAsia="仿宋_GB2312"/>
          <w:sz w:val="24"/>
          <w:szCs w:val="24"/>
          <w:highlight w:val="none"/>
        </w:rPr>
      </w:pPr>
    </w:p>
    <w:p>
      <w:pPr>
        <w:tabs>
          <w:tab w:val="left" w:pos="720"/>
          <w:tab w:val="left" w:pos="900"/>
        </w:tabs>
        <w:spacing w:line="360" w:lineRule="auto"/>
        <w:ind w:firstLine="4080" w:firstLineChars="1700"/>
        <w:rPr>
          <w:rFonts w:ascii="仿宋_GB2312" w:hAnsi="宋体" w:eastAsia="仿宋_GB2312"/>
          <w:sz w:val="24"/>
          <w:szCs w:val="24"/>
          <w:highlight w:val="none"/>
        </w:rPr>
      </w:pPr>
      <w:r>
        <w:rPr>
          <w:rFonts w:hint="eastAsia" w:ascii="仿宋_GB2312" w:hAnsi="宋体" w:eastAsia="仿宋_GB2312"/>
          <w:sz w:val="24"/>
          <w:szCs w:val="24"/>
          <w:highlight w:val="none"/>
        </w:rPr>
        <w:t>投标人：</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（盖公章）</w:t>
      </w:r>
    </w:p>
    <w:p>
      <w:pPr>
        <w:tabs>
          <w:tab w:val="left" w:pos="720"/>
          <w:tab w:val="left" w:pos="900"/>
        </w:tabs>
        <w:spacing w:line="360" w:lineRule="auto"/>
        <w:ind w:firstLine="4080" w:firstLineChars="1700"/>
        <w:rPr>
          <w:rFonts w:ascii="仿宋_GB2312" w:hAnsi="Times New Roman" w:eastAsia="仿宋_GB2312"/>
          <w:szCs w:val="24"/>
          <w:highlight w:val="none"/>
        </w:rPr>
      </w:pPr>
      <w:r>
        <w:rPr>
          <w:rFonts w:hint="eastAsia" w:ascii="仿宋_GB2312" w:hAnsi="宋体" w:eastAsia="仿宋_GB2312"/>
          <w:sz w:val="24"/>
          <w:szCs w:val="24"/>
          <w:highlight w:val="none"/>
        </w:rPr>
        <w:t>日</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期：</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年</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月</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日</w:t>
      </w:r>
    </w:p>
    <w:p>
      <w:pPr>
        <w:spacing w:line="360" w:lineRule="auto"/>
        <w:rPr>
          <w:rFonts w:ascii="仿宋_GB2312" w:hAnsi="Times New Roman" w:eastAsia="仿宋_GB2312"/>
          <w:szCs w:val="24"/>
          <w:highlight w:val="none"/>
        </w:rPr>
      </w:pPr>
      <w:r>
        <w:rPr>
          <w:rFonts w:ascii="仿宋_GB2312" w:hAnsi="Times New Roman" w:eastAsia="仿宋_GB2312"/>
          <w:szCs w:val="24"/>
          <w:highlight w:val="none"/>
        </w:rPr>
        <w:br w:type="page"/>
      </w:r>
    </w:p>
    <w:p>
      <w:pPr>
        <w:keepNext/>
        <w:keepLines/>
        <w:widowControl/>
        <w:spacing w:before="120" w:after="120" w:line="360" w:lineRule="auto"/>
        <w:jc w:val="center"/>
        <w:outlineLvl w:val="2"/>
        <w:rPr>
          <w:rFonts w:ascii="方正小标宋简体" w:hAnsi="Times New Roman" w:eastAsia="方正小标宋简体"/>
          <w:b/>
          <w:kern w:val="0"/>
          <w:sz w:val="36"/>
          <w:szCs w:val="20"/>
          <w:highlight w:val="none"/>
        </w:rPr>
      </w:pPr>
      <w:r>
        <w:rPr>
          <w:rFonts w:hint="eastAsia" w:ascii="方正小标宋简体" w:hAnsi="Times New Roman" w:eastAsia="方正小标宋简体"/>
          <w:b/>
          <w:kern w:val="0"/>
          <w:sz w:val="36"/>
          <w:szCs w:val="20"/>
          <w:highlight w:val="none"/>
        </w:rPr>
        <w:t>三、投标文件签署授权委托书</w:t>
      </w:r>
    </w:p>
    <w:p>
      <w:pPr>
        <w:spacing w:after="156" w:line="360" w:lineRule="auto"/>
        <w:rPr>
          <w:rFonts w:ascii="宋体"/>
          <w:b/>
          <w:sz w:val="10"/>
          <w:szCs w:val="24"/>
          <w:highlight w:val="none"/>
        </w:rPr>
      </w:pPr>
    </w:p>
    <w:p>
      <w:pPr>
        <w:spacing w:line="360" w:lineRule="auto"/>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本授权委托书声明：我</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（姓名）系</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（投</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标</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人</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名</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称）</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的法定代表人，现授权委托</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（单</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位</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名</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称）</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的</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（姓名）</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为我公司签署</w:t>
      </w:r>
      <w:r>
        <w:rPr>
          <w:rFonts w:hint="eastAsia" w:ascii="仿宋_GB2312" w:hAnsi="宋体" w:eastAsia="仿宋_GB2312"/>
          <w:sz w:val="24"/>
          <w:szCs w:val="24"/>
          <w:highlight w:val="none"/>
          <w:u w:val="single"/>
        </w:rPr>
        <w:t>舟山民航集团有限公司</w:t>
      </w:r>
      <w:r>
        <w:rPr>
          <w:rFonts w:hint="eastAsia" w:ascii="仿宋_GB2312" w:hAnsi="Times New Roman" w:eastAsia="仿宋_GB2312"/>
          <w:sz w:val="24"/>
          <w:szCs w:val="24"/>
          <w:highlight w:val="none"/>
          <w:u w:val="single"/>
        </w:rPr>
        <w:t>资金存放银行开户</w:t>
      </w:r>
      <w:r>
        <w:rPr>
          <w:rFonts w:hint="eastAsia" w:ascii="仿宋_GB2312" w:hAnsi="宋体" w:eastAsia="仿宋_GB2312"/>
          <w:sz w:val="24"/>
          <w:szCs w:val="24"/>
          <w:highlight w:val="none"/>
        </w:rPr>
        <w:t>项目投标文件的法定代表人授权委托代理人，我特此授权并承认代理人全权代表我签署投标文件及其它文件，参加开标、询标、商签合同以及处理与之有关的一切其它事务，我公司对于代理人前述行为及其产生的后果均予以确认。</w:t>
      </w:r>
    </w:p>
    <w:p>
      <w:pPr>
        <w:spacing w:line="360" w:lineRule="auto"/>
        <w:ind w:firstLine="697"/>
        <w:rPr>
          <w:rFonts w:ascii="仿宋_GB2312" w:hAnsi="宋体" w:eastAsia="仿宋_GB2312"/>
          <w:sz w:val="24"/>
          <w:szCs w:val="24"/>
          <w:highlight w:val="none"/>
        </w:rPr>
      </w:pPr>
      <w:r>
        <w:rPr>
          <w:rFonts w:hint="eastAsia" w:ascii="仿宋_GB2312" w:hAnsi="宋体" w:eastAsia="仿宋_GB2312"/>
          <w:sz w:val="24"/>
          <w:szCs w:val="24"/>
          <w:highlight w:val="none"/>
        </w:rPr>
        <w:t>代理人无转委托权，特此委托</w:t>
      </w:r>
    </w:p>
    <w:p>
      <w:pPr>
        <w:spacing w:line="360" w:lineRule="auto"/>
        <w:ind w:left="1260"/>
        <w:rPr>
          <w:rFonts w:ascii="仿宋_GB2312" w:hAnsi="宋体" w:eastAsia="仿宋_GB2312"/>
          <w:sz w:val="24"/>
          <w:szCs w:val="24"/>
          <w:highlight w:val="none"/>
        </w:rPr>
      </w:pPr>
    </w:p>
    <w:p>
      <w:pPr>
        <w:spacing w:line="360" w:lineRule="auto"/>
        <w:ind w:left="1260"/>
        <w:rPr>
          <w:rFonts w:ascii="仿宋_GB2312" w:hAnsi="宋体" w:eastAsia="仿宋_GB2312"/>
          <w:sz w:val="24"/>
          <w:szCs w:val="24"/>
          <w:highlight w:val="none"/>
        </w:rPr>
      </w:pPr>
    </w:p>
    <w:p>
      <w:pPr>
        <w:spacing w:line="360" w:lineRule="auto"/>
        <w:ind w:left="1260"/>
        <w:rPr>
          <w:rFonts w:ascii="仿宋_GB2312" w:hAnsi="宋体" w:eastAsia="仿宋_GB2312"/>
          <w:sz w:val="24"/>
          <w:szCs w:val="24"/>
          <w:highlight w:val="none"/>
        </w:rPr>
      </w:pPr>
    </w:p>
    <w:p>
      <w:pPr>
        <w:spacing w:line="360" w:lineRule="auto"/>
        <w:ind w:left="1680" w:leftChars="800" w:firstLine="480" w:firstLineChars="200"/>
        <w:rPr>
          <w:rFonts w:ascii="仿宋_GB2312" w:hAnsi="宋体" w:eastAsia="仿宋_GB2312"/>
          <w:sz w:val="24"/>
          <w:szCs w:val="24"/>
          <w:highlight w:val="none"/>
          <w:u w:val="single"/>
        </w:rPr>
      </w:pPr>
      <w:r>
        <w:rPr>
          <w:rFonts w:hint="eastAsia" w:ascii="仿宋_GB2312" w:hAnsi="宋体" w:eastAsia="仿宋_GB2312"/>
          <w:sz w:val="24"/>
          <w:szCs w:val="24"/>
          <w:highlight w:val="none"/>
        </w:rPr>
        <w:t>代理人：</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（签字）</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性别</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年龄：</w:t>
      </w:r>
      <w:r>
        <w:rPr>
          <w:rFonts w:ascii="仿宋_GB2312" w:hAnsi="宋体" w:eastAsia="仿宋_GB2312"/>
          <w:sz w:val="24"/>
          <w:szCs w:val="24"/>
          <w:highlight w:val="none"/>
        </w:rPr>
        <w:t>_______</w:t>
      </w:r>
    </w:p>
    <w:p>
      <w:pPr>
        <w:spacing w:line="360" w:lineRule="auto"/>
        <w:ind w:left="2100"/>
        <w:rPr>
          <w:rFonts w:ascii="仿宋_GB2312" w:hAnsi="宋体" w:eastAsia="仿宋_GB2312"/>
          <w:sz w:val="24"/>
          <w:szCs w:val="24"/>
          <w:highlight w:val="none"/>
          <w:u w:val="single"/>
        </w:rPr>
      </w:pPr>
      <w:r>
        <w:rPr>
          <w:rFonts w:hint="eastAsia" w:ascii="仿宋_GB2312" w:hAnsi="宋体" w:eastAsia="仿宋_GB2312"/>
          <w:sz w:val="24"/>
          <w:szCs w:val="24"/>
          <w:highlight w:val="none"/>
        </w:rPr>
        <w:t>身份证号码：</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职务：</w:t>
      </w:r>
      <w:r>
        <w:rPr>
          <w:rFonts w:ascii="仿宋_GB2312" w:hAnsi="宋体" w:eastAsia="仿宋_GB2312"/>
          <w:sz w:val="24"/>
          <w:szCs w:val="24"/>
          <w:highlight w:val="none"/>
          <w:u w:val="single"/>
        </w:rPr>
        <w:t xml:space="preserve">____        </w:t>
      </w:r>
    </w:p>
    <w:p>
      <w:pPr>
        <w:spacing w:line="360" w:lineRule="auto"/>
        <w:ind w:left="2100"/>
        <w:rPr>
          <w:rFonts w:ascii="仿宋_GB2312" w:hAnsi="宋体" w:eastAsia="仿宋_GB2312"/>
          <w:sz w:val="24"/>
          <w:szCs w:val="24"/>
          <w:highlight w:val="none"/>
        </w:rPr>
      </w:pPr>
      <w:r>
        <w:rPr>
          <w:rFonts w:hint="eastAsia" w:ascii="仿宋_GB2312" w:hAnsi="宋体" w:eastAsia="仿宋_GB2312"/>
          <w:sz w:val="24"/>
          <w:szCs w:val="24"/>
          <w:highlight w:val="none"/>
        </w:rPr>
        <w:t>投标人：</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（盖章）</w:t>
      </w:r>
      <w:r>
        <w:rPr>
          <w:rFonts w:ascii="仿宋_GB2312" w:hAnsi="宋体" w:eastAsia="仿宋_GB2312"/>
          <w:sz w:val="24"/>
          <w:szCs w:val="24"/>
          <w:highlight w:val="none"/>
          <w:u w:val="single"/>
        </w:rPr>
        <w:t xml:space="preserve">                    </w:t>
      </w:r>
    </w:p>
    <w:p>
      <w:pPr>
        <w:spacing w:line="360" w:lineRule="auto"/>
        <w:ind w:left="2100"/>
        <w:rPr>
          <w:rFonts w:ascii="仿宋_GB2312" w:hAnsi="宋体" w:eastAsia="仿宋_GB2312"/>
          <w:sz w:val="24"/>
          <w:szCs w:val="24"/>
          <w:highlight w:val="none"/>
        </w:rPr>
      </w:pPr>
      <w:r>
        <w:rPr>
          <w:rFonts w:hint="eastAsia" w:ascii="仿宋_GB2312" w:hAnsi="宋体" w:eastAsia="仿宋_GB2312"/>
          <w:sz w:val="24"/>
          <w:szCs w:val="24"/>
          <w:highlight w:val="none"/>
        </w:rPr>
        <w:t>法定代表人：</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u w:val="single"/>
        </w:rPr>
        <w:t>（签字或盖章）</w:t>
      </w:r>
      <w:r>
        <w:rPr>
          <w:rFonts w:ascii="仿宋_GB2312" w:hAnsi="宋体" w:eastAsia="仿宋_GB2312"/>
          <w:sz w:val="24"/>
          <w:szCs w:val="24"/>
          <w:highlight w:val="none"/>
          <w:u w:val="single"/>
        </w:rPr>
        <w:t xml:space="preserve">           </w:t>
      </w:r>
    </w:p>
    <w:p>
      <w:pPr>
        <w:spacing w:line="360" w:lineRule="auto"/>
        <w:ind w:left="2833" w:leftChars="1349" w:firstLine="2400" w:firstLineChars="1000"/>
        <w:rPr>
          <w:rFonts w:ascii="仿宋_GB2312" w:hAnsi="宋体" w:eastAsia="仿宋_GB2312"/>
          <w:sz w:val="24"/>
          <w:szCs w:val="24"/>
          <w:highlight w:val="none"/>
        </w:rPr>
      </w:pPr>
    </w:p>
    <w:p>
      <w:pPr>
        <w:spacing w:line="360" w:lineRule="auto"/>
        <w:ind w:firstLine="3600" w:firstLineChars="1500"/>
        <w:rPr>
          <w:rFonts w:ascii="Times New Roman" w:hAnsi="Times New Roman"/>
          <w:szCs w:val="24"/>
          <w:highlight w:val="none"/>
        </w:rPr>
      </w:pPr>
      <w:r>
        <w:rPr>
          <w:rFonts w:hint="eastAsia" w:ascii="仿宋_GB2312" w:hAnsi="宋体" w:eastAsia="仿宋_GB2312"/>
          <w:sz w:val="24"/>
          <w:szCs w:val="24"/>
          <w:highlight w:val="none"/>
        </w:rPr>
        <w:t>授权委托日期：</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年</w:t>
      </w:r>
      <w:r>
        <w:rPr>
          <w:rFonts w:ascii="仿宋_GB2312" w:hAnsi="宋体" w:eastAsia="仿宋_GB2312"/>
          <w:sz w:val="24"/>
          <w:szCs w:val="24"/>
          <w:highlight w:val="none"/>
        </w:rPr>
        <w:t xml:space="preserve"> </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月</w:t>
      </w:r>
      <w:r>
        <w:rPr>
          <w:rFonts w:ascii="仿宋_GB2312" w:hAnsi="宋体" w:eastAsia="仿宋_GB2312"/>
          <w:sz w:val="24"/>
          <w:szCs w:val="24"/>
          <w:highlight w:val="none"/>
          <w:u w:val="single"/>
        </w:rPr>
        <w:t xml:space="preserve">     </w:t>
      </w:r>
      <w:r>
        <w:rPr>
          <w:rFonts w:hint="eastAsia" w:ascii="仿宋_GB2312" w:hAnsi="宋体" w:eastAsia="仿宋_GB2312"/>
          <w:sz w:val="24"/>
          <w:szCs w:val="24"/>
          <w:highlight w:val="none"/>
        </w:rPr>
        <w:t>日</w:t>
      </w:r>
    </w:p>
    <w:p>
      <w:pPr>
        <w:rPr>
          <w:highlight w:val="none"/>
        </w:rPr>
      </w:pPr>
    </w:p>
    <w:p>
      <w:pPr>
        <w:widowControl/>
        <w:jc w:val="left"/>
        <w:rPr>
          <w:rFonts w:ascii="Times New Roman" w:hAnsi="Times New Roman"/>
          <w:kern w:val="0"/>
          <w:sz w:val="20"/>
          <w:szCs w:val="20"/>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97B94"/>
    <w:rsid w:val="0BB56763"/>
    <w:rsid w:val="122B44E8"/>
    <w:rsid w:val="3C9C0E4D"/>
    <w:rsid w:val="6CDD4C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semiHidden="0" w:name="annotation text" w:locked="1"/>
    <w:lsdException w:qFormat="1" w:uiPriority="99" w:semiHidden="0" w:name="header" w:locked="1"/>
    <w:lsdException w:qFormat="1"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0"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qFormat="1" w:uiPriority="99" w:semiHidden="0"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0"/>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locked/>
    <w:uiPriority w:val="99"/>
    <w:rPr>
      <w:b/>
      <w:bCs/>
    </w:rPr>
  </w:style>
  <w:style w:type="paragraph" w:styleId="3">
    <w:name w:val="annotation text"/>
    <w:basedOn w:val="1"/>
    <w:link w:val="12"/>
    <w:unhideWhenUsed/>
    <w:qFormat/>
    <w:locked/>
    <w:uiPriority w:val="99"/>
    <w:pPr>
      <w:jc w:val="left"/>
    </w:pPr>
    <w:rPr>
      <w:sz w:val="22"/>
    </w:rPr>
  </w:style>
  <w:style w:type="paragraph" w:styleId="4">
    <w:name w:val="Balloon Text"/>
    <w:basedOn w:val="1"/>
    <w:link w:val="15"/>
    <w:unhideWhenUsed/>
    <w:qFormat/>
    <w:locked/>
    <w:uiPriority w:val="99"/>
    <w:rPr>
      <w:sz w:val="18"/>
      <w:szCs w:val="18"/>
    </w:rPr>
  </w:style>
  <w:style w:type="paragraph" w:styleId="5">
    <w:name w:val="footer"/>
    <w:basedOn w:val="1"/>
    <w:link w:val="14"/>
    <w:unhideWhenUsed/>
    <w:qFormat/>
    <w:locked/>
    <w:uiPriority w:val="99"/>
    <w:pPr>
      <w:tabs>
        <w:tab w:val="center" w:pos="4153"/>
        <w:tab w:val="right" w:pos="8306"/>
      </w:tabs>
      <w:snapToGrid w:val="0"/>
      <w:jc w:val="left"/>
    </w:pPr>
    <w:rPr>
      <w:sz w:val="18"/>
      <w:szCs w:val="18"/>
    </w:rPr>
  </w:style>
  <w:style w:type="paragraph" w:styleId="6">
    <w:name w:val="header"/>
    <w:basedOn w:val="1"/>
    <w:link w:val="13"/>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locked/>
    <w:uiPriority w:val="99"/>
    <w:rPr>
      <w:rFonts w:ascii="Calibri" w:hAnsi="Calibri" w:eastAsia="宋体" w:cs="Times New Roman"/>
      <w:color w:val="954F72"/>
      <w:kern w:val="2"/>
      <w:sz w:val="21"/>
      <w:szCs w:val="22"/>
      <w:u w:val="single"/>
      <w:lang w:val="en-US" w:eastAsia="zh-CN" w:bidi="ar-SA"/>
    </w:rPr>
  </w:style>
  <w:style w:type="character" w:styleId="9">
    <w:name w:val="Hyperlink"/>
    <w:basedOn w:val="7"/>
    <w:unhideWhenUsed/>
    <w:qFormat/>
    <w:locked/>
    <w:uiPriority w:val="99"/>
    <w:rPr>
      <w:rFonts w:ascii="Calibri" w:hAnsi="Calibri" w:eastAsia="宋体" w:cs="Times New Roman"/>
      <w:color w:val="0563C1"/>
      <w:kern w:val="2"/>
      <w:sz w:val="21"/>
      <w:szCs w:val="22"/>
      <w:u w:val="single"/>
      <w:lang w:val="en-US" w:eastAsia="zh-CN" w:bidi="ar-SA"/>
    </w:rPr>
  </w:style>
  <w:style w:type="character" w:styleId="10">
    <w:name w:val="annotation reference"/>
    <w:basedOn w:val="7"/>
    <w:unhideWhenUsed/>
    <w:qFormat/>
    <w:locked/>
    <w:uiPriority w:val="99"/>
    <w:rPr>
      <w:rFonts w:ascii="Calibri" w:hAnsi="Calibri" w:eastAsia="宋体" w:cs="Times New Roman"/>
      <w:kern w:val="2"/>
      <w:sz w:val="21"/>
      <w:szCs w:val="22"/>
      <w:lang w:val="en-US" w:eastAsia="zh-CN" w:bidi="ar-SA"/>
    </w:rPr>
  </w:style>
  <w:style w:type="character" w:customStyle="1" w:styleId="12">
    <w:name w:val="Comment Text Char"/>
    <w:basedOn w:val="7"/>
    <w:link w:val="3"/>
    <w:qFormat/>
    <w:locked/>
    <w:uiPriority w:val="99"/>
    <w:rPr>
      <w:rFonts w:ascii="Calibri" w:hAnsi="Calibri" w:eastAsia="宋体" w:cs="Times New Roman"/>
      <w:kern w:val="2"/>
      <w:sz w:val="22"/>
      <w:szCs w:val="22"/>
      <w:lang w:val="en-US" w:eastAsia="zh-CN" w:bidi="ar-SA"/>
    </w:rPr>
  </w:style>
  <w:style w:type="character" w:customStyle="1" w:styleId="13">
    <w:name w:val="Header Char"/>
    <w:basedOn w:val="7"/>
    <w:link w:val="6"/>
    <w:qFormat/>
    <w:locked/>
    <w:uiPriority w:val="99"/>
    <w:rPr>
      <w:rFonts w:ascii="Calibri" w:hAnsi="Calibri" w:eastAsia="宋体" w:cs="Times New Roman"/>
      <w:kern w:val="2"/>
      <w:sz w:val="18"/>
      <w:szCs w:val="18"/>
      <w:lang w:val="en-US" w:eastAsia="zh-CN" w:bidi="ar-SA"/>
    </w:rPr>
  </w:style>
  <w:style w:type="character" w:customStyle="1" w:styleId="14">
    <w:name w:val="Footer Char"/>
    <w:basedOn w:val="7"/>
    <w:link w:val="5"/>
    <w:qFormat/>
    <w:locked/>
    <w:uiPriority w:val="99"/>
    <w:rPr>
      <w:rFonts w:ascii="Calibri" w:hAnsi="Calibri" w:eastAsia="宋体" w:cs="Times New Roman"/>
      <w:kern w:val="2"/>
      <w:sz w:val="18"/>
      <w:szCs w:val="18"/>
      <w:lang w:val="en-US" w:eastAsia="zh-CN" w:bidi="ar-SA"/>
    </w:rPr>
  </w:style>
  <w:style w:type="character" w:customStyle="1" w:styleId="15">
    <w:name w:val="Balloon Text Char"/>
    <w:basedOn w:val="7"/>
    <w:link w:val="4"/>
    <w:qFormat/>
    <w:locked/>
    <w:uiPriority w:val="99"/>
    <w:rPr>
      <w:rFonts w:ascii="Calibri" w:hAnsi="Calibri" w:eastAsia="宋体" w:cs="Times New Roman"/>
      <w:kern w:val="2"/>
      <w:sz w:val="18"/>
      <w:szCs w:val="18"/>
      <w:lang w:val="en-US" w:eastAsia="zh-CN" w:bidi="ar-SA"/>
    </w:rPr>
  </w:style>
  <w:style w:type="character" w:customStyle="1" w:styleId="16">
    <w:name w:val="Comment Subject Char"/>
    <w:basedOn w:val="12"/>
    <w:link w:val="2"/>
    <w:qFormat/>
    <w:locked/>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1069</Words>
  <Characters>6095</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726</dc:creator>
  <cp:lastModifiedBy>贾思勰</cp:lastModifiedBy>
  <cp:lastPrinted>2018-04-18T06:55:00Z</cp:lastPrinted>
  <dcterms:modified xsi:type="dcterms:W3CDTF">2019-05-07T06:33:59Z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