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bookmarkStart w:id="427" w:name="_GoBack"/>
      <w:r>
        <w:rPr>
          <w:rFonts w:hint="eastAsia" w:ascii="黑体" w:hAnsi="黑体" w:eastAsia="黑体"/>
          <w:b/>
          <w:color w:val="000000" w:themeColor="text1"/>
          <w:sz w:val="44"/>
          <w:szCs w:val="44"/>
          <w14:textFill>
            <w14:solidFill>
              <w14:schemeClr w14:val="tx1"/>
            </w14:solidFill>
          </w14:textFill>
        </w:rPr>
        <w:t>浙江省机场集团有限公司</w:t>
      </w:r>
      <w:r>
        <w:rPr>
          <w:rFonts w:hint="eastAsia" w:ascii="黑体" w:hAnsi="黑体" w:eastAsia="黑体"/>
          <w:b/>
          <w:sz w:val="44"/>
          <w:szCs w:val="44"/>
        </w:rPr>
        <w:t>安检X射线机</w:t>
      </w:r>
      <w:r>
        <w:rPr>
          <w:rFonts w:hint="eastAsia" w:eastAsia="黑体" w:cs="Calibri"/>
          <w:b/>
          <w:sz w:val="44"/>
          <w:szCs w:val="44"/>
        </w:rPr>
        <w:t>采购项目</w:t>
      </w:r>
      <w:bookmarkEnd w:id="427"/>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ascii="黑体" w:hAnsi="黑体" w:eastAsia="黑体"/>
          <w:b/>
          <w:sz w:val="84"/>
          <w:szCs w:val="84"/>
        </w:rPr>
        <w:t>招 标 文 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p>
    <w:p>
      <w:pPr>
        <w:widowControl/>
        <w:autoSpaceDE w:val="0"/>
        <w:autoSpaceDN w:val="0"/>
        <w:snapToGrid w:val="0"/>
        <w:spacing w:line="560" w:lineRule="exact"/>
        <w:textAlignment w:val="bottom"/>
        <w:rPr>
          <w:rFonts w:ascii="宋体" w:hAnsi="宋体"/>
          <w:b/>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jc w:val="center"/>
        <w:rPr>
          <w:rFonts w:eastAsia="黑体" w:cs="Calibri"/>
          <w:sz w:val="32"/>
          <w:szCs w:val="32"/>
        </w:rPr>
      </w:pPr>
      <w:r>
        <w:rPr>
          <w:rFonts w:hint="eastAsia" w:eastAsia="黑体" w:cs="Calibri"/>
          <w:color w:val="000000" w:themeColor="text1"/>
          <w:sz w:val="32"/>
          <w:szCs w:val="32"/>
          <w14:textFill>
            <w14:solidFill>
              <w14:schemeClr w14:val="tx1"/>
            </w14:solidFill>
          </w14:textFill>
        </w:rPr>
        <w:t>浙江省机场集团有限公司</w:t>
      </w:r>
    </w:p>
    <w:p>
      <w:pPr>
        <w:pStyle w:val="29"/>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rPr>
        <w:t>八</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tabs>
          <w:tab w:val="center" w:pos="4150"/>
          <w:tab w:val="left" w:pos="7575"/>
        </w:tabs>
        <w:spacing w:line="560" w:lineRule="exact"/>
        <w:jc w:val="left"/>
        <w:rPr>
          <w:b/>
          <w:bCs/>
          <w:sz w:val="44"/>
          <w:szCs w:val="44"/>
        </w:rPr>
      </w:pPr>
      <w:r>
        <w:rPr>
          <w:b/>
          <w:bCs/>
          <w:sz w:val="44"/>
          <w:szCs w:val="44"/>
        </w:rPr>
        <w:br w:type="page"/>
      </w:r>
      <w:r>
        <w:rPr>
          <w:b/>
          <w:bCs/>
          <w:sz w:val="44"/>
          <w:szCs w:val="44"/>
        </w:rPr>
        <w:tab/>
      </w:r>
      <w:r>
        <w:rPr>
          <w:rFonts w:hint="eastAsia"/>
          <w:b/>
          <w:bCs/>
          <w:sz w:val="44"/>
          <w:szCs w:val="44"/>
        </w:rPr>
        <w:t>目录</w:t>
      </w:r>
      <w:r>
        <w:rPr>
          <w:b/>
          <w:bCs/>
          <w:sz w:val="44"/>
          <w:szCs w:val="44"/>
        </w:rPr>
        <w:tab/>
      </w:r>
    </w:p>
    <w:p>
      <w:pPr>
        <w:spacing w:line="560" w:lineRule="exact"/>
        <w:jc w:val="center"/>
        <w:rPr>
          <w:b/>
          <w:bCs/>
          <w:sz w:val="44"/>
          <w:szCs w:val="44"/>
        </w:rPr>
      </w:pPr>
    </w:p>
    <w:p>
      <w:pPr>
        <w:spacing w:line="560" w:lineRule="exact"/>
        <w:jc w:val="center"/>
        <w:rPr>
          <w:b/>
          <w:sz w:val="44"/>
          <w:szCs w:val="44"/>
        </w:rPr>
      </w:pPr>
    </w:p>
    <w:p>
      <w:pPr>
        <w:pStyle w:val="36"/>
        <w:tabs>
          <w:tab w:val="right" w:leader="dot" w:pos="8290"/>
        </w:tabs>
        <w:spacing w:line="480" w:lineRule="auto"/>
        <w:rPr>
          <w:rFonts w:ascii="黑体" w:hAnsi="黑体" w:eastAsia="黑体" w:cstheme="minorBidi"/>
          <w:sz w:val="22"/>
          <w:szCs w:val="22"/>
        </w:rPr>
      </w:pPr>
      <w:r>
        <w:rPr>
          <w:rFonts w:hint="eastAsia" w:ascii="黑体" w:hAnsi="黑体" w:eastAsia="黑体"/>
          <w:b/>
          <w:sz w:val="22"/>
          <w:szCs w:val="22"/>
        </w:rPr>
        <w:fldChar w:fldCharType="begin"/>
      </w:r>
      <w:r>
        <w:rPr>
          <w:rFonts w:hint="eastAsia" w:ascii="黑体" w:hAnsi="黑体" w:eastAsia="黑体"/>
          <w:b/>
          <w:sz w:val="22"/>
          <w:szCs w:val="22"/>
        </w:rPr>
        <w:instrText xml:space="preserve"> TOC \o "1-1" \h \z \u </w:instrText>
      </w:r>
      <w:r>
        <w:rPr>
          <w:rFonts w:hint="eastAsia" w:ascii="黑体" w:hAnsi="黑体" w:eastAsia="黑体"/>
          <w:b/>
          <w:sz w:val="22"/>
          <w:szCs w:val="22"/>
        </w:rPr>
        <w:fldChar w:fldCharType="separate"/>
      </w:r>
      <w:r>
        <w:rPr>
          <w:rFonts w:hint="eastAsia" w:ascii="黑体" w:hAnsi="黑体" w:eastAsia="黑体"/>
          <w:sz w:val="22"/>
          <w:szCs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_Toc321925451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3</w:t>
      </w:r>
      <w:r>
        <w:rPr>
          <w:rFonts w:ascii="黑体" w:hAnsi="黑体" w:eastAsia="黑体"/>
          <w:sz w:val="22"/>
          <w:szCs w:val="22"/>
        </w:rPr>
        <w:t xml:space="preserve"> -</w:t>
      </w:r>
      <w:r>
        <w:rPr>
          <w:rFonts w:hint="eastAsia" w:ascii="黑体" w:hAnsi="黑体" w:eastAsia="黑体"/>
          <w:sz w:val="22"/>
          <w:szCs w:val="22"/>
        </w:rPr>
        <w:fldChar w:fldCharType="end"/>
      </w:r>
    </w:p>
    <w:p>
      <w:pPr>
        <w:pStyle w:val="36"/>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_Toc321925452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5</w:t>
      </w:r>
      <w:r>
        <w:rPr>
          <w:rFonts w:ascii="黑体" w:hAnsi="黑体" w:eastAsia="黑体"/>
          <w:sz w:val="22"/>
          <w:szCs w:val="22"/>
        </w:rPr>
        <w:t xml:space="preserve"> -</w:t>
      </w:r>
      <w:r>
        <w:rPr>
          <w:rFonts w:hint="eastAsia" w:ascii="黑体" w:hAnsi="黑体" w:eastAsia="黑体"/>
          <w:sz w:val="22"/>
          <w:szCs w:val="22"/>
        </w:rPr>
        <w:fldChar w:fldCharType="end"/>
      </w:r>
    </w:p>
    <w:p>
      <w:pPr>
        <w:pStyle w:val="36"/>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第三章  货物需求一览表及技术规格</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_Toc321925453 \h </w:instrText>
      </w:r>
      <w:r>
        <w:rPr>
          <w:rFonts w:hint="eastAsia" w:ascii="黑体" w:hAnsi="黑体" w:eastAsia="黑体"/>
          <w:sz w:val="22"/>
          <w:szCs w:val="22"/>
        </w:rPr>
        <w:fldChar w:fldCharType="separate"/>
      </w:r>
      <w:r>
        <w:rPr>
          <w:rFonts w:ascii="黑体" w:hAnsi="黑体" w:eastAsia="黑体"/>
          <w:sz w:val="22"/>
          <w:szCs w:val="22"/>
        </w:rPr>
        <w:t>- 1</w:t>
      </w:r>
      <w:r>
        <w:rPr>
          <w:rFonts w:hint="eastAsia" w:ascii="黑体" w:hAnsi="黑体" w:eastAsia="黑体"/>
          <w:sz w:val="22"/>
          <w:szCs w:val="22"/>
        </w:rPr>
        <w:t>4</w:t>
      </w:r>
      <w:r>
        <w:rPr>
          <w:rFonts w:ascii="黑体" w:hAnsi="黑体" w:eastAsia="黑体"/>
          <w:sz w:val="22"/>
          <w:szCs w:val="22"/>
        </w:rPr>
        <w:t xml:space="preserve"> -</w:t>
      </w:r>
      <w:r>
        <w:rPr>
          <w:rFonts w:hint="eastAsia" w:ascii="黑体" w:hAnsi="黑体" w:eastAsia="黑体"/>
          <w:sz w:val="22"/>
          <w:szCs w:val="22"/>
        </w:rPr>
        <w:fldChar w:fldCharType="end"/>
      </w:r>
    </w:p>
    <w:p>
      <w:pPr>
        <w:pStyle w:val="36"/>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 xml:space="preserve">第四章  </w:t>
      </w:r>
      <w:r>
        <w:rPr>
          <w:rFonts w:ascii="黑体" w:hAnsi="黑体" w:eastAsia="黑体"/>
          <w:sz w:val="22"/>
          <w:szCs w:val="22"/>
        </w:rPr>
        <w:t>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_Toc321925454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31</w:t>
      </w:r>
      <w:r>
        <w:rPr>
          <w:rFonts w:ascii="黑体" w:hAnsi="黑体" w:eastAsia="黑体"/>
          <w:sz w:val="22"/>
          <w:szCs w:val="22"/>
        </w:rPr>
        <w:t xml:space="preserve"> -</w:t>
      </w:r>
      <w:r>
        <w:rPr>
          <w:rFonts w:hint="eastAsia" w:ascii="黑体" w:hAnsi="黑体" w:eastAsia="黑体"/>
          <w:sz w:val="22"/>
          <w:szCs w:val="22"/>
        </w:rPr>
        <w:fldChar w:fldCharType="end"/>
      </w:r>
    </w:p>
    <w:p>
      <w:pPr>
        <w:pStyle w:val="36"/>
        <w:tabs>
          <w:tab w:val="right" w:leader="dot" w:pos="8290"/>
        </w:tabs>
        <w:spacing w:line="480" w:lineRule="auto"/>
        <w:rPr>
          <w:rFonts w:ascii="黑体" w:hAnsi="黑体" w:eastAsia="黑体" w:cstheme="minorBidi"/>
          <w:sz w:val="22"/>
          <w:szCs w:val="22"/>
        </w:rPr>
      </w:pPr>
      <w:r>
        <w:rPr>
          <w:rFonts w:hint="eastAsia" w:ascii="黑体" w:hAnsi="黑体" w:eastAsia="黑体" w:cs="Calibri"/>
          <w:kern w:val="0"/>
          <w:sz w:val="22"/>
          <w:szCs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_Toc321925456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47</w:t>
      </w:r>
      <w:r>
        <w:rPr>
          <w:rFonts w:ascii="黑体" w:hAnsi="黑体" w:eastAsia="黑体"/>
          <w:sz w:val="22"/>
          <w:szCs w:val="22"/>
        </w:rPr>
        <w:t xml:space="preserve"> -</w:t>
      </w:r>
      <w:r>
        <w:rPr>
          <w:rFonts w:hint="eastAsia" w:ascii="黑体" w:hAnsi="黑体" w:eastAsia="黑体"/>
          <w:sz w:val="22"/>
          <w:szCs w:val="22"/>
        </w:rPr>
        <w:fldChar w:fldCharType="end"/>
      </w:r>
    </w:p>
    <w:p>
      <w:pPr>
        <w:pStyle w:val="36"/>
        <w:tabs>
          <w:tab w:val="right" w:leader="dot" w:pos="8290"/>
        </w:tabs>
        <w:spacing w:line="480" w:lineRule="auto"/>
        <w:rPr>
          <w:rFonts w:ascii="黑体" w:hAnsi="黑体" w:eastAsia="黑体" w:cstheme="minorBidi"/>
          <w:sz w:val="22"/>
          <w:szCs w:val="22"/>
        </w:rPr>
      </w:pPr>
      <w:r>
        <w:rPr>
          <w:rFonts w:hint="eastAsia" w:ascii="黑体" w:hAnsi="黑体" w:eastAsia="黑体"/>
          <w:sz w:val="22"/>
          <w:szCs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_Toc321925457 \h </w:instrText>
      </w:r>
      <w:r>
        <w:rPr>
          <w:rFonts w:hint="eastAsia" w:ascii="黑体" w:hAnsi="黑体" w:eastAsia="黑体"/>
          <w:sz w:val="22"/>
          <w:szCs w:val="22"/>
        </w:rPr>
        <w:fldChar w:fldCharType="separate"/>
      </w:r>
      <w:r>
        <w:rPr>
          <w:rFonts w:ascii="黑体" w:hAnsi="黑体" w:eastAsia="黑体"/>
          <w:sz w:val="22"/>
          <w:szCs w:val="22"/>
        </w:rPr>
        <w:t xml:space="preserve">- </w:t>
      </w:r>
      <w:r>
        <w:rPr>
          <w:rFonts w:hint="eastAsia" w:ascii="黑体" w:hAnsi="黑体" w:eastAsia="黑体"/>
          <w:sz w:val="22"/>
          <w:szCs w:val="22"/>
        </w:rPr>
        <w:t>50</w:t>
      </w:r>
      <w:r>
        <w:rPr>
          <w:rFonts w:ascii="黑体" w:hAnsi="黑体" w:eastAsia="黑体"/>
          <w:sz w:val="22"/>
          <w:szCs w:val="22"/>
        </w:rPr>
        <w:t xml:space="preserve"> -</w:t>
      </w:r>
      <w:r>
        <w:rPr>
          <w:rFonts w:hint="eastAsia" w:ascii="黑体" w:hAnsi="黑体" w:eastAsia="黑体"/>
          <w:sz w:val="22"/>
          <w:szCs w:val="22"/>
        </w:rPr>
        <w:fldChar w:fldCharType="end"/>
      </w:r>
    </w:p>
    <w:p>
      <w:pPr>
        <w:tabs>
          <w:tab w:val="right" w:leader="dot" w:pos="8364"/>
        </w:tabs>
        <w:spacing w:line="480" w:lineRule="auto"/>
        <w:rPr>
          <w:b/>
        </w:rPr>
      </w:pPr>
      <w:r>
        <w:rPr>
          <w:rFonts w:hint="eastAsia" w:ascii="黑体" w:hAnsi="黑体" w:eastAsia="黑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pStyle w:val="48"/>
      </w:pPr>
      <w:bookmarkStart w:id="0" w:name="_Toc321925451"/>
      <w:r>
        <w:rPr>
          <w:rFonts w:hint="eastAsia"/>
        </w:rPr>
        <w:t>第一章招标公告</w:t>
      </w:r>
      <w:bookmarkEnd w:id="0"/>
    </w:p>
    <w:p>
      <w:pPr>
        <w:widowControl/>
        <w:snapToGrid w:val="0"/>
        <w:spacing w:line="360" w:lineRule="exact"/>
        <w:jc w:val="left"/>
        <w:rPr>
          <w:rFonts w:cs="Arial" w:asciiTheme="minorEastAsia" w:hAnsiTheme="minorEastAsia"/>
          <w:b/>
          <w:bCs/>
          <w:kern w:val="0"/>
          <w:sz w:val="22"/>
          <w:szCs w:val="22"/>
        </w:rPr>
      </w:pPr>
    </w:p>
    <w:p>
      <w:pPr>
        <w:widowControl/>
        <w:snapToGrid w:val="0"/>
        <w:spacing w:line="360" w:lineRule="exact"/>
        <w:jc w:val="left"/>
        <w:rPr>
          <w:rFonts w:cs="Arial" w:asciiTheme="minorEastAsia" w:hAnsiTheme="minorEastAsia"/>
          <w:kern w:val="0"/>
          <w:sz w:val="22"/>
          <w:szCs w:val="22"/>
        </w:rPr>
      </w:pPr>
      <w:r>
        <w:rPr>
          <w:rFonts w:hint="eastAsia" w:cs="Arial" w:asciiTheme="minorEastAsia" w:hAnsiTheme="minorEastAsia"/>
          <w:b/>
          <w:bCs/>
          <w:kern w:val="0"/>
          <w:sz w:val="22"/>
          <w:szCs w:val="22"/>
        </w:rPr>
        <w:t>一、招标内容</w:t>
      </w:r>
    </w:p>
    <w:p>
      <w:pPr>
        <w:widowControl/>
        <w:adjustRightInd/>
        <w:snapToGrid w:val="0"/>
        <w:spacing w:line="340" w:lineRule="exact"/>
        <w:ind w:firstLine="440" w:firstLineChars="200"/>
        <w:jc w:val="left"/>
        <w:rPr>
          <w:rFonts w:hint="eastAsia" w:cs="Calibri" w:asciiTheme="minorEastAsia" w:hAnsiTheme="minorEastAsia"/>
          <w:snapToGrid w:val="0"/>
          <w:kern w:val="0"/>
          <w:sz w:val="22"/>
        </w:rPr>
      </w:pPr>
      <w:r>
        <w:rPr>
          <w:rFonts w:hint="eastAsia" w:cs="Arial" w:asciiTheme="minorEastAsia" w:hAnsiTheme="minorEastAsia"/>
          <w:kern w:val="0"/>
          <w:sz w:val="22"/>
          <w:szCs w:val="22"/>
        </w:rPr>
        <w:t>浙江省机场集团有限公司受</w:t>
      </w:r>
      <w:r>
        <w:rPr>
          <w:rFonts w:hint="eastAsia" w:asciiTheme="minorEastAsia" w:hAnsiTheme="minorEastAsia"/>
          <w:sz w:val="22"/>
          <w:szCs w:val="22"/>
        </w:rPr>
        <w:t>杭州萧山国际机场有限公司、</w:t>
      </w:r>
      <w:bookmarkStart w:id="1" w:name="_Hlk10540504"/>
      <w:r>
        <w:rPr>
          <w:rFonts w:hint="eastAsia" w:asciiTheme="minorEastAsia" w:hAnsiTheme="minorEastAsia"/>
          <w:sz w:val="22"/>
          <w:szCs w:val="22"/>
        </w:rPr>
        <w:t>义乌</w:t>
      </w:r>
      <w:bookmarkEnd w:id="1"/>
      <w:r>
        <w:rPr>
          <w:rFonts w:hint="eastAsia" w:asciiTheme="minorEastAsia" w:hAnsiTheme="minorEastAsia"/>
          <w:sz w:val="22"/>
          <w:szCs w:val="22"/>
        </w:rPr>
        <w:t>民用航空站的委托，</w:t>
      </w:r>
      <w:r>
        <w:rPr>
          <w:rFonts w:hint="eastAsia" w:cs="Arial" w:asciiTheme="minorEastAsia" w:hAnsiTheme="minorEastAsia"/>
          <w:kern w:val="0"/>
          <w:sz w:val="22"/>
          <w:szCs w:val="22"/>
        </w:rPr>
        <w:t>就安检X射线机</w:t>
      </w:r>
      <w:r>
        <w:rPr>
          <w:rFonts w:cs="Arial" w:asciiTheme="minorEastAsia" w:hAnsiTheme="minorEastAsia"/>
          <w:kern w:val="0"/>
          <w:sz w:val="22"/>
          <w:szCs w:val="22"/>
        </w:rPr>
        <w:t>采购项</w:t>
      </w:r>
      <w:r>
        <w:rPr>
          <w:rFonts w:hint="eastAsia" w:cs="Arial" w:asciiTheme="minorEastAsia" w:hAnsiTheme="minorEastAsia"/>
          <w:kern w:val="0"/>
          <w:sz w:val="22"/>
          <w:szCs w:val="22"/>
        </w:rPr>
        <w:t>目进行公开招标，欢迎符合资格要求的供应商参与投标，</w:t>
      </w:r>
      <w:bookmarkStart w:id="2" w:name="_Hlk10540538"/>
      <w:r>
        <w:rPr>
          <w:rFonts w:hint="eastAsia" w:cs="Calibri" w:asciiTheme="minorEastAsia" w:hAnsiTheme="minorEastAsia"/>
          <w:snapToGrid w:val="0"/>
          <w:kern w:val="0"/>
          <w:sz w:val="22"/>
        </w:rPr>
        <w:t>确定中标人后，各个机场分别与中标人签署合同，并分别组织供货、安装、验收。</w:t>
      </w:r>
      <w:bookmarkEnd w:id="2"/>
    </w:p>
    <w:p>
      <w:pPr>
        <w:widowControl/>
        <w:adjustRightInd/>
        <w:snapToGrid w:val="0"/>
        <w:spacing w:line="340" w:lineRule="exact"/>
        <w:ind w:firstLine="442" w:firstLineChars="200"/>
        <w:jc w:val="left"/>
        <w:rPr>
          <w:rFonts w:ascii="Arial" w:hAnsi="Arial" w:cs="Arial"/>
          <w:bCs/>
          <w:kern w:val="0"/>
          <w:sz w:val="22"/>
          <w:szCs w:val="24"/>
        </w:rPr>
      </w:pPr>
      <w:r>
        <w:rPr>
          <w:rFonts w:hint="eastAsia"/>
          <w:b/>
          <w:sz w:val="22"/>
        </w:rPr>
        <w:t>每个标项独立封套，不可多个标项混装。</w:t>
      </w:r>
    </w:p>
    <w:p>
      <w:pPr>
        <w:widowControl/>
        <w:adjustRightInd w:val="0"/>
        <w:snapToGrid w:val="0"/>
        <w:spacing w:line="36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招标货物名称、数量及主要技术规格</w:t>
      </w:r>
    </w:p>
    <w:tbl>
      <w:tblPr>
        <w:tblStyle w:val="52"/>
        <w:tblW w:w="10028" w:type="dxa"/>
        <w:jc w:val="center"/>
        <w:tblInd w:w="20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292"/>
        <w:gridCol w:w="992"/>
        <w:gridCol w:w="1716"/>
        <w:gridCol w:w="2442"/>
        <w:gridCol w:w="134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6" w:type="dxa"/>
          </w:tcPr>
          <w:p>
            <w:pPr>
              <w:adjustRightInd w:val="0"/>
              <w:snapToGrid w:val="0"/>
              <w:jc w:val="center"/>
              <w:rPr>
                <w:rFonts w:asciiTheme="minorEastAsia" w:hAnsiTheme="minorEastAsia"/>
                <w:caps/>
                <w:sz w:val="22"/>
                <w:szCs w:val="22"/>
              </w:rPr>
            </w:pPr>
            <w:r>
              <w:rPr>
                <w:rFonts w:hint="eastAsia" w:asciiTheme="minorEastAsia" w:hAnsiTheme="minorEastAsia"/>
                <w:caps/>
                <w:sz w:val="22"/>
                <w:szCs w:val="22"/>
              </w:rPr>
              <w:t>标项</w:t>
            </w:r>
          </w:p>
        </w:tc>
        <w:tc>
          <w:tcPr>
            <w:tcW w:w="1292"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货物名称</w:t>
            </w:r>
          </w:p>
        </w:tc>
        <w:tc>
          <w:tcPr>
            <w:tcW w:w="992"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数 量</w:t>
            </w:r>
          </w:p>
        </w:tc>
        <w:tc>
          <w:tcPr>
            <w:tcW w:w="1716"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主要技术规格</w:t>
            </w:r>
          </w:p>
        </w:tc>
        <w:tc>
          <w:tcPr>
            <w:tcW w:w="2442"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供货期</w:t>
            </w:r>
          </w:p>
        </w:tc>
        <w:tc>
          <w:tcPr>
            <w:tcW w:w="1340" w:type="dxa"/>
            <w:vAlign w:val="center"/>
          </w:tcPr>
          <w:p>
            <w:pPr>
              <w:adjustRightInd w:val="0"/>
              <w:snapToGrid w:val="0"/>
              <w:jc w:val="center"/>
              <w:rPr>
                <w:rFonts w:asciiTheme="minorEastAsia" w:hAnsiTheme="minorEastAsia"/>
                <w:caps/>
                <w:sz w:val="22"/>
                <w:szCs w:val="22"/>
              </w:rPr>
            </w:pPr>
            <w:r>
              <w:rPr>
                <w:rFonts w:asciiTheme="minorEastAsia" w:hAnsiTheme="minorEastAsia"/>
                <w:caps/>
                <w:sz w:val="22"/>
                <w:szCs w:val="22"/>
              </w:rPr>
              <w:t>交货地点</w:t>
            </w:r>
          </w:p>
        </w:tc>
        <w:tc>
          <w:tcPr>
            <w:tcW w:w="1340" w:type="dxa"/>
          </w:tcPr>
          <w:p>
            <w:pPr>
              <w:adjustRightInd w:val="0"/>
              <w:snapToGrid w:val="0"/>
              <w:jc w:val="center"/>
              <w:rPr>
                <w:rFonts w:asciiTheme="minorEastAsia" w:hAnsiTheme="minorEastAsia"/>
                <w:caps/>
                <w:sz w:val="22"/>
                <w:szCs w:val="22"/>
              </w:rPr>
            </w:pPr>
            <w:r>
              <w:rPr>
                <w:rFonts w:hint="eastAsia" w:asciiTheme="minorEastAsia" w:hAnsiTheme="minorEastAsia"/>
                <w:caps/>
                <w:sz w:val="22"/>
                <w:szCs w:val="22"/>
              </w:rPr>
              <w:t>采购主体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6" w:type="dxa"/>
            <w:vMerge w:val="restart"/>
            <w:vAlign w:val="center"/>
          </w:tcPr>
          <w:p>
            <w:pPr>
              <w:snapToGrid w:val="0"/>
              <w:jc w:val="center"/>
              <w:rPr>
                <w:color w:val="000000"/>
              </w:rPr>
            </w:pPr>
            <w:r>
              <w:rPr>
                <w:rFonts w:hint="eastAsia"/>
                <w:color w:val="000000"/>
              </w:rPr>
              <w:t>标项1</w:t>
            </w:r>
          </w:p>
        </w:tc>
        <w:tc>
          <w:tcPr>
            <w:tcW w:w="1292" w:type="dxa"/>
            <w:vAlign w:val="center"/>
          </w:tcPr>
          <w:p>
            <w:pPr>
              <w:snapToGrid w:val="0"/>
              <w:jc w:val="center"/>
              <w:rPr>
                <w:rFonts w:asciiTheme="minorEastAsia" w:hAnsiTheme="minorEastAsia"/>
                <w:sz w:val="22"/>
                <w:szCs w:val="22"/>
              </w:rPr>
            </w:pPr>
            <w:r>
              <w:rPr>
                <w:rFonts w:hint="eastAsia"/>
                <w:color w:val="000000"/>
              </w:rPr>
              <w:t>双视角手提行李X射线机</w:t>
            </w:r>
          </w:p>
        </w:tc>
        <w:tc>
          <w:tcPr>
            <w:tcW w:w="992" w:type="dxa"/>
            <w:vAlign w:val="center"/>
          </w:tcPr>
          <w:p>
            <w:pPr>
              <w:snapToGrid w:val="0"/>
              <w:jc w:val="center"/>
              <w:rPr>
                <w:rFonts w:asciiTheme="minorEastAsia" w:hAnsiTheme="minorEastAsia"/>
                <w:sz w:val="22"/>
                <w:szCs w:val="22"/>
              </w:rPr>
            </w:pPr>
            <w:r>
              <w:rPr>
                <w:rFonts w:hint="eastAsia"/>
                <w:bCs/>
                <w:color w:val="000000"/>
              </w:rPr>
              <w:t>6台</w:t>
            </w:r>
          </w:p>
        </w:tc>
        <w:tc>
          <w:tcPr>
            <w:tcW w:w="1716" w:type="dxa"/>
            <w:vAlign w:val="center"/>
          </w:tcPr>
          <w:p>
            <w:pPr>
              <w:pStyle w:val="19"/>
              <w:snapToGrid w:val="0"/>
              <w:jc w:val="center"/>
              <w:rPr>
                <w:rFonts w:asciiTheme="minorEastAsia" w:hAnsiTheme="minorEastAsia"/>
                <w:sz w:val="22"/>
                <w:szCs w:val="22"/>
              </w:rPr>
            </w:pPr>
            <w:r>
              <w:rPr>
                <w:rFonts w:hint="eastAsia" w:ascii="Arial" w:hAnsi="Arial" w:cs="Arial"/>
                <w:color w:val="000000"/>
                <w:kern w:val="0"/>
              </w:rPr>
              <w:t>详见第三章</w:t>
            </w:r>
          </w:p>
        </w:tc>
        <w:tc>
          <w:tcPr>
            <w:tcW w:w="2442"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合同签订后</w:t>
            </w:r>
            <w:r>
              <w:rPr>
                <w:rFonts w:hint="eastAsia" w:asciiTheme="minorEastAsia" w:hAnsiTheme="minorEastAsia"/>
                <w:sz w:val="22"/>
                <w:szCs w:val="22"/>
                <w:u w:val="single"/>
              </w:rPr>
              <w:t>30</w:t>
            </w:r>
            <w:r>
              <w:rPr>
                <w:rFonts w:hint="eastAsia" w:asciiTheme="minorEastAsia" w:hAnsiTheme="minorEastAsia"/>
                <w:sz w:val="22"/>
                <w:szCs w:val="22"/>
              </w:rPr>
              <w:t>日历天</w:t>
            </w:r>
          </w:p>
        </w:tc>
        <w:tc>
          <w:tcPr>
            <w:tcW w:w="1340" w:type="dxa"/>
            <w:vAlign w:val="center"/>
          </w:tcPr>
          <w:p>
            <w:pPr>
              <w:adjustRightInd w:val="0"/>
              <w:snapToGrid w:val="0"/>
              <w:jc w:val="center"/>
              <w:rPr>
                <w:rFonts w:asciiTheme="minorEastAsia" w:hAnsiTheme="minorEastAsia"/>
                <w:sz w:val="22"/>
                <w:szCs w:val="22"/>
              </w:rPr>
            </w:pPr>
            <w:r>
              <w:rPr>
                <w:rFonts w:asciiTheme="minorEastAsia" w:hAnsiTheme="minorEastAsia"/>
                <w:sz w:val="22"/>
                <w:szCs w:val="22"/>
              </w:rPr>
              <w:t>杭州萧山国际机场</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杭州萧山国际机场有限公司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6" w:type="dxa"/>
            <w:vMerge w:val="continue"/>
          </w:tcPr>
          <w:p>
            <w:pPr>
              <w:snapToGrid w:val="0"/>
              <w:jc w:val="center"/>
              <w:rPr>
                <w:sz w:val="22"/>
              </w:rPr>
            </w:pPr>
          </w:p>
        </w:tc>
        <w:tc>
          <w:tcPr>
            <w:tcW w:w="1292" w:type="dxa"/>
            <w:vAlign w:val="center"/>
          </w:tcPr>
          <w:p>
            <w:pPr>
              <w:snapToGrid w:val="0"/>
              <w:jc w:val="center"/>
              <w:rPr>
                <w:color w:val="000000"/>
              </w:rPr>
            </w:pPr>
            <w:r>
              <w:rPr>
                <w:rFonts w:hint="eastAsia"/>
                <w:sz w:val="22"/>
              </w:rPr>
              <w:t>旅客行李</w:t>
            </w:r>
            <w:r>
              <w:rPr>
                <w:sz w:val="22"/>
              </w:rPr>
              <w:t>X</w:t>
            </w:r>
            <w:r>
              <w:rPr>
                <w:rFonts w:hint="eastAsia"/>
                <w:sz w:val="22"/>
              </w:rPr>
              <w:t>射线机验收测试箱</w:t>
            </w:r>
          </w:p>
        </w:tc>
        <w:tc>
          <w:tcPr>
            <w:tcW w:w="992" w:type="dxa"/>
            <w:vAlign w:val="center"/>
          </w:tcPr>
          <w:p>
            <w:pPr>
              <w:snapToGrid w:val="0"/>
              <w:jc w:val="center"/>
              <w:rPr>
                <w:bCs/>
                <w:color w:val="000000"/>
              </w:rPr>
            </w:pPr>
            <w:r>
              <w:rPr>
                <w:rFonts w:hint="eastAsia"/>
                <w:bCs/>
                <w:color w:val="000000"/>
              </w:rPr>
              <w:t>1套</w:t>
            </w:r>
          </w:p>
        </w:tc>
        <w:tc>
          <w:tcPr>
            <w:tcW w:w="1716" w:type="dxa"/>
            <w:vAlign w:val="center"/>
          </w:tcPr>
          <w:p>
            <w:pPr>
              <w:pStyle w:val="19"/>
              <w:snapToGrid w:val="0"/>
              <w:jc w:val="center"/>
              <w:rPr>
                <w:rFonts w:ascii="Arial" w:hAnsi="Arial" w:cs="Arial"/>
                <w:color w:val="000000"/>
                <w:kern w:val="0"/>
              </w:rPr>
            </w:pPr>
          </w:p>
        </w:tc>
        <w:tc>
          <w:tcPr>
            <w:tcW w:w="2442"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合同签订后</w:t>
            </w:r>
            <w:r>
              <w:rPr>
                <w:rFonts w:hint="eastAsia" w:asciiTheme="minorEastAsia" w:hAnsiTheme="minorEastAsia"/>
                <w:sz w:val="22"/>
                <w:szCs w:val="22"/>
                <w:u w:val="single"/>
              </w:rPr>
              <w:t>30</w:t>
            </w:r>
            <w:r>
              <w:rPr>
                <w:rFonts w:hint="eastAsia" w:asciiTheme="minorEastAsia" w:hAnsiTheme="minorEastAsia"/>
                <w:sz w:val="22"/>
                <w:szCs w:val="22"/>
              </w:rPr>
              <w:t>日历天</w:t>
            </w:r>
          </w:p>
        </w:tc>
        <w:tc>
          <w:tcPr>
            <w:tcW w:w="1340" w:type="dxa"/>
            <w:vAlign w:val="center"/>
          </w:tcPr>
          <w:p>
            <w:pPr>
              <w:adjustRightInd w:val="0"/>
              <w:snapToGrid w:val="0"/>
              <w:jc w:val="center"/>
              <w:rPr>
                <w:rFonts w:asciiTheme="minorEastAsia" w:hAnsiTheme="minorEastAsia"/>
                <w:sz w:val="22"/>
                <w:szCs w:val="22"/>
              </w:rPr>
            </w:pPr>
            <w:r>
              <w:rPr>
                <w:rFonts w:asciiTheme="minorEastAsia" w:hAnsiTheme="minorEastAsia"/>
                <w:sz w:val="22"/>
                <w:szCs w:val="22"/>
              </w:rPr>
              <w:t>杭州萧山国际机场</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杭州萧山国际机场有限公司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6" w:type="dxa"/>
            <w:vMerge w:val="continue"/>
          </w:tcPr>
          <w:p>
            <w:pPr>
              <w:snapToGrid w:val="0"/>
              <w:jc w:val="center"/>
              <w:rPr>
                <w:color w:val="000000"/>
              </w:rPr>
            </w:pPr>
          </w:p>
        </w:tc>
        <w:tc>
          <w:tcPr>
            <w:tcW w:w="1292" w:type="dxa"/>
            <w:vAlign w:val="center"/>
          </w:tcPr>
          <w:p>
            <w:pPr>
              <w:snapToGrid w:val="0"/>
              <w:jc w:val="center"/>
              <w:rPr>
                <w:color w:val="000000"/>
              </w:rPr>
            </w:pPr>
            <w:r>
              <w:rPr>
                <w:rFonts w:hint="eastAsia"/>
                <w:color w:val="000000"/>
              </w:rPr>
              <w:t>双视角手提行李X射线机</w:t>
            </w:r>
          </w:p>
        </w:tc>
        <w:tc>
          <w:tcPr>
            <w:tcW w:w="992" w:type="dxa"/>
            <w:vAlign w:val="center"/>
          </w:tcPr>
          <w:p>
            <w:pPr>
              <w:snapToGrid w:val="0"/>
              <w:jc w:val="center"/>
              <w:rPr>
                <w:bCs/>
                <w:color w:val="000000"/>
              </w:rPr>
            </w:pPr>
            <w:r>
              <w:rPr>
                <w:rFonts w:hint="eastAsia"/>
                <w:bCs/>
                <w:color w:val="000000"/>
              </w:rPr>
              <w:t>3台</w:t>
            </w:r>
          </w:p>
        </w:tc>
        <w:tc>
          <w:tcPr>
            <w:tcW w:w="1716" w:type="dxa"/>
            <w:vAlign w:val="center"/>
          </w:tcPr>
          <w:p>
            <w:pPr>
              <w:pStyle w:val="19"/>
              <w:snapToGrid w:val="0"/>
              <w:jc w:val="center"/>
              <w:rPr>
                <w:rFonts w:ascii="Arial" w:hAnsi="Arial" w:cs="Arial"/>
                <w:color w:val="000000"/>
                <w:kern w:val="0"/>
              </w:rPr>
            </w:pPr>
            <w:r>
              <w:rPr>
                <w:rFonts w:hint="eastAsia" w:ascii="Arial" w:hAnsi="Arial" w:cs="Arial"/>
                <w:color w:val="000000"/>
                <w:kern w:val="0"/>
              </w:rPr>
              <w:t>详见第三章</w:t>
            </w:r>
          </w:p>
        </w:tc>
        <w:tc>
          <w:tcPr>
            <w:tcW w:w="2442"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合同签订后</w:t>
            </w:r>
            <w:r>
              <w:rPr>
                <w:rFonts w:hint="eastAsia" w:asciiTheme="minorEastAsia" w:hAnsiTheme="minorEastAsia"/>
                <w:sz w:val="22"/>
                <w:szCs w:val="22"/>
                <w:u w:val="single"/>
              </w:rPr>
              <w:t>30</w:t>
            </w:r>
            <w:r>
              <w:rPr>
                <w:rFonts w:hint="eastAsia" w:asciiTheme="minorEastAsia" w:hAnsiTheme="minorEastAsia"/>
                <w:sz w:val="22"/>
                <w:szCs w:val="22"/>
              </w:rPr>
              <w:t>日历天</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义乌机场</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义乌民用航空站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6" w:type="dxa"/>
            <w:vMerge w:val="continue"/>
          </w:tcPr>
          <w:p>
            <w:pPr>
              <w:snapToGrid w:val="0"/>
              <w:jc w:val="center"/>
              <w:rPr>
                <w:color w:val="000000"/>
              </w:rPr>
            </w:pPr>
          </w:p>
        </w:tc>
        <w:tc>
          <w:tcPr>
            <w:tcW w:w="1292" w:type="dxa"/>
            <w:vAlign w:val="center"/>
          </w:tcPr>
          <w:p>
            <w:pPr>
              <w:snapToGrid w:val="0"/>
              <w:jc w:val="center"/>
              <w:rPr>
                <w:color w:val="000000"/>
              </w:rPr>
            </w:pPr>
            <w:r>
              <w:rPr>
                <w:rFonts w:hint="eastAsia"/>
                <w:color w:val="000000"/>
              </w:rPr>
              <w:t>双视角超规行李X射线机</w:t>
            </w:r>
          </w:p>
        </w:tc>
        <w:tc>
          <w:tcPr>
            <w:tcW w:w="992" w:type="dxa"/>
            <w:vAlign w:val="center"/>
          </w:tcPr>
          <w:p>
            <w:pPr>
              <w:snapToGrid w:val="0"/>
              <w:jc w:val="center"/>
              <w:rPr>
                <w:bCs/>
                <w:color w:val="000000"/>
              </w:rPr>
            </w:pPr>
            <w:r>
              <w:rPr>
                <w:rFonts w:hint="eastAsia"/>
                <w:bCs/>
                <w:color w:val="000000"/>
              </w:rPr>
              <w:t>1台</w:t>
            </w:r>
          </w:p>
        </w:tc>
        <w:tc>
          <w:tcPr>
            <w:tcW w:w="1716" w:type="dxa"/>
            <w:vAlign w:val="center"/>
          </w:tcPr>
          <w:p>
            <w:pPr>
              <w:pStyle w:val="19"/>
              <w:snapToGrid w:val="0"/>
              <w:jc w:val="center"/>
              <w:rPr>
                <w:rFonts w:ascii="Arial" w:hAnsi="Arial" w:cs="Arial"/>
                <w:color w:val="000000"/>
                <w:kern w:val="0"/>
              </w:rPr>
            </w:pPr>
            <w:r>
              <w:rPr>
                <w:rFonts w:hint="eastAsia" w:ascii="Arial" w:hAnsi="Arial" w:cs="Arial"/>
                <w:color w:val="000000"/>
                <w:kern w:val="0"/>
              </w:rPr>
              <w:t>详见第三章</w:t>
            </w:r>
          </w:p>
        </w:tc>
        <w:tc>
          <w:tcPr>
            <w:tcW w:w="2442"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合同签订后</w:t>
            </w:r>
            <w:r>
              <w:rPr>
                <w:rFonts w:hint="eastAsia" w:asciiTheme="minorEastAsia" w:hAnsiTheme="minorEastAsia"/>
                <w:sz w:val="22"/>
                <w:szCs w:val="22"/>
                <w:u w:val="single"/>
              </w:rPr>
              <w:t>30</w:t>
            </w:r>
            <w:r>
              <w:rPr>
                <w:rFonts w:hint="eastAsia" w:asciiTheme="minorEastAsia" w:hAnsiTheme="minorEastAsia"/>
                <w:sz w:val="22"/>
                <w:szCs w:val="22"/>
              </w:rPr>
              <w:t>日历天</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义乌机场</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义乌民用航空站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6" w:type="dxa"/>
            <w:vMerge w:val="continue"/>
          </w:tcPr>
          <w:p>
            <w:pPr>
              <w:snapToGrid w:val="0"/>
              <w:jc w:val="center"/>
              <w:rPr>
                <w:color w:val="000000"/>
              </w:rPr>
            </w:pPr>
          </w:p>
        </w:tc>
        <w:tc>
          <w:tcPr>
            <w:tcW w:w="1292" w:type="dxa"/>
            <w:vAlign w:val="center"/>
          </w:tcPr>
          <w:p>
            <w:pPr>
              <w:snapToGrid w:val="0"/>
              <w:jc w:val="center"/>
              <w:rPr>
                <w:color w:val="000000"/>
              </w:rPr>
            </w:pPr>
            <w:r>
              <w:rPr>
                <w:rFonts w:hint="eastAsia"/>
                <w:color w:val="000000"/>
              </w:rPr>
              <w:t>端接平台</w:t>
            </w:r>
          </w:p>
        </w:tc>
        <w:tc>
          <w:tcPr>
            <w:tcW w:w="992" w:type="dxa"/>
            <w:vAlign w:val="center"/>
          </w:tcPr>
          <w:p>
            <w:pPr>
              <w:snapToGrid w:val="0"/>
              <w:jc w:val="center"/>
              <w:rPr>
                <w:bCs/>
                <w:color w:val="000000"/>
              </w:rPr>
            </w:pPr>
            <w:r>
              <w:rPr>
                <w:rFonts w:hint="eastAsia"/>
                <w:bCs/>
                <w:color w:val="000000"/>
              </w:rPr>
              <w:t>8套</w:t>
            </w:r>
          </w:p>
        </w:tc>
        <w:tc>
          <w:tcPr>
            <w:tcW w:w="1716" w:type="dxa"/>
            <w:vAlign w:val="center"/>
          </w:tcPr>
          <w:p>
            <w:pPr>
              <w:pStyle w:val="19"/>
              <w:snapToGrid w:val="0"/>
              <w:jc w:val="center"/>
              <w:rPr>
                <w:rFonts w:ascii="Arial" w:hAnsi="Arial" w:cs="Arial"/>
                <w:color w:val="000000"/>
                <w:kern w:val="0"/>
              </w:rPr>
            </w:pPr>
            <w:r>
              <w:rPr>
                <w:rFonts w:hint="eastAsia" w:ascii="Arial" w:hAnsi="Arial" w:cs="Arial"/>
                <w:color w:val="000000"/>
                <w:kern w:val="0"/>
              </w:rPr>
              <w:t>详见第三章</w:t>
            </w:r>
          </w:p>
        </w:tc>
        <w:tc>
          <w:tcPr>
            <w:tcW w:w="2442"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合同签订后</w:t>
            </w:r>
            <w:r>
              <w:rPr>
                <w:rFonts w:hint="eastAsia" w:asciiTheme="minorEastAsia" w:hAnsiTheme="minorEastAsia"/>
                <w:sz w:val="22"/>
                <w:szCs w:val="22"/>
                <w:u w:val="single"/>
              </w:rPr>
              <w:t>30</w:t>
            </w:r>
            <w:r>
              <w:rPr>
                <w:rFonts w:hint="eastAsia" w:asciiTheme="minorEastAsia" w:hAnsiTheme="minorEastAsia"/>
                <w:sz w:val="22"/>
                <w:szCs w:val="22"/>
              </w:rPr>
              <w:t>日历天</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义乌机场</w:t>
            </w:r>
          </w:p>
        </w:tc>
        <w:tc>
          <w:tcPr>
            <w:tcW w:w="1340" w:type="dxa"/>
          </w:tcPr>
          <w:p>
            <w:pPr>
              <w:adjustRightInd w:val="0"/>
              <w:snapToGrid w:val="0"/>
              <w:jc w:val="center"/>
              <w:rPr>
                <w:rFonts w:asciiTheme="minorEastAsia" w:hAnsiTheme="minorEastAsia"/>
                <w:sz w:val="22"/>
                <w:szCs w:val="22"/>
              </w:rPr>
            </w:pPr>
            <w:r>
              <w:rPr>
                <w:rFonts w:hint="eastAsia" w:asciiTheme="minorEastAsia" w:hAnsiTheme="minorEastAsia"/>
                <w:sz w:val="22"/>
                <w:szCs w:val="22"/>
              </w:rPr>
              <w:t>义乌民用航空站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6" w:type="dxa"/>
            <w:vMerge w:val="continue"/>
          </w:tcPr>
          <w:p>
            <w:pPr>
              <w:snapToGrid w:val="0"/>
              <w:jc w:val="center"/>
              <w:rPr>
                <w:color w:val="000000"/>
              </w:rPr>
            </w:pPr>
          </w:p>
        </w:tc>
        <w:tc>
          <w:tcPr>
            <w:tcW w:w="1292" w:type="dxa"/>
            <w:vAlign w:val="center"/>
          </w:tcPr>
          <w:p>
            <w:pPr>
              <w:snapToGrid w:val="0"/>
              <w:jc w:val="center"/>
              <w:rPr>
                <w:color w:val="000000"/>
              </w:rPr>
            </w:pPr>
            <w:r>
              <w:rPr>
                <w:rFonts w:hint="eastAsia"/>
                <w:color w:val="000000"/>
              </w:rPr>
              <w:t>北京工厂培训</w:t>
            </w:r>
          </w:p>
        </w:tc>
        <w:tc>
          <w:tcPr>
            <w:tcW w:w="992" w:type="dxa"/>
            <w:vAlign w:val="center"/>
          </w:tcPr>
          <w:p>
            <w:pPr>
              <w:snapToGrid w:val="0"/>
              <w:jc w:val="center"/>
              <w:rPr>
                <w:bCs/>
                <w:color w:val="000000"/>
              </w:rPr>
            </w:pPr>
            <w:r>
              <w:rPr>
                <w:rFonts w:hint="eastAsia"/>
                <w:bCs/>
                <w:color w:val="000000"/>
              </w:rPr>
              <w:t>2人</w:t>
            </w:r>
          </w:p>
        </w:tc>
        <w:tc>
          <w:tcPr>
            <w:tcW w:w="1716" w:type="dxa"/>
            <w:vAlign w:val="center"/>
          </w:tcPr>
          <w:p>
            <w:pPr>
              <w:pStyle w:val="19"/>
              <w:snapToGrid w:val="0"/>
              <w:jc w:val="center"/>
              <w:rPr>
                <w:rFonts w:ascii="Arial" w:hAnsi="Arial" w:cs="Arial"/>
                <w:color w:val="000000"/>
                <w:kern w:val="0"/>
              </w:rPr>
            </w:pPr>
          </w:p>
        </w:tc>
        <w:tc>
          <w:tcPr>
            <w:tcW w:w="2442" w:type="dxa"/>
            <w:vAlign w:val="center"/>
          </w:tcPr>
          <w:p>
            <w:pPr>
              <w:adjustRightInd w:val="0"/>
              <w:snapToGrid w:val="0"/>
              <w:jc w:val="center"/>
              <w:rPr>
                <w:rFonts w:asciiTheme="minorEastAsia" w:hAnsiTheme="minorEastAsia"/>
                <w:sz w:val="22"/>
                <w:szCs w:val="22"/>
              </w:rPr>
            </w:pP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义乌机场</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义乌民用航空站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6" w:type="dxa"/>
            <w:vMerge w:val="restart"/>
            <w:vAlign w:val="center"/>
          </w:tcPr>
          <w:p>
            <w:pPr>
              <w:snapToGrid w:val="0"/>
              <w:jc w:val="center"/>
              <w:rPr>
                <w:color w:val="000000"/>
              </w:rPr>
            </w:pPr>
            <w:r>
              <w:rPr>
                <w:rFonts w:hint="eastAsia"/>
                <w:color w:val="000000"/>
              </w:rPr>
              <w:t>标项2</w:t>
            </w:r>
          </w:p>
        </w:tc>
        <w:tc>
          <w:tcPr>
            <w:tcW w:w="1292" w:type="dxa"/>
            <w:vAlign w:val="center"/>
          </w:tcPr>
          <w:p>
            <w:pPr>
              <w:snapToGrid w:val="0"/>
              <w:jc w:val="center"/>
              <w:rPr>
                <w:color w:val="000000"/>
              </w:rPr>
            </w:pPr>
            <w:r>
              <w:rPr>
                <w:rFonts w:hint="eastAsia"/>
                <w:color w:val="000000"/>
              </w:rPr>
              <w:t>货运双视角X射线机</w:t>
            </w:r>
          </w:p>
        </w:tc>
        <w:tc>
          <w:tcPr>
            <w:tcW w:w="992" w:type="dxa"/>
            <w:vAlign w:val="center"/>
          </w:tcPr>
          <w:p>
            <w:pPr>
              <w:snapToGrid w:val="0"/>
              <w:jc w:val="center"/>
              <w:rPr>
                <w:bCs/>
                <w:color w:val="000000"/>
              </w:rPr>
            </w:pPr>
            <w:r>
              <w:rPr>
                <w:rFonts w:hint="eastAsia"/>
                <w:bCs/>
                <w:color w:val="000000"/>
              </w:rPr>
              <w:t>2</w:t>
            </w:r>
          </w:p>
        </w:tc>
        <w:tc>
          <w:tcPr>
            <w:tcW w:w="1716" w:type="dxa"/>
            <w:vAlign w:val="center"/>
          </w:tcPr>
          <w:p>
            <w:pPr>
              <w:pStyle w:val="19"/>
              <w:snapToGrid w:val="0"/>
              <w:jc w:val="center"/>
              <w:rPr>
                <w:rFonts w:ascii="Arial" w:hAnsi="Arial" w:cs="Arial"/>
                <w:color w:val="000000"/>
                <w:kern w:val="0"/>
              </w:rPr>
            </w:pPr>
            <w:r>
              <w:rPr>
                <w:rFonts w:hint="eastAsia" w:ascii="Arial" w:hAnsi="Arial" w:cs="Arial"/>
                <w:color w:val="000000"/>
                <w:kern w:val="0"/>
              </w:rPr>
              <w:t>详见第三章</w:t>
            </w:r>
          </w:p>
        </w:tc>
        <w:tc>
          <w:tcPr>
            <w:tcW w:w="2442"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合同签订后</w:t>
            </w:r>
            <w:r>
              <w:rPr>
                <w:rFonts w:hint="eastAsia" w:asciiTheme="minorEastAsia" w:hAnsiTheme="minorEastAsia"/>
                <w:sz w:val="22"/>
                <w:szCs w:val="22"/>
                <w:u w:val="single"/>
              </w:rPr>
              <w:t>30</w:t>
            </w:r>
            <w:r>
              <w:rPr>
                <w:rFonts w:hint="eastAsia" w:asciiTheme="minorEastAsia" w:hAnsiTheme="minorEastAsia"/>
                <w:sz w:val="22"/>
                <w:szCs w:val="22"/>
              </w:rPr>
              <w:t>日历天</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杭州萧山国际机场</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杭州萧山国际机场有限公司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906" w:type="dxa"/>
            <w:vMerge w:val="continue"/>
          </w:tcPr>
          <w:p>
            <w:pPr>
              <w:snapToGrid w:val="0"/>
              <w:jc w:val="center"/>
              <w:rPr>
                <w:color w:val="000000"/>
              </w:rPr>
            </w:pPr>
          </w:p>
        </w:tc>
        <w:tc>
          <w:tcPr>
            <w:tcW w:w="1292" w:type="dxa"/>
            <w:vAlign w:val="center"/>
          </w:tcPr>
          <w:p>
            <w:pPr>
              <w:snapToGrid w:val="0"/>
              <w:jc w:val="center"/>
              <w:rPr>
                <w:color w:val="000000"/>
              </w:rPr>
            </w:pPr>
            <w:r>
              <w:rPr>
                <w:rFonts w:hint="eastAsia"/>
                <w:color w:val="000000"/>
              </w:rPr>
              <w:t>前端动力平台</w:t>
            </w:r>
          </w:p>
        </w:tc>
        <w:tc>
          <w:tcPr>
            <w:tcW w:w="992" w:type="dxa"/>
            <w:vAlign w:val="center"/>
          </w:tcPr>
          <w:p>
            <w:pPr>
              <w:snapToGrid w:val="0"/>
              <w:jc w:val="center"/>
              <w:rPr>
                <w:bCs/>
                <w:color w:val="000000"/>
              </w:rPr>
            </w:pPr>
            <w:r>
              <w:rPr>
                <w:rFonts w:hint="eastAsia"/>
                <w:bCs/>
                <w:color w:val="000000"/>
              </w:rPr>
              <w:t>2</w:t>
            </w:r>
          </w:p>
        </w:tc>
        <w:tc>
          <w:tcPr>
            <w:tcW w:w="1716" w:type="dxa"/>
            <w:vAlign w:val="center"/>
          </w:tcPr>
          <w:p>
            <w:pPr>
              <w:pStyle w:val="19"/>
              <w:snapToGrid w:val="0"/>
              <w:jc w:val="center"/>
              <w:rPr>
                <w:rFonts w:ascii="Arial" w:hAnsi="Arial" w:cs="Arial"/>
                <w:color w:val="000000"/>
                <w:kern w:val="0"/>
              </w:rPr>
            </w:pPr>
            <w:r>
              <w:rPr>
                <w:rFonts w:hint="eastAsia" w:ascii="Arial" w:hAnsi="Arial" w:cs="Arial"/>
                <w:color w:val="000000"/>
                <w:kern w:val="0"/>
              </w:rPr>
              <w:t>详见第三章</w:t>
            </w:r>
          </w:p>
        </w:tc>
        <w:tc>
          <w:tcPr>
            <w:tcW w:w="2442"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合同签订后</w:t>
            </w:r>
            <w:r>
              <w:rPr>
                <w:rFonts w:hint="eastAsia" w:asciiTheme="minorEastAsia" w:hAnsiTheme="minorEastAsia"/>
                <w:sz w:val="22"/>
                <w:szCs w:val="22"/>
                <w:u w:val="single"/>
              </w:rPr>
              <w:t>30</w:t>
            </w:r>
            <w:r>
              <w:rPr>
                <w:rFonts w:hint="eastAsia" w:asciiTheme="minorEastAsia" w:hAnsiTheme="minorEastAsia"/>
                <w:sz w:val="22"/>
                <w:szCs w:val="22"/>
              </w:rPr>
              <w:t>日历天</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杭州萧山国际机场</w:t>
            </w:r>
          </w:p>
        </w:tc>
        <w:tc>
          <w:tcPr>
            <w:tcW w:w="1340" w:type="dxa"/>
            <w:vAlign w:val="center"/>
          </w:tcPr>
          <w:p>
            <w:pPr>
              <w:adjustRightInd w:val="0"/>
              <w:snapToGrid w:val="0"/>
              <w:jc w:val="center"/>
              <w:rPr>
                <w:rFonts w:asciiTheme="minorEastAsia" w:hAnsiTheme="minorEastAsia"/>
                <w:sz w:val="22"/>
                <w:szCs w:val="22"/>
              </w:rPr>
            </w:pPr>
            <w:r>
              <w:rPr>
                <w:rFonts w:hint="eastAsia" w:asciiTheme="minorEastAsia" w:hAnsiTheme="minorEastAsia"/>
                <w:sz w:val="22"/>
                <w:szCs w:val="22"/>
              </w:rPr>
              <w:t>杭州萧山国际机场有限公司</w:t>
            </w:r>
          </w:p>
        </w:tc>
      </w:tr>
    </w:tbl>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二、投标人资格要求</w:t>
      </w:r>
      <w:r>
        <w:rPr>
          <w:rFonts w:cs="Arial" w:asciiTheme="minorEastAsia" w:hAnsiTheme="minorEastAsia"/>
          <w:b/>
          <w:bCs/>
          <w:kern w:val="0"/>
          <w:sz w:val="22"/>
          <w:szCs w:val="22"/>
        </w:rPr>
        <w:t> </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1、具有独立法人资格的制造商或代理商，注册资金不少于人民币500万元或等值外币(按投标截止日中国人民银行公布的汇率中间价换算)，需提供营业执照复印件并加盖投标人公章作为证明材料，原件备查。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2、依据最高人民法院等九部门《关于在招标投标活动中对失信被执行人实施联合惩戒的通知》，投标人不得为失信被执行人。通过信用中国网站www.creditchina.gov.cn 查询，查询结果以网站页面显示内容为准，投标时需提供查询结果并加盖投标人公章作为证明材料。若在中标公示期间发现中标候选人在投标截止日前为失信被执行人的，招标人将依法取消其中标资格。</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3、近三年（2016年1月1日起至投标截止日止）无行贿犯罪记录(通过中国裁判文书网http://wenshu.court.gov.cn查询，查询结果以网站页面显示内容为准，投标时需提供查询结果并加盖投标人公章作为证明材料)。若在中标公示期间发现中标候选人在投标截止日前存在行贿犯罪记录的，招标人将依法取消其中标资格。</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4、具有一般纳税人资格，可提供税率为13%的增值税专用发票（需提供税务机关出具的一般纳税人资格认定相关证明材料复印件并加盖投标人公章作为证明材料，原件备查）。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5、代理商需具有招标设备制造商的授权书（需提供授权书复印件并加盖投标人公章作为证明材料，原件备查）。</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6、近三年（2016年1月1日起至投标截止日止）具有投标产品的供货业绩，需提供中标通知书或合同复印件并加盖投标人公章作为证明材料，原件备查。</w:t>
      </w:r>
    </w:p>
    <w:p>
      <w:pPr>
        <w:widowControl/>
        <w:snapToGrid w:val="0"/>
        <w:spacing w:line="340" w:lineRule="exact"/>
        <w:jc w:val="left"/>
        <w:rPr>
          <w:rFonts w:cs="Arial" w:asciiTheme="minorEastAsia" w:hAnsiTheme="minorEastAsia"/>
          <w:kern w:val="0"/>
          <w:sz w:val="22"/>
          <w:szCs w:val="22"/>
        </w:rPr>
      </w:pPr>
      <w:r>
        <w:rPr>
          <w:rFonts w:hint="eastAsia" w:cs="Arial" w:asciiTheme="minorEastAsia" w:hAnsiTheme="minorEastAsia"/>
          <w:kern w:val="0"/>
          <w:sz w:val="22"/>
          <w:szCs w:val="22"/>
        </w:rPr>
        <w:t>7、本项目不接受联合体投标。</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三、招标文件获取</w:t>
      </w: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凡符合资格条件并有投标意向的潜在投标人，请通过浙江省机场集团有限公司主页http://www.zjsairport.com/notice.html自行下载招标文件。</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招标文件下载</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四、投标文件的递交</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（1）</w:t>
      </w:r>
      <w:r>
        <w:rPr>
          <w:rFonts w:hint="eastAsia" w:ascii="宋体" w:hAnsi="宋体" w:cs="Arial"/>
          <w:kern w:val="0"/>
          <w:sz w:val="22"/>
        </w:rPr>
        <w:t>投标文件递交截止时间：2019年</w:t>
      </w:r>
      <w:r>
        <w:rPr>
          <w:rFonts w:hint="eastAsia" w:ascii="宋体" w:hAnsi="宋体" w:cs="Arial"/>
          <w:kern w:val="0"/>
          <w:sz w:val="22"/>
          <w:lang w:val="en-US" w:eastAsia="zh-CN"/>
        </w:rPr>
        <w:t>9</w:t>
      </w:r>
      <w:r>
        <w:rPr>
          <w:rFonts w:hint="eastAsia" w:ascii="宋体" w:hAnsi="宋体" w:cs="Arial"/>
          <w:kern w:val="0"/>
          <w:sz w:val="22"/>
        </w:rPr>
        <w:t>月</w:t>
      </w:r>
      <w:r>
        <w:rPr>
          <w:rFonts w:hint="eastAsia" w:ascii="宋体" w:hAnsi="宋体" w:cs="Arial"/>
          <w:kern w:val="0"/>
          <w:sz w:val="22"/>
          <w:lang w:val="en-US" w:eastAsia="zh-CN"/>
        </w:rPr>
        <w:t>5</w:t>
      </w:r>
      <w:r>
        <w:rPr>
          <w:rFonts w:hint="eastAsia" w:ascii="宋体" w:hAnsi="宋体" w:cs="Arial"/>
          <w:kern w:val="0"/>
          <w:sz w:val="22"/>
        </w:rPr>
        <w:t>日下午</w:t>
      </w:r>
      <w:r>
        <w:rPr>
          <w:rFonts w:hint="eastAsia" w:ascii="宋体" w:hAnsi="宋体" w:cs="Arial"/>
          <w:kern w:val="0"/>
          <w:sz w:val="22"/>
          <w:lang w:val="en-US" w:eastAsia="zh-CN"/>
        </w:rPr>
        <w:t>14</w:t>
      </w:r>
      <w:r>
        <w:rPr>
          <w:rFonts w:hint="eastAsia" w:ascii="宋体" w:hAnsi="宋体" w:cs="Arial"/>
          <w:kern w:val="0"/>
          <w:sz w:val="22"/>
        </w:rPr>
        <w:t>时</w:t>
      </w:r>
      <w:r>
        <w:rPr>
          <w:rFonts w:hint="eastAsia" w:ascii="宋体" w:hAnsi="宋体" w:cs="Arial"/>
          <w:kern w:val="0"/>
          <w:sz w:val="22"/>
          <w:lang w:val="en-US" w:eastAsia="zh-CN"/>
        </w:rPr>
        <w:t>00</w:t>
      </w:r>
      <w:r>
        <w:rPr>
          <w:rFonts w:hint="eastAsia" w:ascii="宋体" w:hAnsi="宋体" w:cs="Arial"/>
          <w:kern w:val="0"/>
          <w:sz w:val="22"/>
        </w:rPr>
        <w:t>分（北京时间）。投标文件在封口处加盖公章，并派专人于</w:t>
      </w:r>
      <w:r>
        <w:rPr>
          <w:rFonts w:hint="eastAsia" w:ascii="宋体" w:hAnsi="宋体" w:cs="Arial"/>
          <w:kern w:val="0"/>
          <w:sz w:val="22"/>
        </w:rPr>
        <w:t>2019年</w:t>
      </w:r>
      <w:r>
        <w:rPr>
          <w:rFonts w:hint="eastAsia" w:ascii="宋体" w:hAnsi="宋体" w:cs="Arial"/>
          <w:kern w:val="0"/>
          <w:sz w:val="22"/>
          <w:lang w:val="en-US" w:eastAsia="zh-CN"/>
        </w:rPr>
        <w:t>9</w:t>
      </w:r>
      <w:r>
        <w:rPr>
          <w:rFonts w:hint="eastAsia" w:ascii="宋体" w:hAnsi="宋体" w:cs="Arial"/>
          <w:kern w:val="0"/>
          <w:sz w:val="22"/>
        </w:rPr>
        <w:t>月</w:t>
      </w:r>
      <w:r>
        <w:rPr>
          <w:rFonts w:hint="eastAsia" w:ascii="宋体" w:hAnsi="宋体" w:cs="Arial"/>
          <w:kern w:val="0"/>
          <w:sz w:val="22"/>
          <w:lang w:val="en-US" w:eastAsia="zh-CN"/>
        </w:rPr>
        <w:t>5</w:t>
      </w:r>
      <w:r>
        <w:rPr>
          <w:rFonts w:hint="eastAsia" w:ascii="宋体" w:hAnsi="宋体" w:cs="Arial"/>
          <w:kern w:val="0"/>
          <w:sz w:val="22"/>
        </w:rPr>
        <w:t>日下午</w:t>
      </w:r>
      <w:r>
        <w:rPr>
          <w:rFonts w:hint="eastAsia" w:ascii="宋体" w:hAnsi="宋体" w:cs="Arial"/>
          <w:kern w:val="0"/>
          <w:sz w:val="22"/>
          <w:lang w:val="en-US" w:eastAsia="zh-CN"/>
        </w:rPr>
        <w:t>14</w:t>
      </w:r>
      <w:r>
        <w:rPr>
          <w:rFonts w:hint="eastAsia" w:ascii="宋体" w:hAnsi="宋体" w:cs="Arial"/>
          <w:kern w:val="0"/>
          <w:sz w:val="22"/>
        </w:rPr>
        <w:t>时</w:t>
      </w:r>
      <w:r>
        <w:rPr>
          <w:rFonts w:hint="eastAsia" w:ascii="宋体" w:hAnsi="宋体" w:cs="Arial"/>
          <w:kern w:val="0"/>
          <w:sz w:val="22"/>
          <w:lang w:val="en-US" w:eastAsia="zh-CN"/>
        </w:rPr>
        <w:t>00</w:t>
      </w:r>
      <w:r>
        <w:rPr>
          <w:rFonts w:hint="eastAsia" w:ascii="宋体" w:hAnsi="宋体" w:cs="Arial"/>
          <w:kern w:val="0"/>
          <w:sz w:val="22"/>
        </w:rPr>
        <w:t>分（北京时间）</w:t>
      </w:r>
      <w:r>
        <w:rPr>
          <w:rFonts w:hint="eastAsia" w:ascii="宋体" w:hAnsi="宋体" w:cs="Arial"/>
          <w:kern w:val="0"/>
          <w:sz w:val="22"/>
        </w:rPr>
        <w:t>前送至杭州萧山国际机场翔越路综合服务楼园区招标中心，逾期无效；若采用投递方式的，请于</w:t>
      </w:r>
      <w:r>
        <w:rPr>
          <w:rFonts w:hint="eastAsia" w:ascii="宋体" w:hAnsi="宋体" w:cs="Arial"/>
          <w:kern w:val="0"/>
          <w:sz w:val="22"/>
        </w:rPr>
        <w:t>2019年</w:t>
      </w:r>
      <w:r>
        <w:rPr>
          <w:rFonts w:hint="eastAsia" w:ascii="宋体" w:hAnsi="宋体" w:cs="Arial"/>
          <w:kern w:val="0"/>
          <w:sz w:val="22"/>
          <w:lang w:val="en-US" w:eastAsia="zh-CN"/>
        </w:rPr>
        <w:t>9</w:t>
      </w:r>
      <w:r>
        <w:rPr>
          <w:rFonts w:hint="eastAsia" w:ascii="宋体" w:hAnsi="宋体" w:cs="Arial"/>
          <w:kern w:val="0"/>
          <w:sz w:val="22"/>
        </w:rPr>
        <w:t>月</w:t>
      </w:r>
      <w:r>
        <w:rPr>
          <w:rFonts w:hint="eastAsia" w:ascii="宋体" w:hAnsi="宋体" w:cs="Arial"/>
          <w:kern w:val="0"/>
          <w:sz w:val="22"/>
          <w:lang w:val="en-US" w:eastAsia="zh-CN"/>
        </w:rPr>
        <w:t>5</w:t>
      </w:r>
      <w:r>
        <w:rPr>
          <w:rFonts w:hint="eastAsia" w:ascii="宋体" w:hAnsi="宋体" w:cs="Arial"/>
          <w:kern w:val="0"/>
          <w:sz w:val="22"/>
        </w:rPr>
        <w:t>日下午</w:t>
      </w:r>
      <w:r>
        <w:rPr>
          <w:rFonts w:hint="eastAsia" w:ascii="宋体" w:hAnsi="宋体" w:cs="Arial"/>
          <w:kern w:val="0"/>
          <w:sz w:val="22"/>
          <w:lang w:val="en-US" w:eastAsia="zh-CN"/>
        </w:rPr>
        <w:t>14</w:t>
      </w:r>
      <w:r>
        <w:rPr>
          <w:rFonts w:hint="eastAsia" w:ascii="宋体" w:hAnsi="宋体" w:cs="Arial"/>
          <w:kern w:val="0"/>
          <w:sz w:val="22"/>
        </w:rPr>
        <w:t>时</w:t>
      </w:r>
      <w:r>
        <w:rPr>
          <w:rFonts w:hint="eastAsia" w:ascii="宋体" w:hAnsi="宋体" w:cs="Arial"/>
          <w:kern w:val="0"/>
          <w:sz w:val="22"/>
          <w:lang w:val="en-US" w:eastAsia="zh-CN"/>
        </w:rPr>
        <w:t>00</w:t>
      </w:r>
      <w:r>
        <w:rPr>
          <w:rFonts w:hint="eastAsia" w:ascii="宋体" w:hAnsi="宋体" w:cs="Arial"/>
          <w:kern w:val="0"/>
          <w:sz w:val="22"/>
        </w:rPr>
        <w:t>分（北京时间）</w:t>
      </w:r>
      <w:r>
        <w:rPr>
          <w:rFonts w:hint="eastAsia" w:ascii="宋体" w:hAnsi="宋体" w:cs="Arial"/>
          <w:kern w:val="0"/>
          <w:sz w:val="22"/>
        </w:rPr>
        <w:t>前投递至杭州萧山国际机场综合楼213室，逾期无效。</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（2）</w:t>
      </w:r>
      <w:r>
        <w:rPr>
          <w:rFonts w:hint="eastAsia" w:asciiTheme="minorEastAsia" w:hAnsiTheme="minorEastAsia"/>
          <w:sz w:val="22"/>
          <w:szCs w:val="22"/>
        </w:rPr>
        <w:t>逾期送达或者未送达指定地点的投标文件，招标人不予受理。</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五、发布公告的媒介</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cs="Arial" w:asciiTheme="minorEastAsia" w:hAnsiTheme="minorEastAsia"/>
          <w:kern w:val="0"/>
          <w:sz w:val="22"/>
          <w:szCs w:val="22"/>
        </w:rPr>
        <w:t>本次招标公告在</w:t>
      </w:r>
      <w:r>
        <w:rPr>
          <w:rFonts w:hint="eastAsia" w:cs="Arial" w:asciiTheme="minorEastAsia" w:hAnsiTheme="minorEastAsia"/>
          <w:b/>
          <w:color w:val="000000" w:themeColor="text1"/>
          <w:kern w:val="0"/>
          <w:sz w:val="22"/>
          <w14:textFill>
            <w14:solidFill>
              <w14:schemeClr w14:val="tx1"/>
            </w14:solidFill>
          </w14:textFill>
        </w:rPr>
        <w:t>中国采购与招标网和浙江省机场集团有限公司</w:t>
      </w:r>
      <w:r>
        <w:rPr>
          <w:rFonts w:hint="eastAsia" w:cs="Arial" w:asciiTheme="minorEastAsia" w:hAnsiTheme="minorEastAsia"/>
          <w:kern w:val="0"/>
          <w:sz w:val="22"/>
          <w:szCs w:val="22"/>
        </w:rPr>
        <w:t>主页上发布</w:t>
      </w:r>
    </w:p>
    <w:p>
      <w:pPr>
        <w:widowControl/>
        <w:adjustRightInd w:val="0"/>
        <w:snapToGrid w:val="0"/>
        <w:spacing w:line="340" w:lineRule="exact"/>
        <w:ind w:firstLine="440" w:firstLineChars="200"/>
        <w:rPr>
          <w:rFonts w:cs="Arial" w:asciiTheme="minorEastAsia" w:hAnsiTheme="minorEastAsia"/>
          <w:kern w:val="0"/>
          <w:sz w:val="22"/>
          <w:szCs w:val="22"/>
        </w:rPr>
      </w:pPr>
      <w:r>
        <w:rPr>
          <w:rFonts w:hint="eastAsia" w:asciiTheme="minorEastAsia" w:hAnsiTheme="minorEastAsia"/>
          <w:sz w:val="22"/>
          <w:szCs w:val="22"/>
        </w:rPr>
        <w:t>中国采购与招标网</w:t>
      </w:r>
      <w:r>
        <w:fldChar w:fldCharType="begin"/>
      </w:r>
      <w:r>
        <w:instrText xml:space="preserve"> HYPERLINK "http://www.chinabidding.com.cn" </w:instrText>
      </w:r>
      <w:r>
        <w:fldChar w:fldCharType="separate"/>
      </w:r>
      <w:r>
        <w:rPr>
          <w:rFonts w:asciiTheme="minorEastAsia" w:hAnsiTheme="minorEastAsia"/>
          <w:sz w:val="22"/>
          <w:szCs w:val="22"/>
        </w:rPr>
        <w:t>http://www.chinabidding.com.cn</w:t>
      </w:r>
      <w:r>
        <w:rPr>
          <w:rFonts w:asciiTheme="minorEastAsia" w:hAnsiTheme="minorEastAsia"/>
          <w:sz w:val="22"/>
          <w:szCs w:val="22"/>
        </w:rPr>
        <w:fldChar w:fldCharType="end"/>
      </w:r>
    </w:p>
    <w:p>
      <w:pPr>
        <w:widowControl/>
        <w:adjustRightInd w:val="0"/>
        <w:snapToGrid w:val="0"/>
        <w:spacing w:line="340" w:lineRule="exact"/>
        <w:ind w:firstLine="440" w:firstLineChars="200"/>
        <w:rPr>
          <w:rFonts w:cs="Arial" w:asciiTheme="minorEastAsia" w:hAnsiTheme="minorEastAsia"/>
          <w:color w:val="000000" w:themeColor="text1"/>
          <w:kern w:val="0"/>
          <w:sz w:val="22"/>
          <w14:textFill>
            <w14:solidFill>
              <w14:schemeClr w14:val="tx1"/>
            </w14:solidFill>
          </w14:textFill>
        </w:rPr>
      </w:pPr>
      <w:r>
        <w:rPr>
          <w:rFonts w:hint="eastAsia" w:cs="Arial" w:asciiTheme="minorEastAsia" w:hAnsiTheme="minorEastAsia"/>
          <w:color w:val="000000" w:themeColor="text1"/>
          <w:kern w:val="0"/>
          <w:sz w:val="22"/>
          <w14:textFill>
            <w14:solidFill>
              <w14:schemeClr w14:val="tx1"/>
            </w14:solidFill>
          </w14:textFill>
        </w:rPr>
        <w:t>浙江省机场集团有限公司主页http://www.zjszairport.com</w:t>
      </w:r>
    </w:p>
    <w:p>
      <w:pPr>
        <w:widowControl/>
        <w:snapToGrid w:val="0"/>
        <w:spacing w:line="340" w:lineRule="exact"/>
        <w:jc w:val="left"/>
        <w:rPr>
          <w:rFonts w:cs="Arial" w:asciiTheme="minorEastAsia" w:hAnsiTheme="minorEastAsia"/>
          <w:b/>
          <w:bCs/>
          <w:kern w:val="0"/>
          <w:sz w:val="22"/>
          <w:szCs w:val="22"/>
        </w:rPr>
      </w:pPr>
      <w:r>
        <w:rPr>
          <w:rFonts w:hint="eastAsia" w:cs="Arial" w:asciiTheme="minorEastAsia" w:hAnsiTheme="minorEastAsia"/>
          <w:b/>
          <w:bCs/>
          <w:kern w:val="0"/>
          <w:sz w:val="22"/>
          <w:szCs w:val="22"/>
        </w:rPr>
        <w:t>六、联系方式</w:t>
      </w:r>
    </w:p>
    <w:p>
      <w:pPr>
        <w:widowControl/>
        <w:adjustRightInd w:val="0"/>
        <w:snapToGrid w:val="0"/>
        <w:spacing w:line="340" w:lineRule="exact"/>
        <w:ind w:firstLine="440" w:firstLineChars="200"/>
        <w:rPr>
          <w:rFonts w:asciiTheme="minorEastAsia" w:hAnsiTheme="minorEastAsia"/>
          <w:sz w:val="22"/>
          <w:szCs w:val="22"/>
        </w:rPr>
      </w:pPr>
      <w:r>
        <w:rPr>
          <w:rFonts w:hint="eastAsia" w:asciiTheme="minorEastAsia" w:hAnsiTheme="minorEastAsia"/>
          <w:sz w:val="22"/>
          <w:szCs w:val="22"/>
        </w:rPr>
        <w:t>投标联系人：贾思勰        联系电话： 0571-83837612</w:t>
      </w:r>
    </w:p>
    <w:p>
      <w:pPr>
        <w:widowControl/>
        <w:adjustRightInd w:val="0"/>
        <w:snapToGrid w:val="0"/>
        <w:spacing w:line="340" w:lineRule="exact"/>
        <w:ind w:firstLine="440" w:firstLineChars="200"/>
        <w:rPr>
          <w:rFonts w:asciiTheme="minorEastAsia" w:hAnsiTheme="minorEastAsia"/>
          <w:bCs/>
          <w:sz w:val="22"/>
          <w:szCs w:val="22"/>
        </w:rPr>
      </w:pPr>
      <w:r>
        <w:rPr>
          <w:rFonts w:hint="eastAsia" w:asciiTheme="minorEastAsia" w:hAnsiTheme="minorEastAsia"/>
          <w:bCs/>
          <w:sz w:val="22"/>
          <w:szCs w:val="22"/>
        </w:rPr>
        <w:t xml:space="preserve">招标监督人：刘闻捷          联系电话： </w:t>
      </w:r>
      <w:r>
        <w:rPr>
          <w:rFonts w:asciiTheme="minorEastAsia" w:hAnsiTheme="minorEastAsia"/>
          <w:bCs/>
          <w:sz w:val="22"/>
          <w:szCs w:val="22"/>
        </w:rPr>
        <w:t>0571-8666</w:t>
      </w:r>
      <w:r>
        <w:rPr>
          <w:rFonts w:hint="eastAsia" w:asciiTheme="minorEastAsia" w:hAnsiTheme="minorEastAsia"/>
          <w:bCs/>
          <w:sz w:val="22"/>
          <w:szCs w:val="22"/>
        </w:rPr>
        <w:t>2134</w:t>
      </w:r>
    </w:p>
    <w:p>
      <w:pPr>
        <w:pStyle w:val="48"/>
        <w:rPr>
          <w:rFonts w:asciiTheme="minorEastAsia" w:hAnsiTheme="minorEastAsia"/>
          <w:bCs w:val="0"/>
          <w:sz w:val="22"/>
          <w:szCs w:val="22"/>
        </w:rPr>
      </w:pPr>
      <w:bookmarkStart w:id="3" w:name="_Toc321925452"/>
    </w:p>
    <w:p>
      <w:pPr>
        <w:pStyle w:val="48"/>
        <w:jc w:val="both"/>
        <w:rPr>
          <w:rFonts w:asciiTheme="minorEastAsia" w:hAnsiTheme="minorEastAsia"/>
          <w:bCs w:val="0"/>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pPr>
    </w:p>
    <w:p>
      <w:pPr>
        <w:rPr>
          <w:rFonts w:asciiTheme="minorEastAsia" w:hAnsiTheme="minorEastAsia"/>
          <w:sz w:val="22"/>
          <w:szCs w:val="22"/>
        </w:rPr>
        <w:sectPr>
          <w:footerReference r:id="rId7" w:type="first"/>
          <w:pgSz w:w="11906" w:h="16838"/>
          <w:pgMar w:top="1134" w:right="1247" w:bottom="1134" w:left="1247" w:header="851" w:footer="992" w:gutter="0"/>
          <w:pgNumType w:fmt="numberInDash"/>
          <w:cols w:space="720" w:num="1"/>
          <w:docGrid w:linePitch="312" w:charSpace="0"/>
        </w:sectPr>
      </w:pPr>
    </w:p>
    <w:p>
      <w:pPr>
        <w:rPr>
          <w:rFonts w:asciiTheme="minorEastAsia" w:hAnsiTheme="minorEastAsia"/>
          <w:sz w:val="22"/>
          <w:szCs w:val="22"/>
        </w:rPr>
      </w:pPr>
    </w:p>
    <w:p>
      <w:pPr>
        <w:pStyle w:val="48"/>
      </w:pPr>
      <w:r>
        <w:t>第</w:t>
      </w:r>
      <w:r>
        <w:rPr>
          <w:rFonts w:hint="eastAsia"/>
        </w:rPr>
        <w:t>二</w:t>
      </w:r>
      <w:r>
        <w:t>章投标</w:t>
      </w:r>
      <w:r>
        <w:rPr>
          <w:rFonts w:hint="eastAsia"/>
        </w:rPr>
        <w:t>人须知</w:t>
      </w:r>
      <w:bookmarkEnd w:id="3"/>
    </w:p>
    <w:p>
      <w:pPr>
        <w:pStyle w:val="32"/>
        <w:spacing w:line="240" w:lineRule="auto"/>
        <w:ind w:left="480"/>
        <w:jc w:val="center"/>
        <w:rPr>
          <w:b/>
          <w:sz w:val="28"/>
          <w:szCs w:val="28"/>
        </w:rPr>
      </w:pPr>
      <w:r>
        <w:rPr>
          <w:rFonts w:hint="eastAsia"/>
          <w:b/>
          <w:sz w:val="28"/>
          <w:szCs w:val="28"/>
        </w:rPr>
        <w:t>投标人须知前附表</w:t>
      </w:r>
    </w:p>
    <w:tbl>
      <w:tblPr>
        <w:tblStyle w:val="52"/>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hint="eastAsia" w:cs="Arial" w:asciiTheme="minorEastAsia" w:hAnsiTheme="minorEastAsia"/>
                <w:color w:val="000000" w:themeColor="text1"/>
                <w:kern w:val="0"/>
                <w:sz w:val="22"/>
                <w14:textFill>
                  <w14:solidFill>
                    <w14:schemeClr w14:val="tx1"/>
                  </w14:solidFill>
                </w14:textFill>
              </w:rPr>
              <w:t>浙江省机场集团有限公司</w:t>
            </w:r>
            <w:r>
              <w:rPr>
                <w:rFonts w:hint="eastAsia" w:ascii="宋体" w:hAnsi="宋体" w:cs="Arial"/>
                <w:kern w:val="0"/>
                <w:sz w:val="22"/>
              </w:rPr>
              <w:t>安检X射线机</w:t>
            </w:r>
            <w:r>
              <w:rPr>
                <w:rFonts w:ascii="宋体" w:hAnsi="宋体" w:cs="Arial"/>
                <w:kern w:val="0"/>
                <w:sz w:val="22"/>
              </w:rPr>
              <w:t>采购项</w:t>
            </w:r>
            <w:r>
              <w:rPr>
                <w:rFonts w:hint="eastAsia" w:ascii="宋体" w:hAnsi="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交货</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sz w:val="22"/>
              </w:rPr>
            </w:pPr>
            <w:r>
              <w:rPr>
                <w:rFonts w:ascii="宋体" w:hAnsi="宋体" w:cs="Calibri"/>
                <w:kern w:val="0"/>
                <w:sz w:val="22"/>
              </w:rPr>
              <w:t>杭州萧山国际机场</w:t>
            </w:r>
            <w:r>
              <w:rPr>
                <w:rFonts w:ascii="宋体" w:hAnsi="宋体" w:cs="Calibri"/>
                <w:sz w:val="22"/>
              </w:rPr>
              <w:t>内</w:t>
            </w:r>
          </w:p>
          <w:p>
            <w:pPr>
              <w:autoSpaceDE w:val="0"/>
              <w:autoSpaceDN w:val="0"/>
              <w:adjustRightInd w:val="0"/>
              <w:snapToGrid w:val="0"/>
              <w:rPr>
                <w:rFonts w:ascii="宋体" w:hAnsi="宋体" w:cs="Calibri"/>
                <w:sz w:val="22"/>
              </w:rPr>
            </w:pPr>
            <w:r>
              <w:rPr>
                <w:rFonts w:hint="eastAsia" w:ascii="宋体" w:hAnsi="宋体" w:cs="Calibri"/>
                <w:sz w:val="22"/>
              </w:rPr>
              <w:t>义乌机场内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93"/>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见招标公告，具体要求详见</w:t>
            </w:r>
            <w:r>
              <w:rPr>
                <w:rFonts w:ascii="宋体" w:hAnsi="宋体" w:cs="Calibri"/>
                <w:kern w:val="0"/>
                <w:sz w:val="22"/>
              </w:rPr>
              <w:t>第</w:t>
            </w:r>
            <w:r>
              <w:rPr>
                <w:rFonts w:hint="eastAsia" w:ascii="宋体" w:hAnsi="宋体" w:cs="Calibri"/>
                <w:kern w:val="0"/>
                <w:sz w:val="22"/>
              </w:rPr>
              <w:t>三</w:t>
            </w:r>
            <w:r>
              <w:rPr>
                <w:rFonts w:ascii="宋体" w:hAnsi="宋体" w:cs="Calibri"/>
                <w:kern w:val="0"/>
                <w:sz w:val="22"/>
              </w:rPr>
              <w:t>章“货物需求一览表及技术规格”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cs="Calibri" w:asciiTheme="minorEastAsia" w:hAnsiTheme="minorEastAsia"/>
                <w:kern w:val="0"/>
                <w:sz w:val="22"/>
              </w:rPr>
              <w:t>详见招标公告</w:t>
            </w:r>
            <w:r>
              <w:rPr>
                <w:rFonts w:hint="eastAsia" w:cs="Calibri" w:asciiTheme="minorEastAsia" w:hAnsiTheme="minorEastAsia"/>
                <w:kern w:val="0"/>
                <w:sz w:val="22"/>
              </w:rPr>
              <w:t>“</w:t>
            </w:r>
            <w:r>
              <w:rPr>
                <w:rFonts w:hint="eastAsia" w:cs="黑体" w:asciiTheme="minorEastAsia" w:hAnsiTheme="minorEastAsia"/>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供货期</w:t>
            </w:r>
          </w:p>
        </w:tc>
        <w:tc>
          <w:tcPr>
            <w:tcW w:w="6487" w:type="dxa"/>
            <w:vAlign w:val="center"/>
          </w:tcPr>
          <w:p>
            <w:pPr>
              <w:autoSpaceDE w:val="0"/>
              <w:autoSpaceDN w:val="0"/>
              <w:adjustRightInd w:val="0"/>
              <w:snapToGrid w:val="0"/>
              <w:rPr>
                <w:rFonts w:ascii="宋体" w:cs="Calibri"/>
                <w:kern w:val="0"/>
                <w:sz w:val="22"/>
              </w:rPr>
            </w:pPr>
            <w:r>
              <w:rPr>
                <w:rFonts w:hint="eastAsia" w:ascii="宋体" w:hAnsi="宋体" w:cs="Calibri"/>
                <w:kern w:val="0"/>
                <w:sz w:val="22"/>
              </w:rPr>
              <w:t>合同签订后</w:t>
            </w:r>
            <w:r>
              <w:rPr>
                <w:rFonts w:hint="eastAsia" w:ascii="宋体" w:hAnsi="宋体"/>
                <w:sz w:val="22"/>
                <w:u w:val="single"/>
              </w:rPr>
              <w:t>3</w:t>
            </w:r>
            <w:r>
              <w:rPr>
                <w:rFonts w:hint="eastAsia" w:ascii="宋体"/>
                <w:sz w:val="22"/>
                <w:u w:val="single"/>
              </w:rPr>
              <w:t>0</w:t>
            </w:r>
            <w:r>
              <w:rPr>
                <w:rFonts w:hint="eastAsia" w:ascii="宋体" w:hAnsi="宋体"/>
                <w:sz w:val="22"/>
              </w:rPr>
              <w:t>日历天内,</w:t>
            </w:r>
            <w:r>
              <w:t xml:space="preserve"> </w:t>
            </w:r>
            <w:r>
              <w:rPr>
                <w:rFonts w:hint="eastAsia" w:ascii="宋体" w:hAnsi="宋体"/>
                <w:sz w:val="22"/>
              </w:rPr>
              <w:t>中标人必须在2019年10月31日前完成所有设备的安装、调试、试运行，验收交付最终用户使用，具体工期根据需要确定，应在标书中给予明确生产、安装、调试周期。具体时间无条件地服从业主安排。中途一切设备保管、运输、保险等全部工作由中标人负责。</w:t>
            </w:r>
          </w:p>
          <w:p>
            <w:pPr>
              <w:autoSpaceDE w:val="0"/>
              <w:autoSpaceDN w:val="0"/>
              <w:adjustRightInd w:val="0"/>
              <w:snapToGrid w:val="0"/>
              <w:rPr>
                <w:rFonts w:ascii="宋体" w:hAnsi="宋体" w:cs="Calibri"/>
                <w:kern w:val="0"/>
                <w:sz w:val="22"/>
              </w:rPr>
            </w:pPr>
            <w:r>
              <w:rPr>
                <w:rFonts w:hint="eastAsia" w:ascii="宋体" w:hAnsi="宋体" w:cs="Calibri"/>
                <w:kern w:val="0"/>
                <w:sz w:val="22"/>
              </w:rPr>
              <w:t>投标人须在投标文件中提供最快交货时间和详细的供货计划。投标人可根据自身经验、技术水平及管理能力自报竞争性供货期，但不得超过招标人明确的计划供货期。一旦中标，该供货期即为合同供货期。整个项目供货期安排应服从招标人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hint="eastAsia" w:cs="Calibri" w:asciiTheme="minorEastAsia" w:hAnsiTheme="minorEastAsia"/>
                <w:kern w:val="0"/>
                <w:sz w:val="22"/>
              </w:rPr>
              <w:t>质量要求</w:t>
            </w:r>
          </w:p>
        </w:tc>
        <w:tc>
          <w:tcPr>
            <w:tcW w:w="6487" w:type="dxa"/>
            <w:vAlign w:val="center"/>
          </w:tcPr>
          <w:p>
            <w:pPr>
              <w:rPr>
                <w:rFonts w:asciiTheme="minorEastAsia" w:hAnsiTheme="minorEastAsia"/>
                <w:color w:val="000000"/>
                <w:sz w:val="22"/>
              </w:rPr>
            </w:pPr>
            <w:r>
              <w:rPr>
                <w:rFonts w:hint="eastAsia" w:asciiTheme="minorEastAsia" w:hAnsiTheme="minorEastAsia"/>
                <w:iCs/>
                <w:sz w:val="22"/>
              </w:rPr>
              <w:t>符</w:t>
            </w:r>
            <w:r>
              <w:rPr>
                <w:rFonts w:hint="eastAsia" w:asciiTheme="minorEastAsia" w:hAnsiTheme="minorEastAsia"/>
                <w:sz w:val="22"/>
              </w:rPr>
              <w:t>合国家现行标准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9</w:t>
            </w:r>
            <w:r>
              <w:rPr>
                <w:rFonts w:cs="Calibri" w:asciiTheme="minorEastAsia" w:hAnsiTheme="minorEastAsia"/>
                <w:kern w:val="0"/>
                <w:sz w:val="22"/>
              </w:rPr>
              <w:t>.1</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踏勘现场</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不组织</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□组织，踏勘时间：</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1.</w:t>
            </w:r>
            <w:r>
              <w:rPr>
                <w:rFonts w:hint="eastAsia" w:cs="Calibri" w:asciiTheme="minorEastAsia" w:hAnsiTheme="minorEastAsia"/>
                <w:kern w:val="0"/>
                <w:sz w:val="22"/>
              </w:rPr>
              <w:t>10</w:t>
            </w:r>
          </w:p>
        </w:tc>
        <w:tc>
          <w:tcPr>
            <w:tcW w:w="2004" w:type="dxa"/>
            <w:vAlign w:val="center"/>
          </w:tcPr>
          <w:p>
            <w:pPr>
              <w:autoSpaceDE w:val="0"/>
              <w:autoSpaceDN w:val="0"/>
              <w:adjustRightInd w:val="0"/>
              <w:snapToGrid w:val="0"/>
              <w:jc w:val="center"/>
              <w:rPr>
                <w:rFonts w:cs="Calibri" w:asciiTheme="minorEastAsia" w:hAnsiTheme="minorEastAsia"/>
                <w:kern w:val="0"/>
                <w:sz w:val="22"/>
              </w:rPr>
            </w:pPr>
            <w:r>
              <w:rPr>
                <w:rFonts w:cs="Calibri" w:asciiTheme="minorEastAsia" w:hAnsiTheme="minorEastAsia"/>
                <w:kern w:val="0"/>
                <w:sz w:val="22"/>
              </w:rPr>
              <w:t>投标预备会</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sym w:font="Wingdings" w:char="F0FE"/>
            </w:r>
            <w:r>
              <w:rPr>
                <w:rFonts w:cs="Calibri" w:asciiTheme="minorEastAsia" w:hAnsiTheme="minorEastAsia"/>
                <w:kern w:val="0"/>
                <w:sz w:val="22"/>
              </w:rPr>
              <w:t>不召开</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□召开，召开时间：</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201</w:t>
            </w:r>
            <w:r>
              <w:rPr>
                <w:rFonts w:hint="eastAsia" w:cs="Calibri" w:asciiTheme="minorEastAsia" w:hAnsiTheme="minorEastAsia"/>
                <w:kern w:val="0"/>
                <w:sz w:val="22"/>
              </w:rPr>
              <w:t>9</w:t>
            </w:r>
            <w:r>
              <w:rPr>
                <w:rFonts w:cs="Calibri" w:asciiTheme="minorEastAsia" w:hAnsiTheme="minorEastAsia"/>
                <w:kern w:val="0"/>
                <w:sz w:val="22"/>
              </w:rPr>
              <w:t>年</w:t>
            </w:r>
            <w:r>
              <w:rPr>
                <w:rFonts w:hint="eastAsia" w:cs="Calibri" w:asciiTheme="minorEastAsia" w:hAnsiTheme="minorEastAsia"/>
                <w:kern w:val="0"/>
                <w:sz w:val="22"/>
                <w:lang w:val="en-US" w:eastAsia="zh-CN"/>
              </w:rPr>
              <w:t>8</w:t>
            </w:r>
            <w:r>
              <w:rPr>
                <w:rFonts w:cs="Calibri" w:asciiTheme="minorEastAsia" w:hAnsiTheme="minorEastAsia"/>
                <w:kern w:val="0"/>
                <w:sz w:val="22"/>
              </w:rPr>
              <w:t>月</w:t>
            </w:r>
            <w:r>
              <w:rPr>
                <w:rFonts w:hint="eastAsia" w:cs="Calibri" w:asciiTheme="minorEastAsia" w:hAnsiTheme="minorEastAsia"/>
                <w:kern w:val="0"/>
                <w:sz w:val="22"/>
                <w:lang w:val="en-US" w:eastAsia="zh-CN"/>
              </w:rPr>
              <w:t>29</w:t>
            </w:r>
            <w:r>
              <w:rPr>
                <w:rFonts w:cs="Calibri" w:asciiTheme="minorEastAsia" w:hAnsiTheme="minorEastAsia"/>
                <w:kern w:val="0"/>
                <w:sz w:val="22"/>
              </w:rPr>
              <w:t>日11：30前，</w:t>
            </w:r>
            <w:r>
              <w:rPr>
                <w:rFonts w:hint="eastAsia" w:ascii="宋体" w:hAnsi="宋体" w:cs="Calibri"/>
                <w:color w:val="000000" w:themeColor="text1"/>
                <w:kern w:val="0"/>
                <w:sz w:val="22"/>
                <w14:textFill>
                  <w14:solidFill>
                    <w14:schemeClr w14:val="tx1"/>
                  </w14:solidFill>
                </w14:textFill>
              </w:rPr>
              <w:t>以书面加盖公章的形式通过E-mail或传真提交给招标人（投标联系人:贾思勰，电话0571-83837612；传真：0571-83837612；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cs="Calibri" w:asciiTheme="minorEastAsia" w:hAnsiTheme="minorEastAsia"/>
                <w:b/>
                <w:kern w:val="0"/>
                <w:sz w:val="22"/>
              </w:rPr>
            </w:pPr>
            <w:r>
              <w:rPr>
                <w:rFonts w:hint="eastAsia" w:cs="Calibri" w:asciiTheme="minorEastAsia" w:hAnsiTheme="minorEastAsia"/>
                <w:b/>
                <w:kern w:val="0"/>
                <w:sz w:val="22"/>
              </w:rPr>
              <w:t>2019年</w:t>
            </w:r>
            <w:r>
              <w:rPr>
                <w:rFonts w:hint="eastAsia" w:cs="Calibri" w:asciiTheme="minorEastAsia" w:hAnsiTheme="minorEastAsia"/>
                <w:b/>
                <w:kern w:val="0"/>
                <w:sz w:val="22"/>
                <w:lang w:val="en-US" w:eastAsia="zh-CN"/>
              </w:rPr>
              <w:t>9</w:t>
            </w:r>
            <w:r>
              <w:rPr>
                <w:rFonts w:hint="eastAsia" w:cs="Calibri" w:asciiTheme="minorEastAsia" w:hAnsiTheme="minorEastAsia"/>
                <w:b/>
                <w:kern w:val="0"/>
                <w:sz w:val="22"/>
              </w:rPr>
              <w:t>月</w:t>
            </w:r>
            <w:r>
              <w:rPr>
                <w:rFonts w:hint="eastAsia" w:cs="Calibri" w:asciiTheme="minorEastAsia" w:hAnsiTheme="minorEastAsia"/>
                <w:b/>
                <w:kern w:val="0"/>
                <w:sz w:val="22"/>
                <w:lang w:val="en-US" w:eastAsia="zh-CN"/>
              </w:rPr>
              <w:t>5</w:t>
            </w:r>
            <w:r>
              <w:rPr>
                <w:rFonts w:hint="eastAsia" w:cs="Calibri" w:asciiTheme="minorEastAsia" w:hAnsiTheme="minorEastAsia"/>
                <w:b/>
                <w:kern w:val="0"/>
                <w:sz w:val="22"/>
              </w:rPr>
              <w:t>日下午</w:t>
            </w:r>
            <w:r>
              <w:rPr>
                <w:rFonts w:hint="eastAsia" w:cs="Calibri" w:asciiTheme="minorEastAsia" w:hAnsiTheme="minorEastAsia"/>
                <w:b/>
                <w:kern w:val="0"/>
                <w:sz w:val="22"/>
                <w:lang w:val="en-US" w:eastAsia="zh-CN"/>
              </w:rPr>
              <w:t>14</w:t>
            </w:r>
            <w:r>
              <w:rPr>
                <w:rFonts w:hint="eastAsia" w:cs="Calibri" w:asciiTheme="minorEastAsia" w:hAnsiTheme="minorEastAsia"/>
                <w:b/>
                <w:kern w:val="0"/>
                <w:sz w:val="22"/>
              </w:rPr>
              <w:t>时</w:t>
            </w:r>
            <w:r>
              <w:rPr>
                <w:rFonts w:hint="eastAsia" w:cs="Calibri" w:asciiTheme="minorEastAsia" w:hAnsiTheme="minorEastAsia"/>
                <w:b/>
                <w:kern w:val="0"/>
                <w:sz w:val="22"/>
                <w:lang w:val="en-US" w:eastAsia="zh-CN"/>
              </w:rPr>
              <w:t>00</w:t>
            </w:r>
            <w:r>
              <w:rPr>
                <w:rFonts w:hint="eastAsia" w:cs="Calibri" w:asciiTheme="minorEastAsia" w:hAnsiTheme="minorEastAsia"/>
                <w:b/>
                <w:kern w:val="0"/>
                <w:sz w:val="22"/>
              </w:rPr>
              <w:t>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snapToGrid w:val="0"/>
              <w:rPr>
                <w:rFonts w:ascii="宋体" w:hAnsi="宋体"/>
                <w:sz w:val="22"/>
              </w:rPr>
            </w:pPr>
            <w:r>
              <w:rPr>
                <w:rFonts w:hint="eastAsia" w:ascii="宋体" w:hAnsi="宋体"/>
                <w:sz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b/>
                <w:kern w:val="0"/>
                <w:sz w:val="22"/>
              </w:rPr>
              <w:t>投标文件封面（或扉页）、投标函以及各类报价表</w:t>
            </w:r>
            <w:r>
              <w:rPr>
                <w:rFonts w:cs="Calibri" w:asciiTheme="minorEastAsia" w:hAnsiTheme="minorEastAsia"/>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招标人的地址：</w:t>
            </w:r>
            <w:r>
              <w:rPr>
                <w:rFonts w:hint="eastAsia" w:asciiTheme="minorEastAsia" w:hAnsiTheme="minorEastAsia"/>
                <w:sz w:val="22"/>
                <w:u w:val="single"/>
              </w:rPr>
              <w:t>杭州萧山国际机场内</w:t>
            </w:r>
          </w:p>
          <w:p>
            <w:pPr>
              <w:autoSpaceDE w:val="0"/>
              <w:autoSpaceDN w:val="0"/>
              <w:adjustRightInd w:val="0"/>
              <w:snapToGrid w:val="0"/>
              <w:rPr>
                <w:rFonts w:hint="eastAsia" w:cs="Arial" w:asciiTheme="minorEastAsia" w:hAnsiTheme="minorEastAsia"/>
                <w:color w:val="000000" w:themeColor="text1"/>
                <w:kern w:val="0"/>
                <w:sz w:val="22"/>
                <w14:textFill>
                  <w14:solidFill>
                    <w14:schemeClr w14:val="tx1"/>
                  </w14:solidFill>
                </w14:textFill>
              </w:rPr>
            </w:pPr>
            <w:r>
              <w:rPr>
                <w:rFonts w:cs="Calibri" w:asciiTheme="minorEastAsia" w:hAnsiTheme="minorEastAsia"/>
                <w:kern w:val="0"/>
                <w:sz w:val="22"/>
              </w:rPr>
              <w:t>招标人名称：</w:t>
            </w:r>
            <w:r>
              <w:rPr>
                <w:rFonts w:hint="eastAsia" w:cs="Arial" w:asciiTheme="minorEastAsia" w:hAnsiTheme="minorEastAsia"/>
                <w:color w:val="000000" w:themeColor="text1"/>
                <w:kern w:val="0"/>
                <w:sz w:val="22"/>
                <w14:textFill>
                  <w14:solidFill>
                    <w14:schemeClr w14:val="tx1"/>
                  </w14:solidFill>
                </w14:textFill>
              </w:rPr>
              <w:t>浙江省机场集团有限公司</w:t>
            </w:r>
          </w:p>
          <w:p>
            <w:pPr>
              <w:widowControl/>
              <w:autoSpaceDE/>
              <w:autoSpaceDN/>
              <w:adjustRightInd/>
              <w:snapToGrid w:val="0"/>
              <w:spacing w:line="340" w:lineRule="exact"/>
              <w:jc w:val="left"/>
              <w:rPr>
                <w:rFonts w:ascii="Arial" w:hAnsi="Arial" w:cs="Arial"/>
                <w:bCs/>
                <w:kern w:val="0"/>
                <w:sz w:val="22"/>
              </w:rPr>
            </w:pPr>
            <w:r>
              <w:rPr>
                <w:rFonts w:hint="eastAsia"/>
                <w:b/>
                <w:sz w:val="22"/>
              </w:rPr>
              <w:t>每个标项独立封套，不可多个标项混装。</w:t>
            </w:r>
          </w:p>
          <w:p>
            <w:pPr>
              <w:autoSpaceDE w:val="0"/>
              <w:autoSpaceDN w:val="0"/>
              <w:adjustRightInd w:val="0"/>
              <w:snapToGrid w:val="0"/>
              <w:rPr>
                <w:rFonts w:cs="Calibri" w:asciiTheme="minorEastAsia" w:hAnsiTheme="minorEastAsia"/>
                <w:kern w:val="0"/>
                <w:sz w:val="22"/>
              </w:rPr>
            </w:pPr>
            <w:r>
              <w:rPr>
                <w:rFonts w:hint="eastAsia" w:cs="宋体" w:asciiTheme="minorEastAsia" w:hAnsiTheme="minorEastAsia"/>
                <w:sz w:val="22"/>
              </w:rPr>
              <w:t>项目名称：</w:t>
            </w:r>
            <w:r>
              <w:rPr>
                <w:rFonts w:hint="eastAsia" w:cs="Arial" w:asciiTheme="minorEastAsia" w:hAnsiTheme="minorEastAsia"/>
                <w:color w:val="000000" w:themeColor="text1"/>
                <w:kern w:val="0"/>
                <w:sz w:val="22"/>
                <w:u w:val="single"/>
                <w14:textFill>
                  <w14:solidFill>
                    <w14:schemeClr w14:val="tx1"/>
                  </w14:solidFill>
                </w14:textFill>
              </w:rPr>
              <w:t>浙江省机场集团有限公司</w:t>
            </w:r>
            <w:r>
              <w:rPr>
                <w:rFonts w:hint="eastAsia" w:cs="Calibri" w:asciiTheme="minorEastAsia" w:hAnsiTheme="minorEastAsia"/>
                <w:kern w:val="0"/>
                <w:sz w:val="22"/>
                <w:u w:val="single"/>
              </w:rPr>
              <w:t>安检X射线机采购</w:t>
            </w:r>
            <w:r>
              <w:rPr>
                <w:rFonts w:cs="Calibri" w:asciiTheme="minorEastAsia" w:hAnsiTheme="minorEastAsia"/>
                <w:kern w:val="0"/>
                <w:sz w:val="22"/>
                <w:u w:val="single"/>
              </w:rPr>
              <w:t>项目</w:t>
            </w:r>
            <w:r>
              <w:rPr>
                <w:rFonts w:hint="eastAsia" w:cs="宋体" w:asciiTheme="minorEastAsia" w:hAnsiTheme="minorEastAsia"/>
                <w:sz w:val="22"/>
              </w:rPr>
              <w:t>投标文件</w:t>
            </w:r>
          </w:p>
          <w:p>
            <w:pPr>
              <w:autoSpaceDE w:val="0"/>
              <w:autoSpaceDN w:val="0"/>
              <w:adjustRightInd w:val="0"/>
              <w:snapToGrid w:val="0"/>
              <w:rPr>
                <w:rFonts w:cs="Calibri" w:asciiTheme="minorEastAsia" w:hAnsiTheme="minorEastAsia"/>
                <w:kern w:val="0"/>
                <w:sz w:val="22"/>
              </w:rPr>
            </w:pPr>
            <w:r>
              <w:rPr>
                <w:rFonts w:cs="Calibri" w:asciiTheme="minorEastAsia" w:hAnsiTheme="minorEastAsia"/>
                <w:kern w:val="0"/>
                <w:sz w:val="22"/>
              </w:rPr>
              <w:t>在</w:t>
            </w:r>
            <w:r>
              <w:rPr>
                <w:rFonts w:hint="eastAsia" w:ascii="宋体" w:hAnsi="宋体" w:cs="Arial"/>
                <w:kern w:val="0"/>
                <w:sz w:val="22"/>
              </w:rPr>
              <w:t>2019年</w:t>
            </w:r>
            <w:r>
              <w:rPr>
                <w:rFonts w:hint="eastAsia" w:ascii="宋体" w:hAnsi="宋体" w:cs="Arial"/>
                <w:kern w:val="0"/>
                <w:sz w:val="22"/>
                <w:lang w:val="en-US" w:eastAsia="zh-CN"/>
              </w:rPr>
              <w:t>9</w:t>
            </w:r>
            <w:r>
              <w:rPr>
                <w:rFonts w:hint="eastAsia" w:ascii="宋体" w:hAnsi="宋体" w:cs="Arial"/>
                <w:kern w:val="0"/>
                <w:sz w:val="22"/>
              </w:rPr>
              <w:t>月</w:t>
            </w:r>
            <w:r>
              <w:rPr>
                <w:rFonts w:hint="eastAsia" w:ascii="宋体" w:hAnsi="宋体" w:cs="Arial"/>
                <w:kern w:val="0"/>
                <w:sz w:val="22"/>
                <w:lang w:val="en-US" w:eastAsia="zh-CN"/>
              </w:rPr>
              <w:t>5</w:t>
            </w:r>
            <w:r>
              <w:rPr>
                <w:rFonts w:hint="eastAsia" w:ascii="宋体" w:hAnsi="宋体" w:cs="Arial"/>
                <w:kern w:val="0"/>
                <w:sz w:val="22"/>
              </w:rPr>
              <w:t>日下午</w:t>
            </w:r>
            <w:r>
              <w:rPr>
                <w:rFonts w:hint="eastAsia" w:ascii="宋体" w:hAnsi="宋体" w:cs="Arial"/>
                <w:kern w:val="0"/>
                <w:sz w:val="22"/>
                <w:lang w:val="en-US" w:eastAsia="zh-CN"/>
              </w:rPr>
              <w:t>14</w:t>
            </w:r>
            <w:r>
              <w:rPr>
                <w:rFonts w:hint="eastAsia" w:ascii="宋体" w:hAnsi="宋体" w:cs="Arial"/>
                <w:kern w:val="0"/>
                <w:sz w:val="22"/>
              </w:rPr>
              <w:t>时</w:t>
            </w:r>
            <w:r>
              <w:rPr>
                <w:rFonts w:hint="eastAsia" w:ascii="宋体" w:hAnsi="宋体" w:cs="Arial"/>
                <w:kern w:val="0"/>
                <w:sz w:val="22"/>
                <w:lang w:val="en-US" w:eastAsia="zh-CN"/>
              </w:rPr>
              <w:t>00</w:t>
            </w:r>
            <w:r>
              <w:rPr>
                <w:rFonts w:hint="eastAsia" w:ascii="宋体" w:hAnsi="宋体" w:cs="Arial"/>
                <w:kern w:val="0"/>
                <w:sz w:val="22"/>
              </w:rPr>
              <w:t>分</w:t>
            </w:r>
            <w:r>
              <w:rPr>
                <w:rFonts w:cs="Calibri" w:asciiTheme="minorEastAsia" w:hAnsiTheme="minorEastAsia"/>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cs="Calibri" w:asciiTheme="minorEastAsia" w:hAnsiTheme="minorEastAsia"/>
                <w:kern w:val="0"/>
                <w:sz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47"/>
              <w:rPr>
                <w:rFonts w:cs="Calibri" w:asciiTheme="minorEastAsia" w:hAnsiTheme="minorEastAsia" w:eastAsiaTheme="minorEastAsia"/>
                <w:sz w:val="22"/>
                <w:szCs w:val="22"/>
              </w:rPr>
            </w:pPr>
            <w:r>
              <w:rPr>
                <w:rFonts w:cs="Calibri" w:asciiTheme="minorEastAsia" w:hAnsiTheme="minorEastAsia" w:eastAsiaTheme="minorEastAsia"/>
                <w:sz w:val="22"/>
                <w:szCs w:val="22"/>
              </w:rPr>
              <w:t>其他</w:t>
            </w:r>
          </w:p>
        </w:tc>
        <w:tc>
          <w:tcPr>
            <w:tcW w:w="6487" w:type="dxa"/>
            <w:shd w:val="clear" w:color="auto" w:fill="FFFFFF"/>
            <w:vAlign w:val="center"/>
          </w:tcPr>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cs="Calibri" w:asciiTheme="minorEastAsia" w:hAnsiTheme="minorEastAsia"/>
                <w:snapToGrid w:val="0"/>
                <w:kern w:val="0"/>
                <w:sz w:val="22"/>
              </w:rPr>
            </w:pPr>
            <w:r>
              <w:rPr>
                <w:rFonts w:cs="Calibri" w:asciiTheme="minorEastAsia" w:hAnsiTheme="minorEastAsia"/>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47"/>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tc>
      </w:tr>
    </w:tbl>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1.总则</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1.1 项目概况</w:t>
      </w:r>
    </w:p>
    <w:p>
      <w:pPr>
        <w:adjustRightInd w:val="0"/>
        <w:snapToGrid w:val="0"/>
        <w:spacing w:line="360" w:lineRule="exact"/>
        <w:ind w:firstLine="440"/>
        <w:rPr>
          <w:rFonts w:cs="Calibri" w:asciiTheme="minorEastAsia" w:hAnsiTheme="minorEastAsia"/>
          <w:color w:val="000000"/>
          <w:kern w:val="0"/>
          <w:sz w:val="22"/>
        </w:rPr>
      </w:pPr>
      <w:r>
        <w:rPr>
          <w:rFonts w:cs="Calibri" w:asciiTheme="minorEastAsia" w:hAnsiTheme="minorEastAsia"/>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1.1.2项目</w:t>
      </w:r>
      <w:r>
        <w:rPr>
          <w:rFonts w:hint="eastAsia" w:cs="Calibri" w:asciiTheme="minorEastAsia" w:hAnsiTheme="minorEastAsia"/>
          <w:color w:val="000000"/>
          <w:kern w:val="0"/>
          <w:sz w:val="22"/>
        </w:rPr>
        <w:t>交货</w:t>
      </w:r>
      <w:r>
        <w:rPr>
          <w:rFonts w:cs="Calibri" w:asciiTheme="minorEastAsia" w:hAnsiTheme="minorEastAsia"/>
          <w:color w:val="000000"/>
          <w:kern w:val="0"/>
          <w:sz w:val="22"/>
        </w:rPr>
        <w:t>地点见投标人须知前附表</w:t>
      </w:r>
      <w:r>
        <w:rPr>
          <w:rFonts w:cs="Calibri" w:asciiTheme="minorEastAsia" w:hAnsiTheme="minorEastAsia"/>
          <w:color w:val="000000"/>
          <w:sz w:val="22"/>
        </w:rPr>
        <w:t>。</w:t>
      </w:r>
    </w:p>
    <w:p>
      <w:pPr>
        <w:autoSpaceDE w:val="0"/>
        <w:autoSpaceDN w:val="0"/>
        <w:adjustRightInd w:val="0"/>
        <w:snapToGrid w:val="0"/>
        <w:spacing w:line="360" w:lineRule="exact"/>
        <w:rPr>
          <w:rFonts w:cs="Calibri" w:asciiTheme="minorEastAsia" w:hAnsiTheme="minorEastAsia"/>
          <w:b/>
          <w:bCs/>
          <w:kern w:val="0"/>
          <w:sz w:val="22"/>
        </w:rPr>
      </w:pPr>
      <w:bookmarkStart w:id="4" w:name="_Toc9136"/>
      <w:r>
        <w:rPr>
          <w:rFonts w:cs="Calibri" w:asciiTheme="minorEastAsia" w:hAnsiTheme="minorEastAsia"/>
          <w:b/>
          <w:bCs/>
          <w:kern w:val="0"/>
          <w:sz w:val="22"/>
        </w:rPr>
        <w:t>1.</w:t>
      </w:r>
      <w:r>
        <w:rPr>
          <w:rFonts w:hint="eastAsia" w:cs="Calibri" w:asciiTheme="minorEastAsia" w:hAnsiTheme="minorEastAsia"/>
          <w:b/>
          <w:bCs/>
          <w:kern w:val="0"/>
          <w:sz w:val="22"/>
        </w:rPr>
        <w:t>2</w:t>
      </w:r>
      <w:r>
        <w:rPr>
          <w:rFonts w:cs="Calibri" w:asciiTheme="minorEastAsia" w:hAnsiTheme="minorEastAsia"/>
          <w:b/>
          <w:bCs/>
          <w:kern w:val="0"/>
          <w:sz w:val="22"/>
        </w:rPr>
        <w:t xml:space="preserve"> 资金来源</w:t>
      </w:r>
      <w:bookmarkEnd w:id="4"/>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5" w:name="_Toc10673"/>
      <w:r>
        <w:rPr>
          <w:rFonts w:cs="Calibri" w:asciiTheme="minorEastAsia" w:hAnsiTheme="minorEastAsia"/>
          <w:b/>
          <w:bCs/>
          <w:kern w:val="0"/>
          <w:sz w:val="22"/>
        </w:rPr>
        <w:t>1.</w:t>
      </w:r>
      <w:r>
        <w:rPr>
          <w:rFonts w:hint="eastAsia" w:cs="Calibri" w:asciiTheme="minorEastAsia" w:hAnsiTheme="minorEastAsia"/>
          <w:b/>
          <w:bCs/>
          <w:kern w:val="0"/>
          <w:sz w:val="22"/>
        </w:rPr>
        <w:t>3</w:t>
      </w:r>
      <w:r>
        <w:rPr>
          <w:rFonts w:cs="Calibri" w:asciiTheme="minorEastAsia" w:hAnsiTheme="minorEastAsia"/>
          <w:b/>
          <w:bCs/>
          <w:kern w:val="0"/>
          <w:sz w:val="22"/>
        </w:rPr>
        <w:t xml:space="preserve"> 招标</w:t>
      </w:r>
      <w:bookmarkEnd w:id="5"/>
      <w:r>
        <w:rPr>
          <w:rFonts w:hint="eastAsia" w:cs="Calibri" w:asciiTheme="minorEastAsia" w:hAnsiTheme="minorEastAsia"/>
          <w:b/>
          <w:bCs/>
          <w:kern w:val="0"/>
          <w:sz w:val="22"/>
        </w:rPr>
        <w:t>内容</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6" w:name="_Toc718"/>
      <w:r>
        <w:rPr>
          <w:rFonts w:cs="Calibri" w:asciiTheme="minorEastAsia" w:hAnsiTheme="minorEastAsia"/>
          <w:b/>
          <w:bCs/>
          <w:kern w:val="0"/>
          <w:sz w:val="22"/>
        </w:rPr>
        <w:t>1.</w:t>
      </w:r>
      <w:r>
        <w:rPr>
          <w:rFonts w:hint="eastAsia" w:cs="Calibri" w:asciiTheme="minorEastAsia" w:hAnsiTheme="minorEastAsia"/>
          <w:b/>
          <w:bCs/>
          <w:kern w:val="0"/>
          <w:sz w:val="22"/>
        </w:rPr>
        <w:t>4</w:t>
      </w:r>
      <w:r>
        <w:rPr>
          <w:rFonts w:cs="Calibri" w:asciiTheme="minorEastAsia" w:hAnsiTheme="minorEastAsia"/>
          <w:b/>
          <w:bCs/>
          <w:kern w:val="0"/>
          <w:sz w:val="22"/>
        </w:rPr>
        <w:t xml:space="preserve"> 招标方式</w:t>
      </w:r>
      <w:bookmarkEnd w:id="6"/>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7" w:name="_Toc9161"/>
      <w:r>
        <w:rPr>
          <w:rFonts w:cs="Calibri" w:asciiTheme="minorEastAsia" w:hAnsiTheme="minorEastAsia"/>
          <w:b/>
          <w:bCs/>
          <w:kern w:val="0"/>
          <w:sz w:val="22"/>
        </w:rPr>
        <w:t>1.</w:t>
      </w:r>
      <w:r>
        <w:rPr>
          <w:rFonts w:hint="eastAsia" w:cs="Calibri" w:asciiTheme="minorEastAsia" w:hAnsiTheme="minorEastAsia"/>
          <w:b/>
          <w:bCs/>
          <w:kern w:val="0"/>
          <w:sz w:val="22"/>
        </w:rPr>
        <w:t xml:space="preserve">5 </w:t>
      </w:r>
      <w:r>
        <w:rPr>
          <w:rFonts w:cs="Calibri" w:asciiTheme="minorEastAsia" w:hAnsiTheme="minorEastAsia"/>
          <w:b/>
          <w:bCs/>
          <w:kern w:val="0"/>
          <w:sz w:val="22"/>
        </w:rPr>
        <w:t>资格审查</w:t>
      </w:r>
      <w:bookmarkEnd w:id="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8" w:name="_Toc13012"/>
      <w:r>
        <w:rPr>
          <w:rFonts w:cs="Calibri" w:asciiTheme="minorEastAsia" w:hAnsiTheme="minorEastAsia"/>
          <w:b/>
          <w:bCs/>
          <w:kern w:val="0"/>
          <w:sz w:val="22"/>
        </w:rPr>
        <w:t>1.</w:t>
      </w:r>
      <w:r>
        <w:rPr>
          <w:rFonts w:hint="eastAsia" w:cs="Calibri" w:asciiTheme="minorEastAsia" w:hAnsiTheme="minorEastAsia"/>
          <w:b/>
          <w:bCs/>
          <w:kern w:val="0"/>
          <w:sz w:val="22"/>
        </w:rPr>
        <w:t>6</w:t>
      </w:r>
      <w:r>
        <w:rPr>
          <w:rFonts w:cs="Calibri" w:asciiTheme="minorEastAsia" w:hAnsiTheme="minorEastAsia"/>
          <w:b/>
          <w:bCs/>
          <w:kern w:val="0"/>
          <w:sz w:val="22"/>
        </w:rPr>
        <w:t xml:space="preserve"> 投标人资质条件、能力和信誉</w:t>
      </w:r>
      <w:bookmarkEnd w:id="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9" w:name="_Toc2796"/>
      <w:r>
        <w:rPr>
          <w:rFonts w:cs="Calibri" w:asciiTheme="minorEastAsia" w:hAnsiTheme="minorEastAsia"/>
          <w:b/>
          <w:bCs/>
          <w:kern w:val="0"/>
          <w:sz w:val="22"/>
        </w:rPr>
        <w:t>1.</w:t>
      </w:r>
      <w:r>
        <w:rPr>
          <w:rFonts w:hint="eastAsia" w:cs="Calibri" w:asciiTheme="minorEastAsia" w:hAnsiTheme="minorEastAsia"/>
          <w:b/>
          <w:bCs/>
          <w:kern w:val="0"/>
          <w:sz w:val="22"/>
        </w:rPr>
        <w:t>7供货</w:t>
      </w:r>
      <w:r>
        <w:rPr>
          <w:rFonts w:cs="Calibri" w:asciiTheme="minorEastAsia" w:hAnsiTheme="minorEastAsia"/>
          <w:b/>
          <w:bCs/>
          <w:kern w:val="0"/>
          <w:sz w:val="22"/>
        </w:rPr>
        <w:t>期</w:t>
      </w:r>
      <w:bookmarkEnd w:id="9"/>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hint="eastAsia" w:cs="Calibri" w:asciiTheme="minorEastAsia" w:hAnsiTheme="minorEastAsia"/>
          <w:b/>
          <w:bCs/>
          <w:kern w:val="0"/>
          <w:sz w:val="22"/>
        </w:rPr>
        <w:t>1.8 质量要求</w:t>
      </w:r>
    </w:p>
    <w:p>
      <w:pPr>
        <w:adjustRightInd w:val="0"/>
        <w:snapToGrid w:val="0"/>
        <w:spacing w:line="360" w:lineRule="exact"/>
        <w:ind w:firstLine="440"/>
        <w:rPr>
          <w:rFonts w:cs="Calibri" w:asciiTheme="minorEastAsia" w:hAnsiTheme="minorEastAsia"/>
          <w:color w:val="000000"/>
          <w:sz w:val="22"/>
        </w:rPr>
      </w:pPr>
      <w:bookmarkStart w:id="10" w:name="_Toc13907"/>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r>
        <w:rPr>
          <w:rFonts w:cs="Calibri" w:asciiTheme="minorEastAsia" w:hAnsiTheme="minorEastAsia"/>
          <w:b/>
          <w:bCs/>
          <w:kern w:val="0"/>
          <w:sz w:val="22"/>
        </w:rPr>
        <w:t>1.</w:t>
      </w:r>
      <w:r>
        <w:rPr>
          <w:rFonts w:hint="eastAsia" w:cs="Calibri" w:asciiTheme="minorEastAsia" w:hAnsiTheme="minorEastAsia"/>
          <w:b/>
          <w:bCs/>
          <w:kern w:val="0"/>
          <w:sz w:val="22"/>
        </w:rPr>
        <w:t>9</w:t>
      </w:r>
      <w:r>
        <w:rPr>
          <w:rFonts w:cs="Calibri" w:asciiTheme="minorEastAsia" w:hAnsiTheme="minorEastAsia"/>
          <w:b/>
          <w:bCs/>
          <w:kern w:val="0"/>
          <w:sz w:val="22"/>
        </w:rPr>
        <w:t xml:space="preserve"> 踏勘现场</w:t>
      </w:r>
      <w:bookmarkEnd w:id="10"/>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sz w:val="22"/>
        </w:rPr>
        <w:t>1.</w:t>
      </w:r>
      <w:r>
        <w:rPr>
          <w:rFonts w:hint="eastAsia" w:cs="Calibri" w:asciiTheme="minorEastAsia" w:hAnsiTheme="minorEastAsia"/>
          <w:sz w:val="22"/>
        </w:rPr>
        <w:t>9</w:t>
      </w:r>
      <w:r>
        <w:rPr>
          <w:rFonts w:cs="Calibri" w:asciiTheme="minorEastAsia" w:hAnsiTheme="minorEastAsia"/>
          <w:sz w:val="22"/>
        </w:rPr>
        <w:t>.1</w:t>
      </w:r>
      <w:r>
        <w:rPr>
          <w:rFonts w:hint="eastAsia" w:cs="Calibri" w:asciiTheme="minorEastAsia" w:hAnsiTheme="minorEastAsia"/>
          <w:sz w:val="22"/>
        </w:rPr>
        <w:t xml:space="preserve"> </w:t>
      </w:r>
      <w:r>
        <w:rPr>
          <w:rFonts w:cs="Calibri" w:asciiTheme="minorEastAsia" w:hAnsiTheme="minorEastAsia"/>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.2 投标人踏勘现场发生的费用自理。</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.3 投标人自行负责在踏勘现场中所发生的人员伤亡和财产损失。</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1.</w:t>
      </w:r>
      <w:r>
        <w:rPr>
          <w:rFonts w:hint="eastAsia" w:cs="Calibri" w:asciiTheme="minorEastAsia" w:hAnsiTheme="minorEastAsia"/>
          <w:color w:val="000000"/>
          <w:sz w:val="22"/>
        </w:rPr>
        <w:t>9</w:t>
      </w:r>
      <w:r>
        <w:rPr>
          <w:rFonts w:cs="Calibri" w:asciiTheme="minorEastAsia" w:hAnsiTheme="minorEastAsia"/>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cs="Calibri" w:asciiTheme="minorEastAsia" w:hAnsiTheme="minorEastAsia"/>
          <w:b/>
          <w:bCs/>
          <w:kern w:val="0"/>
          <w:sz w:val="22"/>
        </w:rPr>
      </w:pPr>
      <w:bookmarkStart w:id="11" w:name="_Toc4199"/>
      <w:r>
        <w:rPr>
          <w:rFonts w:cs="Calibri" w:asciiTheme="minorEastAsia" w:hAnsiTheme="minorEastAsia"/>
          <w:b/>
          <w:bCs/>
          <w:kern w:val="0"/>
          <w:sz w:val="22"/>
        </w:rPr>
        <w:t>1.</w:t>
      </w:r>
      <w:r>
        <w:rPr>
          <w:rFonts w:hint="eastAsia" w:cs="Calibri" w:asciiTheme="minorEastAsia" w:hAnsiTheme="minorEastAsia"/>
          <w:b/>
          <w:bCs/>
          <w:kern w:val="0"/>
          <w:sz w:val="22"/>
        </w:rPr>
        <w:t>10</w:t>
      </w:r>
      <w:r>
        <w:rPr>
          <w:rFonts w:cs="Calibri" w:asciiTheme="minorEastAsia" w:hAnsiTheme="minorEastAsia"/>
          <w:b/>
          <w:bCs/>
          <w:kern w:val="0"/>
          <w:sz w:val="22"/>
        </w:rPr>
        <w:t xml:space="preserve"> 投标预备会</w:t>
      </w:r>
      <w:bookmarkEnd w:id="1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见投标人须知前附表。</w:t>
      </w:r>
    </w:p>
    <w:p>
      <w:pPr>
        <w:autoSpaceDE w:val="0"/>
        <w:autoSpaceDN w:val="0"/>
        <w:adjustRightInd w:val="0"/>
        <w:snapToGrid w:val="0"/>
        <w:spacing w:line="360" w:lineRule="exact"/>
        <w:rPr>
          <w:rFonts w:cs="Calibri" w:asciiTheme="minorEastAsia" w:hAnsiTheme="minorEastAsia"/>
          <w:b/>
          <w:bCs/>
          <w:kern w:val="0"/>
          <w:sz w:val="22"/>
        </w:rPr>
      </w:pPr>
      <w:bookmarkStart w:id="12" w:name="_Toc4584"/>
      <w:r>
        <w:rPr>
          <w:rFonts w:cs="Calibri" w:asciiTheme="minorEastAsia" w:hAnsiTheme="minorEastAsia"/>
          <w:b/>
          <w:bCs/>
          <w:kern w:val="0"/>
          <w:sz w:val="22"/>
        </w:rPr>
        <w:t>1.1</w:t>
      </w:r>
      <w:r>
        <w:rPr>
          <w:rFonts w:hint="eastAsia" w:cs="Calibri" w:asciiTheme="minorEastAsia" w:hAnsiTheme="minorEastAsia"/>
          <w:b/>
          <w:bCs/>
          <w:kern w:val="0"/>
          <w:sz w:val="22"/>
        </w:rPr>
        <w:t>1</w:t>
      </w:r>
      <w:r>
        <w:rPr>
          <w:rFonts w:cs="Calibri" w:asciiTheme="minorEastAsia" w:hAnsiTheme="minorEastAsia"/>
          <w:b/>
          <w:bCs/>
          <w:kern w:val="0"/>
          <w:sz w:val="22"/>
        </w:rPr>
        <w:t xml:space="preserve"> 分包</w:t>
      </w:r>
      <w:bookmarkEnd w:id="12"/>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本项目</w:t>
      </w:r>
      <w:r>
        <w:rPr>
          <w:rFonts w:hint="eastAsia" w:cs="Calibri" w:asciiTheme="minorEastAsia" w:hAnsiTheme="minorEastAsia"/>
          <w:color w:val="000000"/>
          <w:sz w:val="22"/>
        </w:rPr>
        <w:t>涉及到其它专业的部分分项工作</w:t>
      </w:r>
      <w:r>
        <w:rPr>
          <w:rFonts w:cs="Calibri" w:asciiTheme="minorEastAsia" w:hAnsiTheme="minorEastAsia"/>
          <w:color w:val="000000"/>
          <w:sz w:val="22"/>
        </w:rPr>
        <w:t>允许分包。</w:t>
      </w:r>
    </w:p>
    <w:p>
      <w:pPr>
        <w:autoSpaceDE w:val="0"/>
        <w:autoSpaceDN w:val="0"/>
        <w:adjustRightInd w:val="0"/>
        <w:snapToGrid w:val="0"/>
        <w:spacing w:line="360" w:lineRule="exact"/>
        <w:rPr>
          <w:rFonts w:cs="Calibri" w:asciiTheme="minorEastAsia" w:hAnsiTheme="minorEastAsia"/>
          <w:b/>
          <w:bCs/>
          <w:kern w:val="0"/>
          <w:sz w:val="22"/>
        </w:rPr>
      </w:pPr>
      <w:bookmarkStart w:id="13" w:name="_Toc3996"/>
      <w:r>
        <w:rPr>
          <w:rFonts w:cs="Calibri" w:asciiTheme="minorEastAsia" w:hAnsiTheme="minorEastAsia"/>
          <w:b/>
          <w:bCs/>
          <w:kern w:val="0"/>
          <w:sz w:val="22"/>
        </w:rPr>
        <w:t>1.1</w:t>
      </w:r>
      <w:r>
        <w:rPr>
          <w:rFonts w:hint="eastAsia" w:cs="Calibri" w:asciiTheme="minorEastAsia" w:hAnsiTheme="minorEastAsia"/>
          <w:b/>
          <w:bCs/>
          <w:kern w:val="0"/>
          <w:sz w:val="22"/>
        </w:rPr>
        <w:t>2</w:t>
      </w:r>
      <w:r>
        <w:rPr>
          <w:rFonts w:cs="Calibri" w:asciiTheme="minorEastAsia" w:hAnsiTheme="minorEastAsia"/>
          <w:b/>
          <w:bCs/>
          <w:kern w:val="0"/>
          <w:sz w:val="22"/>
        </w:rPr>
        <w:t xml:space="preserve"> 投标费用</w:t>
      </w:r>
      <w:bookmarkEnd w:id="13"/>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投标人在投标过程中的一切费用，不论中标与否，均由投标人自理。</w:t>
      </w:r>
    </w:p>
    <w:p>
      <w:pPr>
        <w:autoSpaceDE w:val="0"/>
        <w:autoSpaceDN w:val="0"/>
        <w:adjustRightInd w:val="0"/>
        <w:snapToGrid w:val="0"/>
        <w:spacing w:line="360" w:lineRule="exact"/>
        <w:rPr>
          <w:rFonts w:cs="Calibri" w:asciiTheme="minorEastAsia" w:hAnsiTheme="minorEastAsia"/>
          <w:b/>
          <w:bCs/>
          <w:kern w:val="0"/>
          <w:sz w:val="22"/>
        </w:rPr>
      </w:pPr>
      <w:bookmarkStart w:id="14" w:name="_Toc15241"/>
      <w:bookmarkStart w:id="15" w:name="_Toc143421657"/>
      <w:r>
        <w:rPr>
          <w:rFonts w:cs="Calibri" w:asciiTheme="minorEastAsia" w:hAnsiTheme="minorEastAsia"/>
          <w:b/>
          <w:bCs/>
          <w:kern w:val="0"/>
          <w:sz w:val="22"/>
        </w:rPr>
        <w:t>2.招标文件</w:t>
      </w:r>
      <w:bookmarkEnd w:id="14"/>
      <w:bookmarkEnd w:id="15"/>
    </w:p>
    <w:p>
      <w:pPr>
        <w:autoSpaceDE w:val="0"/>
        <w:autoSpaceDN w:val="0"/>
        <w:adjustRightInd w:val="0"/>
        <w:snapToGrid w:val="0"/>
        <w:spacing w:line="360" w:lineRule="exact"/>
        <w:rPr>
          <w:rFonts w:cs="Calibri" w:asciiTheme="minorEastAsia" w:hAnsiTheme="minorEastAsia"/>
          <w:b/>
          <w:bCs/>
          <w:kern w:val="0"/>
          <w:sz w:val="22"/>
        </w:rPr>
      </w:pPr>
      <w:bookmarkStart w:id="16" w:name="_Toc1426"/>
      <w:r>
        <w:rPr>
          <w:rFonts w:cs="Calibri" w:asciiTheme="minorEastAsia" w:hAnsiTheme="minorEastAsia"/>
          <w:b/>
          <w:bCs/>
          <w:kern w:val="0"/>
          <w:sz w:val="22"/>
        </w:rPr>
        <w:t>2.1 招标文件的组成</w:t>
      </w:r>
      <w:bookmarkEnd w:id="16"/>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rPr>
          <w:rFonts w:ascii="宋体" w:hAnsi="宋体" w:cs="Calibri"/>
          <w:kern w:val="0"/>
          <w:sz w:val="22"/>
        </w:rPr>
      </w:pPr>
      <w:r>
        <w:rPr>
          <w:rFonts w:ascii="宋体" w:hAnsi="宋体" w:cs="Calibri"/>
          <w:kern w:val="0"/>
          <w:sz w:val="22"/>
        </w:rPr>
        <w:t>（3）货物需求一览表及技术规格</w:t>
      </w:r>
    </w:p>
    <w:p>
      <w:pPr>
        <w:adjustRightInd w:val="0"/>
        <w:snapToGrid w:val="0"/>
        <w:spacing w:line="360" w:lineRule="exact"/>
        <w:ind w:firstLine="440"/>
        <w:rPr>
          <w:rFonts w:ascii="宋体" w:hAnsi="宋体" w:cs="Calibri"/>
          <w:kern w:val="0"/>
          <w:sz w:val="22"/>
        </w:rPr>
      </w:pPr>
      <w:r>
        <w:rPr>
          <w:rFonts w:ascii="宋体" w:hAnsi="宋体" w:cs="Calibri"/>
          <w:kern w:val="0"/>
          <w:sz w:val="22"/>
        </w:rPr>
        <w:t>（4）合同条款</w:t>
      </w:r>
    </w:p>
    <w:p>
      <w:pPr>
        <w:adjustRightInd w:val="0"/>
        <w:snapToGrid w:val="0"/>
        <w:spacing w:line="360" w:lineRule="exact"/>
        <w:ind w:firstLine="440"/>
        <w:rPr>
          <w:rFonts w:ascii="宋体" w:hAnsi="宋体" w:cs="Calibri"/>
          <w:kern w:val="0"/>
          <w:sz w:val="22"/>
        </w:rPr>
      </w:pPr>
      <w:r>
        <w:rPr>
          <w:rFonts w:ascii="宋体" w:hAnsi="宋体" w:cs="Calibri"/>
          <w:kern w:val="0"/>
          <w:sz w:val="22"/>
        </w:rPr>
        <w:t>（5）评标办法</w:t>
      </w:r>
      <w:r>
        <w:rPr>
          <w:rFonts w:hint="eastAsia" w:ascii="宋体" w:hAnsi="宋体" w:cs="Calibri"/>
          <w:kern w:val="0"/>
          <w:sz w:val="22"/>
        </w:rPr>
        <w:t>及标准</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cs="Calibri" w:asciiTheme="minorEastAsia" w:hAnsiTheme="minorEastAsia"/>
          <w:b/>
          <w:bCs/>
          <w:kern w:val="0"/>
          <w:sz w:val="22"/>
        </w:rPr>
      </w:pPr>
      <w:bookmarkStart w:id="17" w:name="_Toc18230"/>
      <w:r>
        <w:rPr>
          <w:rFonts w:cs="Calibri" w:asciiTheme="minorEastAsia" w:hAnsiTheme="minorEastAsia"/>
          <w:b/>
          <w:bCs/>
          <w:kern w:val="0"/>
          <w:sz w:val="22"/>
        </w:rPr>
        <w:t>2.2 招标文件的澄清</w:t>
      </w:r>
      <w:bookmarkEnd w:id="17"/>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2.2.2</w:t>
      </w:r>
      <w:r>
        <w:rPr>
          <w:rFonts w:hint="eastAsia" w:ascii="Calibri" w:hAnsi="Calibri" w:cs="Calibri"/>
          <w:color w:val="000000"/>
          <w:sz w:val="21"/>
          <w:szCs w:val="21"/>
        </w:rPr>
        <w:t>招标人将视情况采用补充公告的方式予以澄清。</w:t>
      </w:r>
    </w:p>
    <w:p>
      <w:pPr>
        <w:autoSpaceDE w:val="0"/>
        <w:autoSpaceDN w:val="0"/>
        <w:adjustRightInd w:val="0"/>
        <w:snapToGrid w:val="0"/>
        <w:spacing w:line="360" w:lineRule="exact"/>
        <w:rPr>
          <w:rFonts w:cs="Calibri" w:asciiTheme="minorEastAsia" w:hAnsiTheme="minorEastAsia"/>
          <w:b/>
          <w:bCs/>
          <w:kern w:val="0"/>
          <w:sz w:val="22"/>
        </w:rPr>
      </w:pPr>
      <w:bookmarkStart w:id="18" w:name="_Toc18303"/>
      <w:r>
        <w:rPr>
          <w:rFonts w:cs="Calibri" w:asciiTheme="minorEastAsia" w:hAnsiTheme="minorEastAsia"/>
          <w:b/>
          <w:bCs/>
          <w:kern w:val="0"/>
          <w:sz w:val="22"/>
        </w:rPr>
        <w:t>2.3 招标文件的修改</w:t>
      </w:r>
      <w:bookmarkEnd w:id="1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kern w:val="0"/>
          <w:sz w:val="22"/>
        </w:rPr>
        <w:t>2.3.1</w:t>
      </w:r>
      <w:r>
        <w:rPr>
          <w:rFonts w:hint="eastAsia" w:cs="Calibri" w:asciiTheme="minorEastAsia" w:hAnsiTheme="minorEastAsia"/>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utoSpaceDE w:val="0"/>
        <w:autoSpaceDN w:val="0"/>
        <w:adjustRightInd w:val="0"/>
        <w:snapToGrid w:val="0"/>
        <w:spacing w:line="360" w:lineRule="exact"/>
        <w:rPr>
          <w:rFonts w:ascii="宋体" w:hAnsi="宋体" w:cs="Calibri"/>
          <w:b/>
          <w:bCs/>
          <w:kern w:val="0"/>
          <w:sz w:val="22"/>
        </w:rPr>
      </w:pPr>
      <w:bookmarkStart w:id="19" w:name="_Toc18870"/>
      <w:bookmarkStart w:id="20" w:name="_Toc143421658"/>
      <w:r>
        <w:rPr>
          <w:rFonts w:ascii="宋体" w:hAnsi="宋体" w:cs="Calibri"/>
          <w:b/>
          <w:bCs/>
          <w:kern w:val="0"/>
          <w:sz w:val="22"/>
        </w:rPr>
        <w:t>3.投标文件</w:t>
      </w:r>
      <w:bookmarkEnd w:id="19"/>
      <w:bookmarkEnd w:id="20"/>
    </w:p>
    <w:p>
      <w:pPr>
        <w:autoSpaceDE w:val="0"/>
        <w:autoSpaceDN w:val="0"/>
        <w:adjustRightInd w:val="0"/>
        <w:snapToGrid w:val="0"/>
        <w:spacing w:line="360" w:lineRule="exact"/>
        <w:rPr>
          <w:rFonts w:ascii="宋体" w:hAnsi="宋体" w:cs="Calibri"/>
          <w:b/>
          <w:bCs/>
          <w:kern w:val="0"/>
          <w:sz w:val="22"/>
        </w:rPr>
      </w:pPr>
      <w:bookmarkStart w:id="21" w:name="_Toc461"/>
      <w:r>
        <w:rPr>
          <w:rFonts w:ascii="宋体" w:hAnsi="宋体" w:cs="Calibri"/>
          <w:b/>
          <w:bCs/>
          <w:kern w:val="0"/>
          <w:sz w:val="22"/>
        </w:rPr>
        <w:t>3.1 投标文件的语言和计量单位</w:t>
      </w:r>
      <w:bookmarkEnd w:id="21"/>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“销售</w:t>
      </w:r>
      <w:r>
        <w:rPr>
          <w:rFonts w:hint="eastAsia" w:ascii="宋体" w:hAnsi="宋体" w:cs="Calibri"/>
          <w:kern w:val="0"/>
          <w:sz w:val="22"/>
        </w:rPr>
        <w:t>（供货）</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2" w:name="_Toc1411"/>
      <w:r>
        <w:rPr>
          <w:rFonts w:ascii="宋体" w:hAnsi="宋体" w:cs="Calibri"/>
          <w:b/>
          <w:bCs/>
          <w:kern w:val="0"/>
          <w:sz w:val="22"/>
        </w:rPr>
        <w:t>3.2 投标文件的组成</w:t>
      </w:r>
      <w:bookmarkEnd w:id="22"/>
    </w:p>
    <w:p>
      <w:pPr>
        <w:spacing w:line="440" w:lineRule="exact"/>
        <w:ind w:firstLine="440" w:firstLineChars="200"/>
        <w:rPr>
          <w:rFonts w:ascii="宋体" w:hAnsi="宋体" w:cs="Calibri"/>
          <w:color w:val="000000"/>
          <w:sz w:val="22"/>
          <w:szCs w:val="22"/>
        </w:rPr>
      </w:pPr>
      <w:bookmarkStart w:id="23" w:name="_Toc32225"/>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3.2.1</w:t>
      </w:r>
      <w:r>
        <w:rPr>
          <w:rFonts w:ascii="宋体" w:hAnsi="宋体" w:cs="Calibri"/>
          <w:sz w:val="22"/>
          <w:szCs w:val="22"/>
        </w:rPr>
        <w:t>投标函；</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3.2.2</w:t>
      </w:r>
      <w:r>
        <w:rPr>
          <w:rFonts w:cs="Calibri" w:asciiTheme="minorEastAsia" w:hAnsiTheme="minorEastAsia"/>
          <w:color w:val="000000"/>
          <w:sz w:val="22"/>
          <w:szCs w:val="22"/>
        </w:rPr>
        <w:t>法定代表人资格证明书；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3.2.3</w:t>
      </w:r>
      <w:r>
        <w:rPr>
          <w:rFonts w:cs="Calibri" w:asciiTheme="minorEastAsia" w:hAnsiTheme="minorEastAsia"/>
          <w:color w:val="000000"/>
          <w:sz w:val="22"/>
          <w:szCs w:val="22"/>
        </w:rPr>
        <w:t>授权委托书；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3.2.4</w:t>
      </w:r>
      <w:r>
        <w:rPr>
          <w:rFonts w:cs="Calibri" w:asciiTheme="minorEastAsia" w:hAnsiTheme="minorEastAsia"/>
          <w:color w:val="000000"/>
          <w:sz w:val="22"/>
          <w:szCs w:val="22"/>
        </w:rPr>
        <w:t>投标报价表；</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3.2.5</w:t>
      </w:r>
      <w:r>
        <w:rPr>
          <w:rFonts w:ascii="宋体" w:hAnsi="宋体" w:cs="Calibri"/>
          <w:sz w:val="22"/>
          <w:szCs w:val="22"/>
        </w:rPr>
        <w:t>投标人资格证明文件：</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3.2.5.1</w:t>
      </w:r>
      <w:r>
        <w:rPr>
          <w:rFonts w:cs="Calibri" w:asciiTheme="minorEastAsia" w:hAnsiTheme="minorEastAsia"/>
          <w:color w:val="000000"/>
          <w:sz w:val="22"/>
          <w:szCs w:val="22"/>
        </w:rPr>
        <w:t>投标人一般情况</w:t>
      </w:r>
      <w:r>
        <w:rPr>
          <w:rFonts w:hint="eastAsia" w:cs="Calibri" w:asciiTheme="minorEastAsia" w:hAnsiTheme="minorEastAsia"/>
          <w:color w:val="000000"/>
          <w:sz w:val="22"/>
          <w:szCs w:val="22"/>
        </w:rPr>
        <w:t>及</w:t>
      </w:r>
      <w:r>
        <w:rPr>
          <w:rFonts w:cs="Calibri" w:asciiTheme="minorEastAsia" w:hAnsiTheme="minorEastAsia"/>
          <w:color w:val="000000"/>
          <w:sz w:val="22"/>
          <w:szCs w:val="22"/>
        </w:rPr>
        <w:t>有关证明投标人法律地位的文件</w:t>
      </w:r>
      <w:r>
        <w:rPr>
          <w:rFonts w:hint="eastAsia" w:ascii="宋体" w:hAnsi="宋体" w:cs="Calibri"/>
          <w:sz w:val="22"/>
          <w:szCs w:val="22"/>
        </w:rPr>
        <w:t>（附营业执照、税务登记证、</w:t>
      </w:r>
      <w:r>
        <w:rPr>
          <w:rFonts w:ascii="宋体" w:hAnsi="宋体" w:cs="Calibri"/>
          <w:sz w:val="22"/>
          <w:szCs w:val="22"/>
        </w:rPr>
        <w:t>一般纳税人证明材料</w:t>
      </w:r>
      <w:r>
        <w:rPr>
          <w:rFonts w:hint="eastAsia" w:ascii="宋体" w:hAnsi="宋体" w:cs="Calibri"/>
          <w:sz w:val="22"/>
          <w:szCs w:val="22"/>
        </w:rPr>
        <w:t>、相关</w:t>
      </w:r>
      <w:r>
        <w:rPr>
          <w:rFonts w:ascii="宋体" w:hAnsi="宋体" w:cs="Calibri"/>
          <w:sz w:val="22"/>
          <w:szCs w:val="22"/>
        </w:rPr>
        <w:t>产品质量认证证书</w:t>
      </w:r>
      <w:r>
        <w:rPr>
          <w:rFonts w:hint="eastAsia" w:ascii="宋体" w:hAnsi="宋体" w:cs="Arial"/>
          <w:kern w:val="0"/>
          <w:sz w:val="22"/>
          <w:szCs w:val="22"/>
        </w:rPr>
        <w:t>、</w:t>
      </w:r>
      <w:r>
        <w:rPr>
          <w:rFonts w:hint="eastAsia" w:ascii="宋体" w:hAnsi="宋体" w:cs="Calibri"/>
          <w:sz w:val="22"/>
          <w:szCs w:val="22"/>
        </w:rPr>
        <w:t>相关</w:t>
      </w:r>
      <w:r>
        <w:rPr>
          <w:rFonts w:ascii="宋体" w:hAnsi="宋体" w:cs="Calibri"/>
          <w:sz w:val="22"/>
          <w:szCs w:val="22"/>
        </w:rPr>
        <w:t>产品鉴定证书</w:t>
      </w:r>
      <w:r>
        <w:rPr>
          <w:rFonts w:hint="eastAsia" w:ascii="宋体" w:hAnsi="宋体" w:cs="Calibri"/>
          <w:sz w:val="22"/>
          <w:szCs w:val="22"/>
        </w:rPr>
        <w:t>等）。</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Calibri"/>
          <w:sz w:val="22"/>
          <w:szCs w:val="22"/>
        </w:rPr>
        <w:t>3.2.5.2</w:t>
      </w:r>
      <w:r>
        <w:rPr>
          <w:rFonts w:hint="eastAsia" w:ascii="宋体" w:hAnsi="宋体" w:cs="宋体"/>
          <w:sz w:val="22"/>
          <w:szCs w:val="22"/>
        </w:rPr>
        <w:t>制造商资格声明</w:t>
      </w:r>
      <w:r>
        <w:rPr>
          <w:rFonts w:hint="eastAsia" w:ascii="宋体" w:hAnsi="宋体" w:cs="Arial"/>
          <w:kern w:val="0"/>
          <w:sz w:val="22"/>
          <w:szCs w:val="22"/>
        </w:rPr>
        <w:t>。</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Calibri"/>
          <w:sz w:val="22"/>
          <w:szCs w:val="22"/>
        </w:rPr>
        <w:t>3.2.5.3</w:t>
      </w:r>
      <w:r>
        <w:rPr>
          <w:rFonts w:ascii="宋体" w:hAnsi="宋体" w:cs="Calibri"/>
          <w:color w:val="000000"/>
          <w:sz w:val="22"/>
          <w:szCs w:val="22"/>
        </w:rPr>
        <w:t>设备制造商的授权书</w:t>
      </w:r>
      <w:r>
        <w:rPr>
          <w:rFonts w:hint="eastAsia" w:ascii="宋体" w:hAnsi="宋体" w:cs="Calibri"/>
          <w:color w:val="000000"/>
          <w:sz w:val="22"/>
          <w:szCs w:val="22"/>
        </w:rPr>
        <w:t>（代理商投标时提供）</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3.2.5.4投标产品近三年的销售业绩一览表（附业绩的合同）。</w:t>
      </w:r>
    </w:p>
    <w:p>
      <w:pPr>
        <w:adjustRightInd w:val="0"/>
        <w:snapToGrid w:val="0"/>
        <w:spacing w:line="400" w:lineRule="exact"/>
        <w:ind w:firstLine="440" w:firstLineChars="200"/>
        <w:rPr>
          <w:rFonts w:ascii="宋体" w:hAnsi="宋体" w:cs="宋体"/>
          <w:sz w:val="22"/>
          <w:szCs w:val="22"/>
        </w:rPr>
      </w:pPr>
      <w:r>
        <w:rPr>
          <w:rFonts w:hint="eastAsia" w:ascii="宋体" w:hAnsi="宋体" w:cs="Calibri"/>
          <w:sz w:val="22"/>
          <w:szCs w:val="22"/>
        </w:rPr>
        <w:t>3.2.6、</w:t>
      </w:r>
      <w:r>
        <w:rPr>
          <w:rFonts w:hint="eastAsia" w:ascii="宋体" w:hAnsi="宋体" w:cs="宋体"/>
          <w:sz w:val="22"/>
          <w:szCs w:val="22"/>
        </w:rPr>
        <w:t>技术规格偏离表；</w:t>
      </w:r>
    </w:p>
    <w:p>
      <w:pPr>
        <w:adjustRightInd w:val="0"/>
        <w:snapToGrid w:val="0"/>
        <w:spacing w:line="400" w:lineRule="exact"/>
        <w:ind w:firstLine="440" w:firstLineChars="200"/>
        <w:rPr>
          <w:rFonts w:ascii="宋体" w:hAnsi="宋体" w:cs="Calibri"/>
          <w:sz w:val="22"/>
          <w:szCs w:val="22"/>
        </w:rPr>
      </w:pPr>
      <w:r>
        <w:rPr>
          <w:rFonts w:hint="eastAsia" w:ascii="宋体" w:hAnsi="宋体" w:cs="宋体"/>
          <w:sz w:val="22"/>
          <w:szCs w:val="22"/>
        </w:rPr>
        <w:t>3.2.7、商务条款响应偏离表；</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3.2.8、系统设备供货范围（包括设备数量、型号规格、产地、品牌），进口零部件详细清单（需说明产地、品牌）；</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3.2.9、技术参数、结构及性能特点等产品技术规格书；</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3.2.10、主要原材料及部件性能和生产厂家；</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3.2.11、产品制造、安装、验收标准和验收方法；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3.2.12、现场指导、调试；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3.2.13、</w:t>
      </w:r>
      <w:r>
        <w:rPr>
          <w:rFonts w:ascii="宋体" w:hAnsi="宋体" w:cs="宋体"/>
          <w:sz w:val="22"/>
          <w:szCs w:val="22"/>
        </w:rPr>
        <w:t>产品的技术服务和售后服务的内容、措施、承诺</w:t>
      </w:r>
      <w:r>
        <w:rPr>
          <w:rFonts w:hint="eastAsia" w:ascii="宋体" w:hAnsi="宋体" w:cs="宋体"/>
          <w:sz w:val="22"/>
          <w:szCs w:val="22"/>
        </w:rPr>
        <w:t>；</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3.2.14、提供详细的培训计划，包括培训内容、培训时间、培训人数等；</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3.2.15、关于质量保证期的说明；</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3.2.16、优惠条件：投标人承诺给予用户的其他优惠条款，包括付款条件、培训服务、质量保证期等方面的优惠；</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3.2.17、</w:t>
      </w:r>
      <w:r>
        <w:rPr>
          <w:rFonts w:hint="eastAsia" w:cs="Arial" w:asciiTheme="minorEastAsia" w:hAnsiTheme="minorEastAsia"/>
          <w:color w:val="000000"/>
          <w:sz w:val="22"/>
          <w:szCs w:val="22"/>
        </w:rPr>
        <w:t>投标人认为</w:t>
      </w:r>
      <w:r>
        <w:rPr>
          <w:rFonts w:cs="Arial" w:asciiTheme="minorEastAsia" w:hAnsiTheme="minorEastAsia"/>
          <w:color w:val="000000"/>
          <w:sz w:val="22"/>
          <w:szCs w:val="22"/>
        </w:rPr>
        <w:t>应该提供的其他材料</w:t>
      </w:r>
      <w:r>
        <w:rPr>
          <w:rFonts w:hint="eastAsia" w:ascii="宋体" w:hAnsi="宋体" w:cs="宋体"/>
          <w:sz w:val="22"/>
          <w:szCs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3"/>
    </w:p>
    <w:p>
      <w:pPr>
        <w:adjustRightInd w:val="0"/>
        <w:snapToGrid w:val="0"/>
        <w:spacing w:line="360" w:lineRule="exact"/>
        <w:ind w:firstLine="440"/>
        <w:rPr>
          <w:rFonts w:ascii="宋体" w:hAnsi="宋体" w:cs="Calibri"/>
          <w:sz w:val="22"/>
        </w:rPr>
      </w:pPr>
      <w:bookmarkStart w:id="24" w:name="_Toc13307"/>
      <w:r>
        <w:rPr>
          <w:rFonts w:ascii="宋体" w:hAnsi="宋体" w:cs="Calibri"/>
          <w:sz w:val="22"/>
        </w:rPr>
        <w:t>3.3.1</w:t>
      </w:r>
      <w:r>
        <w:rPr>
          <w:rFonts w:hint="eastAsia" w:ascii="宋体" w:hAnsi="宋体" w:cs="宋体"/>
          <w:sz w:val="22"/>
        </w:rPr>
        <w:t>投标人递交的投标函及投标报价表中的投标总价必须一致。</w:t>
      </w:r>
      <w:r>
        <w:rPr>
          <w:rFonts w:ascii="宋体" w:hAnsi="宋体" w:cs="Calibri"/>
          <w:sz w:val="22"/>
        </w:rPr>
        <w:t>投标人对该项目只允许有一个总报价，招标人不接受任何有选择的报价及修正报价；</w:t>
      </w:r>
    </w:p>
    <w:p>
      <w:pPr>
        <w:adjustRightInd w:val="0"/>
        <w:snapToGrid w:val="0"/>
        <w:spacing w:line="360" w:lineRule="exact"/>
        <w:ind w:firstLine="440"/>
        <w:rPr>
          <w:rFonts w:ascii="宋体" w:hAnsi="宋体" w:cs="宋体"/>
          <w:bCs/>
          <w:sz w:val="22"/>
        </w:rPr>
      </w:pPr>
      <w:r>
        <w:rPr>
          <w:rFonts w:ascii="宋体" w:hAnsi="宋体" w:cs="Calibri"/>
          <w:sz w:val="22"/>
        </w:rPr>
        <w:t>3.3.</w:t>
      </w:r>
      <w:r>
        <w:rPr>
          <w:rFonts w:hint="eastAsia" w:ascii="宋体" w:hAnsi="宋体" w:cs="Calibri"/>
          <w:sz w:val="22"/>
        </w:rPr>
        <w:t>2</w:t>
      </w:r>
      <w:r>
        <w:rPr>
          <w:rFonts w:hint="eastAsia" w:ascii="宋体" w:hAnsi="宋体" w:cs="宋体"/>
          <w:sz w:val="22"/>
        </w:rPr>
        <w:t>投标人所报投标总价应为投标人为完成本项目所发生的一切费用（包含并不限于货物</w:t>
      </w:r>
      <w:r>
        <w:rPr>
          <w:rFonts w:ascii="宋体" w:hAnsi="宋体" w:cs="宋体"/>
          <w:sz w:val="22"/>
        </w:rPr>
        <w:t>的</w:t>
      </w:r>
      <w:r>
        <w:rPr>
          <w:rFonts w:hint="eastAsia" w:ascii="宋体" w:hAnsi="宋体" w:cs="宋体"/>
          <w:sz w:val="22"/>
        </w:rPr>
        <w:t>供货、运输（包括送至招标人指定地点卸车）、包装费、保险费、税费、验收、技术培训及售后服务等）</w:t>
      </w:r>
      <w:r>
        <w:rPr>
          <w:rFonts w:ascii="宋体" w:hAnsi="宋体" w:cs="宋体"/>
          <w:sz w:val="22"/>
        </w:rPr>
        <w:t>，包括</w:t>
      </w:r>
      <w:r>
        <w:rPr>
          <w:rFonts w:hint="eastAsia" w:ascii="宋体" w:hAnsi="宋体" w:cs="宋体"/>
          <w:sz w:val="22"/>
        </w:rPr>
        <w:t>货物供货</w:t>
      </w:r>
      <w:r>
        <w:rPr>
          <w:rFonts w:ascii="宋体" w:hAnsi="宋体" w:cs="宋体"/>
          <w:sz w:val="22"/>
        </w:rPr>
        <w:t>及相关服务等全过程产生的所有成本和费用以及一切税费</w:t>
      </w:r>
      <w:r>
        <w:rPr>
          <w:rFonts w:ascii="宋体" w:hAnsi="宋体" w:cs="Calibri"/>
          <w:sz w:val="22"/>
        </w:rPr>
        <w:t>；</w:t>
      </w:r>
    </w:p>
    <w:p>
      <w:pPr>
        <w:adjustRightInd w:val="0"/>
        <w:snapToGrid w:val="0"/>
        <w:spacing w:line="360" w:lineRule="exact"/>
        <w:ind w:firstLine="440"/>
        <w:rPr>
          <w:rFonts w:ascii="宋体" w:hAnsi="宋体" w:cs="宋体"/>
          <w:sz w:val="22"/>
        </w:rPr>
      </w:pPr>
      <w:r>
        <w:rPr>
          <w:rFonts w:ascii="宋体" w:hAnsi="宋体" w:cs="Calibri"/>
          <w:sz w:val="22"/>
        </w:rPr>
        <w:t>3.3.</w:t>
      </w:r>
      <w:r>
        <w:rPr>
          <w:rFonts w:hint="eastAsia" w:ascii="宋体" w:hAnsi="宋体" w:cs="Calibri"/>
          <w:sz w:val="22"/>
        </w:rPr>
        <w:t>3</w:t>
      </w:r>
      <w:r>
        <w:rPr>
          <w:rFonts w:hint="eastAsia" w:ascii="宋体" w:hAnsi="宋体" w:cs="宋体"/>
          <w:sz w:val="22"/>
        </w:rPr>
        <w:t>投标人应按“投标报价表”的要求报价，在投标报价表上写明拟提供货物的单价和总价；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4</w:t>
      </w:r>
      <w:r>
        <w:rPr>
          <w:rFonts w:hint="eastAsia" w:ascii="宋体" w:hAnsi="宋体" w:cs="宋体"/>
          <w:sz w:val="22"/>
        </w:rPr>
        <w:t>如果投标人认为为圆满完成本项目还有其他需要单独计价的配合工作，则应列明具体的细目和金额。所有与本项目有关的未列入“投标报价表”的工作内容，均被认为已经包含在其他细目及投标总价中。</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5投标人(如中标)在投标文件中提供的货物清单和报价将是签订合同的唯一依据，其报价在本次投标有效期内不能发生改变（</w:t>
      </w:r>
      <w:r>
        <w:rPr>
          <w:rFonts w:hint="eastAsia" w:ascii="宋体" w:hAnsi="宋体" w:cs="宋体"/>
          <w:sz w:val="22"/>
        </w:rPr>
        <w:t>招标人变更除外）</w:t>
      </w:r>
      <w:r>
        <w:rPr>
          <w:rFonts w:hint="eastAsia" w:ascii="宋体" w:hAnsi="宋体" w:cs="Calibri"/>
          <w:sz w:val="22"/>
        </w:rPr>
        <w:t>。如有改变，招标人将拒绝与其签订合同。</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6投标人对每种货物只允许有一个报价。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7招标人不接受任何折扣优惠报价，不接受任何赠送和选择性报价。</w:t>
      </w:r>
    </w:p>
    <w:p>
      <w:pPr>
        <w:adjustRightInd w:val="0"/>
        <w:snapToGrid w:val="0"/>
        <w:spacing w:line="360" w:lineRule="exact"/>
        <w:ind w:firstLine="440"/>
        <w:rPr>
          <w:rFonts w:ascii="宋体" w:hAnsi="宋体" w:cs="Calibri"/>
          <w:sz w:val="22"/>
        </w:rPr>
      </w:pPr>
      <w:r>
        <w:rPr>
          <w:rFonts w:ascii="宋体" w:hAnsi="宋体" w:cs="Calibri"/>
          <w:sz w:val="22"/>
        </w:rPr>
        <w:t>3.3.</w:t>
      </w:r>
      <w:r>
        <w:rPr>
          <w:rFonts w:hint="eastAsia" w:ascii="宋体" w:hAnsi="宋体" w:cs="Calibri"/>
          <w:sz w:val="22"/>
        </w:rPr>
        <w:t>8所有根据合同或其它原因应由投标人支付的税款和其它应交纳的费用都要包括在投标人提交的投标价格中。</w:t>
      </w:r>
    </w:p>
    <w:p>
      <w:pPr>
        <w:adjustRightInd w:val="0"/>
        <w:snapToGrid w:val="0"/>
        <w:spacing w:line="360" w:lineRule="exact"/>
        <w:ind w:firstLine="440"/>
        <w:rPr>
          <w:rFonts w:ascii="宋体" w:hAnsi="宋体" w:cs="Calibri"/>
          <w:sz w:val="22"/>
        </w:rPr>
      </w:pPr>
      <w:r>
        <w:rPr>
          <w:rFonts w:hint="eastAsia" w:ascii="宋体" w:hAnsi="宋体" w:cs="Calibri"/>
          <w:sz w:val="22"/>
        </w:rPr>
        <w:t>3.3.9其它须在报价中考虑的因素：</w:t>
      </w:r>
    </w:p>
    <w:p>
      <w:pPr>
        <w:adjustRightInd w:val="0"/>
        <w:snapToGrid w:val="0"/>
        <w:spacing w:line="360" w:lineRule="exact"/>
        <w:ind w:firstLine="440"/>
        <w:rPr>
          <w:rFonts w:ascii="宋体" w:hAnsi="宋体" w:cs="Calibri"/>
          <w:sz w:val="22"/>
        </w:rPr>
      </w:pPr>
      <w:r>
        <w:rPr>
          <w:rFonts w:hint="eastAsia" w:ascii="宋体" w:hAnsi="宋体" w:cs="Calibri"/>
          <w:sz w:val="22"/>
        </w:rPr>
        <w:t>（1）本项目在安装期间，应注意保护好招标人现有成品，如有损坏，须无条件修复至招标人满意，各投标人须自行考虑相关费用并计入投标总价且一次性包干。</w:t>
      </w:r>
    </w:p>
    <w:p>
      <w:pPr>
        <w:adjustRightInd w:val="0"/>
        <w:snapToGrid w:val="0"/>
        <w:spacing w:line="360" w:lineRule="exact"/>
        <w:ind w:firstLine="440"/>
        <w:rPr>
          <w:rFonts w:ascii="宋体" w:hAnsi="宋体" w:cs="Calibri"/>
          <w:sz w:val="22"/>
        </w:rPr>
      </w:pPr>
      <w:r>
        <w:rPr>
          <w:rFonts w:hint="eastAsia" w:ascii="宋体" w:hAnsi="宋体" w:cs="Calibri"/>
          <w:sz w:val="22"/>
        </w:rPr>
        <w:t>（2）交付验收前产品的保护费由投标人自行考虑并计入总价。</w:t>
      </w:r>
    </w:p>
    <w:p>
      <w:pPr>
        <w:adjustRightInd w:val="0"/>
        <w:snapToGrid w:val="0"/>
        <w:spacing w:line="360" w:lineRule="exact"/>
        <w:ind w:firstLine="440"/>
        <w:rPr>
          <w:rFonts w:ascii="宋体" w:hAnsi="宋体" w:cs="Calibri"/>
          <w:sz w:val="22"/>
        </w:rPr>
      </w:pPr>
      <w:r>
        <w:rPr>
          <w:rFonts w:hint="eastAsia" w:ascii="宋体" w:hAnsi="宋体" w:cs="Calibri"/>
          <w:sz w:val="22"/>
        </w:rPr>
        <w:t>（3）投标人安装过程中需自行负责现场人员生命、财产安全，自行解决与现场人员的劳务关系纠纷，可能产生的费用计入投标总价。</w:t>
      </w:r>
    </w:p>
    <w:p>
      <w:pPr>
        <w:adjustRightInd w:val="0"/>
        <w:snapToGrid w:val="0"/>
        <w:spacing w:line="360" w:lineRule="exact"/>
        <w:ind w:firstLine="440"/>
        <w:rPr>
          <w:rFonts w:ascii="宋体" w:hAnsi="宋体" w:cs="Calibri"/>
          <w:sz w:val="22"/>
        </w:rPr>
      </w:pPr>
      <w:r>
        <w:rPr>
          <w:rFonts w:hint="eastAsia" w:ascii="宋体" w:hAnsi="宋体" w:cs="Calibri"/>
          <w:sz w:val="22"/>
        </w:rPr>
        <w:t>3.3.10</w:t>
      </w:r>
      <w:r>
        <w:rPr>
          <w:rFonts w:hint="eastAsia" w:cs="Calibri" w:asciiTheme="minorEastAsia" w:hAnsiTheme="minorEastAsia"/>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cs="Calibri" w:asciiTheme="minorEastAsia" w:hAnsiTheme="minorEastAsia"/>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4"/>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5" w:name="_Toc30464"/>
      <w:r>
        <w:rPr>
          <w:rFonts w:ascii="宋体" w:hAnsi="宋体" w:cs="Calibri"/>
          <w:b/>
          <w:bCs/>
          <w:kern w:val="0"/>
          <w:sz w:val="22"/>
        </w:rPr>
        <w:t>3.5 投标保证金</w:t>
      </w:r>
      <w:bookmarkEnd w:id="25"/>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3.5.2招标人与中标人签订合同书后5日内，应当向未中标的投标人和中标人</w:t>
      </w:r>
      <w:r>
        <w:rPr>
          <w:rFonts w:hint="eastAsia" w:ascii="宋体" w:hAnsi="宋体" w:cs="Calibri"/>
          <w:kern w:val="0"/>
          <w:sz w:val="22"/>
        </w:rPr>
        <w:t>无息</w:t>
      </w:r>
      <w:r>
        <w:rPr>
          <w:rFonts w:ascii="宋体" w:hAnsi="宋体" w:cs="Calibri"/>
          <w:kern w:val="0"/>
          <w:sz w:val="22"/>
        </w:rPr>
        <w:t>退还投标保证金。</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cs="Calibri" w:asciiTheme="minorEastAsia" w:hAnsiTheme="minorEastAsia"/>
          <w:color w:val="000000"/>
          <w:kern w:val="0"/>
          <w:sz w:val="22"/>
        </w:rPr>
        <w:t>中标人在收到中标通知书后，</w:t>
      </w:r>
      <w:r>
        <w:rPr>
          <w:rFonts w:cs="Calibri" w:asciiTheme="minorEastAsia" w:hAnsiTheme="minorEastAsia"/>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6" w:name="_Toc29989"/>
      <w:r>
        <w:rPr>
          <w:rFonts w:ascii="宋体" w:hAnsi="宋体" w:cs="Calibri"/>
          <w:b/>
          <w:bCs/>
          <w:kern w:val="0"/>
          <w:sz w:val="22"/>
        </w:rPr>
        <w:t>3.6 投标文件的编制</w:t>
      </w:r>
      <w:bookmarkEnd w:id="26"/>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供货期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供货期</w:t>
      </w:r>
      <w:r>
        <w:rPr>
          <w:rFonts w:ascii="宋体" w:hAnsi="宋体" w:cs="Calibri"/>
          <w:kern w:val="0"/>
          <w:sz w:val="22"/>
        </w:rPr>
        <w:t>、投标有效期、招标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7" w:name="_Toc143421659"/>
    </w:p>
    <w:p>
      <w:pPr>
        <w:autoSpaceDE w:val="0"/>
        <w:autoSpaceDN w:val="0"/>
        <w:adjustRightInd w:val="0"/>
        <w:snapToGrid w:val="0"/>
        <w:spacing w:line="360" w:lineRule="exact"/>
        <w:rPr>
          <w:rFonts w:ascii="宋体" w:hAnsi="宋体" w:cs="Calibri"/>
          <w:b/>
          <w:bCs/>
          <w:kern w:val="0"/>
          <w:sz w:val="22"/>
        </w:rPr>
      </w:pPr>
      <w:bookmarkStart w:id="28" w:name="_Toc32652"/>
      <w:r>
        <w:rPr>
          <w:rFonts w:ascii="宋体" w:hAnsi="宋体" w:cs="Calibri"/>
          <w:b/>
          <w:bCs/>
          <w:kern w:val="0"/>
          <w:sz w:val="22"/>
        </w:rPr>
        <w:t>4.投标</w:t>
      </w:r>
      <w:bookmarkEnd w:id="27"/>
      <w:bookmarkEnd w:id="28"/>
    </w:p>
    <w:p>
      <w:pPr>
        <w:autoSpaceDE w:val="0"/>
        <w:autoSpaceDN w:val="0"/>
        <w:adjustRightInd w:val="0"/>
        <w:snapToGrid w:val="0"/>
        <w:spacing w:line="360" w:lineRule="exact"/>
        <w:rPr>
          <w:rFonts w:ascii="宋体" w:hAnsi="宋体" w:cs="Calibri"/>
          <w:b/>
          <w:bCs/>
          <w:kern w:val="0"/>
          <w:sz w:val="22"/>
        </w:rPr>
      </w:pPr>
      <w:bookmarkStart w:id="29" w:name="_Toc649"/>
      <w:r>
        <w:rPr>
          <w:rFonts w:ascii="宋体" w:hAnsi="宋体" w:cs="Calibri"/>
          <w:b/>
          <w:bCs/>
          <w:kern w:val="0"/>
          <w:sz w:val="22"/>
        </w:rPr>
        <w:t>4.1 投标文件的密封和标识</w:t>
      </w:r>
      <w:bookmarkEnd w:id="29"/>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30" w:name="_Toc16616"/>
      <w:r>
        <w:rPr>
          <w:rFonts w:ascii="宋体" w:hAnsi="宋体" w:cs="Calibri"/>
          <w:b/>
          <w:bCs/>
          <w:kern w:val="0"/>
          <w:sz w:val="22"/>
        </w:rPr>
        <w:t xml:space="preserve">4.2 投标文件的递交 </w:t>
      </w:r>
      <w:bookmarkEnd w:id="30"/>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1" w:name="_Toc26099"/>
      <w:r>
        <w:rPr>
          <w:rFonts w:ascii="宋体" w:hAnsi="宋体" w:cs="Calibri"/>
          <w:b/>
          <w:bCs/>
          <w:kern w:val="0"/>
          <w:sz w:val="22"/>
        </w:rPr>
        <w:t>4.3 投标文件的修改和撤回</w:t>
      </w:r>
      <w:bookmarkEnd w:id="31"/>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2" w:name="_Toc29641"/>
      <w:r>
        <w:rPr>
          <w:rFonts w:ascii="宋体" w:hAnsi="宋体" w:cs="Calibri"/>
          <w:b/>
          <w:bCs/>
          <w:kern w:val="0"/>
          <w:sz w:val="22"/>
        </w:rPr>
        <w:t>5.开标</w:t>
      </w:r>
      <w:bookmarkEnd w:id="32"/>
    </w:p>
    <w:p>
      <w:pPr>
        <w:autoSpaceDE w:val="0"/>
        <w:autoSpaceDN w:val="0"/>
        <w:adjustRightInd w:val="0"/>
        <w:snapToGrid w:val="0"/>
        <w:spacing w:line="360" w:lineRule="exact"/>
        <w:rPr>
          <w:rFonts w:ascii="宋体" w:hAnsi="宋体" w:cs="Calibri"/>
          <w:b/>
          <w:bCs/>
          <w:kern w:val="0"/>
          <w:sz w:val="22"/>
        </w:rPr>
      </w:pPr>
      <w:bookmarkStart w:id="33" w:name="_Toc15123"/>
      <w:r>
        <w:rPr>
          <w:rFonts w:ascii="宋体" w:hAnsi="宋体" w:cs="Calibri"/>
          <w:b/>
          <w:bCs/>
          <w:kern w:val="0"/>
          <w:sz w:val="22"/>
        </w:rPr>
        <w:t>5.1 开标时间和地点</w:t>
      </w:r>
      <w:bookmarkEnd w:id="33"/>
    </w:p>
    <w:p>
      <w:pPr>
        <w:adjustRightInd w:val="0"/>
        <w:snapToGrid w:val="0"/>
        <w:spacing w:line="360" w:lineRule="exact"/>
        <w:ind w:firstLine="440"/>
        <w:rPr>
          <w:rFonts w:ascii="宋体" w:hAnsi="宋体" w:cs="Calibri"/>
          <w:sz w:val="22"/>
        </w:rPr>
      </w:pPr>
      <w:r>
        <w:rPr>
          <w:rFonts w:ascii="宋体" w:hAnsi="宋体" w:cs="Calibri"/>
          <w:sz w:val="22"/>
        </w:rPr>
        <w:t>5.1.1</w:t>
      </w:r>
      <w:r>
        <w:rPr>
          <w:rFonts w:hint="eastAsia" w:ascii="宋体" w:hAnsi="宋体" w:cs="Calibri"/>
          <w:sz w:val="22"/>
        </w:rPr>
        <w:t>招标人在投标人须知规定的投标截止时间（开标时间）和地点公开开标，并邀请所有投标人的法定代表人或其委托代理人准时参加，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4" w:name="_Toc7101"/>
      <w:r>
        <w:rPr>
          <w:rFonts w:ascii="宋体" w:hAnsi="宋体" w:cs="Calibri"/>
          <w:b/>
          <w:bCs/>
          <w:kern w:val="0"/>
          <w:sz w:val="22"/>
        </w:rPr>
        <w:t>5.2 开标程序</w:t>
      </w:r>
      <w:bookmarkEnd w:id="34"/>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w:t>
      </w:r>
      <w:r>
        <w:rPr>
          <w:rFonts w:hint="eastAsia" w:ascii="宋体" w:hAnsi="宋体" w:cs="Calibri"/>
          <w:sz w:val="22"/>
        </w:rPr>
        <w:t>供货期</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5" w:name="_Toc31578"/>
      <w:r>
        <w:rPr>
          <w:rFonts w:ascii="宋体" w:hAnsi="宋体" w:cs="Calibri"/>
          <w:b/>
          <w:bCs/>
          <w:kern w:val="0"/>
          <w:sz w:val="22"/>
        </w:rPr>
        <w:t>6.评标</w:t>
      </w:r>
      <w:bookmarkEnd w:id="35"/>
    </w:p>
    <w:p>
      <w:pPr>
        <w:autoSpaceDE w:val="0"/>
        <w:autoSpaceDN w:val="0"/>
        <w:adjustRightInd w:val="0"/>
        <w:snapToGrid w:val="0"/>
        <w:spacing w:line="360" w:lineRule="exact"/>
        <w:rPr>
          <w:rFonts w:ascii="宋体" w:hAnsi="宋体" w:cs="Calibri"/>
          <w:b/>
          <w:bCs/>
          <w:kern w:val="0"/>
          <w:sz w:val="22"/>
        </w:rPr>
      </w:pPr>
      <w:bookmarkStart w:id="36" w:name="_Toc10279"/>
      <w:r>
        <w:rPr>
          <w:rFonts w:ascii="宋体" w:hAnsi="宋体" w:cs="Calibri"/>
          <w:b/>
          <w:bCs/>
          <w:kern w:val="0"/>
          <w:sz w:val="22"/>
        </w:rPr>
        <w:t>6.1 评标委员会</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7" w:name="_Toc3460"/>
      <w:r>
        <w:rPr>
          <w:rFonts w:ascii="宋体" w:hAnsi="宋体" w:cs="Calibri"/>
          <w:b/>
          <w:bCs/>
          <w:kern w:val="0"/>
          <w:sz w:val="22"/>
        </w:rPr>
        <w:t>6.2 评标原则</w:t>
      </w:r>
      <w:bookmarkEnd w:id="37"/>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38" w:name="_Toc28178"/>
      <w:r>
        <w:rPr>
          <w:rFonts w:ascii="宋体" w:hAnsi="宋体" w:cs="Calibri"/>
          <w:b/>
          <w:bCs/>
          <w:kern w:val="0"/>
          <w:sz w:val="22"/>
        </w:rPr>
        <w:t>6.3 评标</w:t>
      </w:r>
      <w:bookmarkEnd w:id="38"/>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五</w:t>
      </w:r>
      <w:r>
        <w:rPr>
          <w:rFonts w:ascii="宋体" w:hAnsi="宋体" w:cs="Calibri"/>
          <w:kern w:val="0"/>
          <w:sz w:val="22"/>
        </w:rPr>
        <w:t>章“</w:t>
      </w:r>
      <w:r>
        <w:rPr>
          <w:rFonts w:cs="Calibri" w:asciiTheme="minorEastAsia" w:hAnsiTheme="minorEastAsia"/>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39" w:name="_Toc24237"/>
      <w:r>
        <w:rPr>
          <w:rFonts w:ascii="宋体" w:hAnsi="宋体" w:cs="Calibri"/>
          <w:b/>
          <w:bCs/>
          <w:kern w:val="0"/>
          <w:sz w:val="22"/>
        </w:rPr>
        <w:t>7.合同授予</w:t>
      </w:r>
      <w:bookmarkEnd w:id="39"/>
    </w:p>
    <w:p>
      <w:pPr>
        <w:autoSpaceDE w:val="0"/>
        <w:autoSpaceDN w:val="0"/>
        <w:adjustRightInd w:val="0"/>
        <w:snapToGrid w:val="0"/>
        <w:spacing w:line="360" w:lineRule="exact"/>
        <w:rPr>
          <w:rFonts w:ascii="宋体" w:hAnsi="宋体" w:cs="Calibri"/>
          <w:b/>
          <w:bCs/>
          <w:kern w:val="0"/>
          <w:sz w:val="22"/>
        </w:rPr>
      </w:pPr>
      <w:bookmarkStart w:id="40" w:name="_Toc18809"/>
      <w:r>
        <w:rPr>
          <w:rFonts w:ascii="宋体" w:hAnsi="宋体" w:cs="Calibri"/>
          <w:b/>
          <w:bCs/>
          <w:kern w:val="0"/>
          <w:sz w:val="22"/>
        </w:rPr>
        <w:t>7.1 定标方式</w:t>
      </w:r>
      <w:bookmarkEnd w:id="40"/>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41" w:name="_Toc14573"/>
      <w:r>
        <w:rPr>
          <w:rFonts w:ascii="宋体" w:hAnsi="宋体" w:cs="Calibri"/>
          <w:b/>
          <w:bCs/>
          <w:kern w:val="0"/>
          <w:sz w:val="22"/>
        </w:rPr>
        <w:t>7.2 中标通知</w:t>
      </w:r>
      <w:bookmarkEnd w:id="41"/>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42" w:name="_Toc27132"/>
      <w:r>
        <w:rPr>
          <w:rFonts w:ascii="宋体" w:hAnsi="宋体" w:cs="Calibri"/>
          <w:b/>
          <w:bCs/>
          <w:kern w:val="0"/>
          <w:sz w:val="22"/>
        </w:rPr>
        <w:t>7.3 履约</w:t>
      </w:r>
      <w:r>
        <w:rPr>
          <w:rFonts w:hint="eastAsia" w:ascii="宋体" w:hAnsi="宋体" w:cs="Calibri"/>
          <w:b/>
          <w:bCs/>
          <w:kern w:val="0"/>
          <w:sz w:val="22"/>
        </w:rPr>
        <w:t>保证金</w:t>
      </w:r>
      <w:bookmarkEnd w:id="42"/>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3" w:name="_Toc27581"/>
      <w:r>
        <w:rPr>
          <w:rFonts w:ascii="宋体" w:hAnsi="宋体" w:cs="Calibri"/>
          <w:b/>
          <w:bCs/>
          <w:kern w:val="0"/>
          <w:sz w:val="22"/>
        </w:rPr>
        <w:t>7.4 签订合同</w:t>
      </w:r>
      <w:bookmarkEnd w:id="43"/>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4" w:name="_Toc219809801"/>
      <w:bookmarkStart w:id="45" w:name="_Toc220123241"/>
      <w:bookmarkStart w:id="46" w:name="_Toc11806"/>
      <w:r>
        <w:rPr>
          <w:rFonts w:ascii="宋体" w:hAnsi="宋体" w:cs="Calibri"/>
          <w:kern w:val="0"/>
          <w:sz w:val="22"/>
        </w:rPr>
        <w:t>.4.1中标人应当自中标通知书发出之日起30个工作日内</w:t>
      </w:r>
      <w:r>
        <w:rPr>
          <w:rFonts w:hint="eastAsia" w:ascii="宋体" w:hAnsi="宋体" w:cs="Calibri"/>
          <w:color w:val="000000" w:themeColor="text1"/>
          <w:kern w:val="0"/>
          <w:sz w:val="22"/>
          <w14:textFill>
            <w14:solidFill>
              <w14:schemeClr w14:val="tx1"/>
            </w14:solidFill>
          </w14:textFill>
        </w:rPr>
        <w:t>分别与</w:t>
      </w:r>
      <w:r>
        <w:rPr>
          <w:rFonts w:hint="eastAsia" w:asciiTheme="minorEastAsia" w:hAnsiTheme="minorEastAsia"/>
          <w:color w:val="000000" w:themeColor="text1"/>
          <w:kern w:val="0"/>
          <w:sz w:val="22"/>
          <w14:textFill>
            <w14:solidFill>
              <w14:schemeClr w14:val="tx1"/>
            </w14:solidFill>
          </w14:textFill>
        </w:rPr>
        <w:t>杭州萧山国际机场、宁波机场与物流发展集团有限公司和温州机场集团有限公司</w:t>
      </w:r>
      <w:r>
        <w:rPr>
          <w:rFonts w:ascii="宋体" w:hAnsi="宋体" w:cs="Calibri"/>
          <w:kern w:val="0"/>
          <w:sz w:val="22"/>
        </w:rPr>
        <w:t>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b/>
          <w:color w:val="000000"/>
          <w:kern w:val="0"/>
          <w:sz w:val="22"/>
        </w:rPr>
      </w:pPr>
      <w:r>
        <w:rPr>
          <w:rFonts w:hint="eastAsia" w:cs="Calibri" w:asciiTheme="minorEastAsia" w:hAnsiTheme="minorEastAsia"/>
          <w:color w:val="000000"/>
          <w:kern w:val="0"/>
          <w:sz w:val="22"/>
        </w:rPr>
        <w:t xml:space="preserve">7.4.3 </w:t>
      </w:r>
      <w:r>
        <w:rPr>
          <w:rFonts w:hint="eastAsia" w:cs="Calibri" w:asciiTheme="minorEastAsia" w:hAnsiTheme="minorEastAsia"/>
          <w:b/>
          <w:color w:val="000000"/>
          <w:kern w:val="0"/>
          <w:sz w:val="22"/>
        </w:rPr>
        <w:t>招标人在授予合同有权对本项目的内容等予以增加或者减少，中标人不得提出异议，否则招标人有权取消其中标资格。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cs="Calibri" w:asciiTheme="minorEastAsia" w:hAnsiTheme="minorEastAsia"/>
          <w:color w:val="000000"/>
          <w:kern w:val="0"/>
          <w:sz w:val="22"/>
        </w:rPr>
        <w:t xml:space="preserve">7.4.4 </w:t>
      </w:r>
      <w:r>
        <w:rPr>
          <w:rFonts w:hint="eastAsia" w:cs="Calibri" w:asciiTheme="minorEastAsia" w:hAnsi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4"/>
      <w:bookmarkEnd w:id="45"/>
      <w:bookmarkEnd w:id="46"/>
    </w:p>
    <w:p>
      <w:pPr>
        <w:autoSpaceDE w:val="0"/>
        <w:autoSpaceDN w:val="0"/>
        <w:adjustRightInd w:val="0"/>
        <w:snapToGrid w:val="0"/>
        <w:spacing w:line="360" w:lineRule="exact"/>
        <w:rPr>
          <w:rFonts w:ascii="宋体" w:hAnsi="宋体" w:cs="Calibri"/>
          <w:b/>
          <w:bCs/>
          <w:kern w:val="0"/>
          <w:sz w:val="22"/>
        </w:rPr>
      </w:pPr>
      <w:bookmarkStart w:id="47" w:name="_Toc220123242"/>
      <w:bookmarkStart w:id="48" w:name="_Toc15553"/>
      <w:bookmarkStart w:id="49" w:name="_Toc219809802"/>
      <w:r>
        <w:rPr>
          <w:rFonts w:ascii="宋体" w:hAnsi="宋体" w:cs="Calibri"/>
          <w:b/>
          <w:bCs/>
          <w:kern w:val="0"/>
          <w:sz w:val="22"/>
        </w:rPr>
        <w:t>8.1 重新招标</w:t>
      </w:r>
      <w:bookmarkEnd w:id="47"/>
      <w:bookmarkEnd w:id="48"/>
      <w:bookmarkEnd w:id="49"/>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50" w:name="_Toc18806"/>
      <w:bookmarkStart w:id="51" w:name="_Toc220123243"/>
      <w:bookmarkStart w:id="52" w:name="_Toc219809803"/>
      <w:r>
        <w:rPr>
          <w:rFonts w:ascii="宋体" w:hAnsi="宋体" w:cs="Calibri"/>
          <w:b/>
          <w:bCs/>
          <w:kern w:val="0"/>
          <w:sz w:val="22"/>
        </w:rPr>
        <w:t>8.2 不再招标</w:t>
      </w:r>
      <w:bookmarkEnd w:id="50"/>
      <w:bookmarkEnd w:id="51"/>
      <w:bookmarkEnd w:id="52"/>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3" w:name="_Toc215941254"/>
      <w:bookmarkStart w:id="54" w:name="_Toc219809804"/>
      <w:bookmarkStart w:id="55" w:name="_Toc220123244"/>
      <w:bookmarkStart w:id="56" w:name="_Toc2986"/>
      <w:r>
        <w:rPr>
          <w:rFonts w:ascii="宋体" w:hAnsi="宋体" w:cs="Calibri"/>
          <w:b/>
          <w:bCs/>
          <w:kern w:val="0"/>
          <w:sz w:val="22"/>
        </w:rPr>
        <w:t>9.纪律和监督</w:t>
      </w:r>
      <w:bookmarkEnd w:id="53"/>
      <w:bookmarkEnd w:id="54"/>
      <w:bookmarkEnd w:id="55"/>
      <w:bookmarkEnd w:id="56"/>
    </w:p>
    <w:p>
      <w:pPr>
        <w:autoSpaceDE w:val="0"/>
        <w:autoSpaceDN w:val="0"/>
        <w:adjustRightInd w:val="0"/>
        <w:snapToGrid w:val="0"/>
        <w:spacing w:line="360" w:lineRule="exact"/>
        <w:rPr>
          <w:rFonts w:ascii="宋体" w:hAnsi="宋体" w:cs="Calibri"/>
          <w:b/>
          <w:bCs/>
          <w:kern w:val="0"/>
          <w:sz w:val="22"/>
        </w:rPr>
      </w:pPr>
      <w:bookmarkStart w:id="57" w:name="_Toc219809805"/>
      <w:bookmarkStart w:id="58" w:name="_Toc220123245"/>
      <w:bookmarkStart w:id="59" w:name="_Toc5509"/>
      <w:r>
        <w:rPr>
          <w:rFonts w:ascii="宋体" w:hAnsi="宋体" w:cs="Calibri"/>
          <w:b/>
          <w:bCs/>
          <w:kern w:val="0"/>
          <w:sz w:val="22"/>
        </w:rPr>
        <w:t>9.1 对招标人的纪律要求</w:t>
      </w:r>
      <w:bookmarkEnd w:id="57"/>
      <w:bookmarkEnd w:id="58"/>
      <w:bookmarkEnd w:id="59"/>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60" w:name="_Toc219809806"/>
      <w:bookmarkStart w:id="61" w:name="_Toc220123246"/>
      <w:bookmarkStart w:id="62" w:name="_Toc10820"/>
      <w:r>
        <w:rPr>
          <w:rFonts w:ascii="宋体" w:hAnsi="宋体" w:cs="Calibri"/>
          <w:b/>
          <w:bCs/>
          <w:kern w:val="0"/>
          <w:sz w:val="22"/>
        </w:rPr>
        <w:t>9.2 对投标人的纪律要求</w:t>
      </w:r>
      <w:bookmarkEnd w:id="60"/>
      <w:bookmarkEnd w:id="61"/>
      <w:bookmarkEnd w:id="62"/>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cs="Calibri" w:asciiTheme="minorEastAsia" w:hAnsiTheme="minorEastAsia"/>
          <w:b/>
          <w:color w:val="000000"/>
          <w:sz w:val="22"/>
        </w:rPr>
      </w:pPr>
      <w:r>
        <w:rPr>
          <w:rFonts w:hint="eastAsia" w:cs="Calibri" w:asciiTheme="minorEastAsia" w:hAnsiTheme="minorEastAsia"/>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3" w:name="_Toc10756"/>
      <w:bookmarkStart w:id="64" w:name="_Toc220123247"/>
      <w:bookmarkStart w:id="65" w:name="_Toc219809807"/>
      <w:r>
        <w:rPr>
          <w:rFonts w:ascii="宋体" w:hAnsi="宋体" w:cs="Calibri"/>
          <w:b/>
          <w:bCs/>
          <w:kern w:val="0"/>
          <w:sz w:val="22"/>
        </w:rPr>
        <w:t>9.3 对评标委员会成员的纪律要求</w:t>
      </w:r>
      <w:bookmarkEnd w:id="63"/>
      <w:bookmarkEnd w:id="64"/>
      <w:bookmarkEnd w:id="65"/>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cs="Calibri" w:asciiTheme="minorEastAsia" w:hAnsiTheme="minorEastAsia"/>
          <w:color w:val="000000"/>
          <w:sz w:val="22"/>
        </w:rPr>
        <w:t>五</w:t>
      </w:r>
      <w:r>
        <w:rPr>
          <w:rFonts w:cs="Calibri" w:asciiTheme="minorEastAsia" w:hAnsiTheme="minorEastAsia"/>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6" w:name="_Toc12792"/>
      <w:bookmarkStart w:id="67" w:name="_Toc220123248"/>
      <w:bookmarkStart w:id="68" w:name="_Toc219809808"/>
      <w:r>
        <w:rPr>
          <w:rFonts w:ascii="宋体" w:hAnsi="宋体" w:cs="Calibri"/>
          <w:b/>
          <w:bCs/>
          <w:kern w:val="0"/>
          <w:sz w:val="22"/>
        </w:rPr>
        <w:t>9.4 对评标活动有关的工作人员的纪律要求</w:t>
      </w:r>
      <w:bookmarkEnd w:id="66"/>
      <w:bookmarkEnd w:id="67"/>
      <w:bookmarkEnd w:id="68"/>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69" w:name="_Toc239"/>
      <w:bookmarkStart w:id="70" w:name="_Toc220123249"/>
      <w:bookmarkStart w:id="71" w:name="_Toc219809809"/>
      <w:r>
        <w:rPr>
          <w:rFonts w:ascii="宋体" w:hAnsi="宋体" w:cs="Calibri"/>
          <w:b/>
          <w:bCs/>
          <w:kern w:val="0"/>
          <w:sz w:val="22"/>
        </w:rPr>
        <w:t>9.5 投诉</w:t>
      </w:r>
      <w:bookmarkEnd w:id="69"/>
      <w:bookmarkEnd w:id="70"/>
      <w:bookmarkEnd w:id="71"/>
    </w:p>
    <w:p>
      <w:pPr>
        <w:adjustRightInd w:val="0"/>
        <w:snapToGrid w:val="0"/>
        <w:spacing w:line="360" w:lineRule="exact"/>
        <w:ind w:firstLine="440"/>
        <w:rPr>
          <w:rFonts w:cs="Calibri" w:asciiTheme="minorEastAsia" w:hAnsiTheme="minorEastAsia"/>
          <w:color w:val="000000"/>
          <w:sz w:val="22"/>
        </w:rPr>
      </w:pPr>
      <w:r>
        <w:rPr>
          <w:rFonts w:cs="Calibri" w:asciiTheme="minorEastAsia" w:hAnsiTheme="minorEastAsia"/>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2" w:name="_Toc10817"/>
      <w:r>
        <w:rPr>
          <w:rFonts w:ascii="宋体" w:hAnsi="宋体" w:cs="Calibri"/>
          <w:b/>
          <w:bCs/>
          <w:kern w:val="0"/>
          <w:sz w:val="22"/>
        </w:rPr>
        <w:t>10. 需要补充的其他内容</w:t>
      </w:r>
      <w:bookmarkEnd w:id="72"/>
    </w:p>
    <w:p>
      <w:pPr>
        <w:autoSpaceDE w:val="0"/>
        <w:autoSpaceDN w:val="0"/>
        <w:adjustRightInd w:val="0"/>
        <w:snapToGrid w:val="0"/>
        <w:spacing w:line="360" w:lineRule="exact"/>
        <w:ind w:firstLine="440"/>
        <w:jc w:val="left"/>
        <w:rPr>
          <w:rFonts w:cs="Calibri" w:asciiTheme="minorEastAsia" w:hAnsiTheme="minorEastAsia"/>
          <w:color w:val="000000"/>
          <w:sz w:val="22"/>
        </w:rPr>
      </w:pPr>
      <w:r>
        <w:rPr>
          <w:rFonts w:cs="Calibri" w:asciiTheme="minorEastAsia" w:hAnsiTheme="minorEastAsia"/>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48"/>
        <w:rPr>
          <w:sz w:val="22"/>
        </w:rPr>
      </w:pPr>
      <w:r>
        <w:rPr>
          <w:sz w:val="24"/>
        </w:rPr>
        <w:br w:type="page"/>
      </w:r>
      <w:r>
        <w:rPr>
          <w:sz w:val="22"/>
        </w:rPr>
        <w:t xml:space="preserve"> </w:t>
      </w:r>
    </w:p>
    <w:p>
      <w:pPr>
        <w:pStyle w:val="48"/>
      </w:pPr>
      <w:bookmarkStart w:id="73" w:name="_Toc321925453"/>
      <w:r>
        <w:rPr>
          <w:rFonts w:hint="eastAsia"/>
        </w:rPr>
        <w:t>第三章</w:t>
      </w:r>
      <w:r>
        <w:t xml:space="preserve">  </w:t>
      </w:r>
      <w:r>
        <w:rPr>
          <w:rFonts w:hint="eastAsia"/>
        </w:rPr>
        <w:t>货物需求一览表及技术规格</w:t>
      </w:r>
      <w:bookmarkEnd w:id="73"/>
    </w:p>
    <w:p>
      <w:pPr>
        <w:pStyle w:val="3"/>
        <w:snapToGrid w:val="0"/>
        <w:spacing w:before="0" w:after="0"/>
        <w:rPr>
          <w:rFonts w:ascii="等线" w:hAnsi="等线" w:eastAsia="等线"/>
          <w:sz w:val="32"/>
        </w:rPr>
      </w:pPr>
      <w:bookmarkStart w:id="74" w:name="_Toc6028351"/>
      <w:bookmarkStart w:id="75" w:name="_Toc507820962"/>
      <w:bookmarkStart w:id="76" w:name="_Toc6026273"/>
      <w:bookmarkStart w:id="77" w:name="_Toc6028441"/>
      <w:bookmarkStart w:id="78" w:name="_Toc6109313"/>
      <w:bookmarkStart w:id="79" w:name="_Toc416254176"/>
      <w:r>
        <w:rPr>
          <w:rFonts w:hint="eastAsia" w:ascii="等线" w:hAnsi="等线" w:eastAsia="等线"/>
          <w:sz w:val="32"/>
        </w:rPr>
        <w:t>一、总</w:t>
      </w:r>
      <w:bookmarkStart w:id="80" w:name="_Ref497571437"/>
      <w:bookmarkEnd w:id="80"/>
      <w:r>
        <w:rPr>
          <w:rFonts w:hint="eastAsia" w:ascii="等线" w:hAnsi="等线" w:eastAsia="等线"/>
          <w:sz w:val="32"/>
        </w:rPr>
        <w:t>说明</w:t>
      </w:r>
      <w:bookmarkEnd w:id="74"/>
      <w:bookmarkEnd w:id="75"/>
      <w:bookmarkEnd w:id="76"/>
      <w:bookmarkEnd w:id="77"/>
      <w:bookmarkEnd w:id="78"/>
      <w:bookmarkEnd w:id="79"/>
    </w:p>
    <w:p>
      <w:pPr>
        <w:snapToGrid w:val="0"/>
        <w:spacing w:line="360" w:lineRule="auto"/>
        <w:ind w:firstLine="440" w:firstLineChars="200"/>
        <w:rPr>
          <w:rFonts w:ascii="Cambria" w:hAnsi="Cambria" w:eastAsia="宋体" w:cs="宋体"/>
          <w:sz w:val="22"/>
        </w:rPr>
      </w:pPr>
      <w:r>
        <w:rPr>
          <w:rFonts w:hint="eastAsia" w:cs="宋体"/>
          <w:sz w:val="22"/>
        </w:rPr>
        <w:t>本货物需求及技术规格书（以下简称为“技术标书”）是招标文件的组成部分，内容包括采购设备的详细规格、条款、资料及有关文件。</w:t>
      </w:r>
    </w:p>
    <w:p>
      <w:pPr>
        <w:snapToGrid w:val="0"/>
        <w:spacing w:line="360" w:lineRule="auto"/>
        <w:ind w:firstLine="440" w:firstLineChars="200"/>
        <w:rPr>
          <w:rFonts w:cs="宋体"/>
          <w:sz w:val="22"/>
        </w:rPr>
      </w:pPr>
      <w:r>
        <w:rPr>
          <w:rFonts w:hint="eastAsia" w:cs="宋体"/>
          <w:sz w:val="22"/>
        </w:rPr>
        <w:t>本技术规格书各条款的编写采用了多层项目编号，任何被标注“（</w:t>
      </w:r>
      <w:r>
        <w:rPr>
          <w:rFonts w:cs="宋体"/>
          <w:sz w:val="22"/>
        </w:rPr>
        <w:t>*</w:t>
      </w:r>
      <w:r>
        <w:rPr>
          <w:rFonts w:hint="eastAsia" w:cs="宋体"/>
          <w:sz w:val="22"/>
        </w:rPr>
        <w:t>）”且加注下划线的内容或条款表明为重要强制性条款，其中</w:t>
      </w:r>
      <w:r>
        <w:rPr>
          <w:rFonts w:cs="宋体"/>
          <w:sz w:val="22"/>
        </w:rPr>
        <w:t>1</w:t>
      </w:r>
      <w:r>
        <w:rPr>
          <w:rFonts w:hint="eastAsia" w:cs="宋体"/>
          <w:sz w:val="22"/>
        </w:rPr>
        <w:t>条不满足将导致投标无效</w:t>
      </w:r>
      <w:r>
        <w:rPr>
          <w:rFonts w:cs="宋体"/>
          <w:sz w:val="22"/>
        </w:rPr>
        <w:t>,</w:t>
      </w:r>
      <w:r>
        <w:rPr>
          <w:rFonts w:hint="eastAsia" w:cs="宋体"/>
          <w:sz w:val="22"/>
        </w:rPr>
        <w:t>其它本技术标书中的一般条款如超出</w:t>
      </w:r>
      <w:r>
        <w:rPr>
          <w:rFonts w:cs="宋体"/>
          <w:sz w:val="22"/>
        </w:rPr>
        <w:t>5</w:t>
      </w:r>
      <w:r>
        <w:rPr>
          <w:rFonts w:hint="eastAsia" w:cs="宋体"/>
          <w:sz w:val="22"/>
        </w:rPr>
        <w:t>项不满足（以“技术规格偏离表”为准，内容重复的条款按</w:t>
      </w:r>
      <w:r>
        <w:rPr>
          <w:rFonts w:cs="宋体"/>
          <w:sz w:val="22"/>
        </w:rPr>
        <w:t>1</w:t>
      </w:r>
      <w:r>
        <w:rPr>
          <w:rFonts w:hint="eastAsia" w:cs="宋体"/>
          <w:sz w:val="22"/>
        </w:rPr>
        <w:t>条计），将被认为不满足招标要求并承担不经澄清就被判定为无效标的风险。</w:t>
      </w:r>
    </w:p>
    <w:p>
      <w:pPr>
        <w:pStyle w:val="32"/>
        <w:snapToGrid w:val="0"/>
        <w:spacing w:after="0" w:line="360" w:lineRule="auto"/>
        <w:ind w:left="0" w:leftChars="0" w:firstLine="440" w:firstLineChars="200"/>
        <w:rPr>
          <w:rFonts w:ascii="等线" w:hAnsi="等线" w:eastAsia="等线"/>
          <w:sz w:val="22"/>
          <w:szCs w:val="22"/>
          <w:u w:val="single"/>
        </w:rPr>
      </w:pPr>
      <w:r>
        <w:rPr>
          <w:rFonts w:hint="eastAsia" w:ascii="等线" w:hAnsi="等线" w:eastAsia="等线"/>
          <w:sz w:val="22"/>
          <w:szCs w:val="22"/>
          <w:u w:val="single"/>
        </w:rPr>
        <w:t>投标人必须对本技术标书各项要求，按顺序逐项做出实质性回答，主要性能指标必须在投标产品技术规格书中体现，否则评标委员会有权作否决投标处理。</w:t>
      </w:r>
      <w:bookmarkStart w:id="81" w:name="_Toc498228778"/>
      <w:bookmarkStart w:id="82" w:name="_Toc507820963"/>
      <w:bookmarkStart w:id="83" w:name="_Toc6026274"/>
      <w:bookmarkStart w:id="84" w:name="_Toc6028352"/>
      <w:bookmarkStart w:id="85" w:name="_Toc6028442"/>
      <w:bookmarkStart w:id="86" w:name="_Toc6109314"/>
      <w:bookmarkStart w:id="87" w:name="_Toc416254177"/>
      <w:bookmarkStart w:id="88" w:name="_Toc498227176"/>
      <w:bookmarkStart w:id="89" w:name="_Toc498227703"/>
    </w:p>
    <w:p>
      <w:pPr>
        <w:pStyle w:val="32"/>
        <w:snapToGrid w:val="0"/>
        <w:spacing w:after="0" w:line="360" w:lineRule="auto"/>
        <w:ind w:left="0" w:leftChars="0"/>
        <w:jc w:val="left"/>
        <w:rPr>
          <w:rFonts w:ascii="等线" w:hAnsi="等线" w:eastAsia="等线"/>
          <w:b/>
          <w:sz w:val="22"/>
          <w:szCs w:val="22"/>
          <w:u w:val="single"/>
        </w:rPr>
      </w:pPr>
      <w:r>
        <w:rPr>
          <w:rFonts w:hint="eastAsia" w:ascii="等线" w:hAnsi="等线" w:eastAsia="等线"/>
          <w:b/>
          <w:sz w:val="22"/>
          <w:szCs w:val="22"/>
        </w:rPr>
        <w:t>1、招标要求</w:t>
      </w:r>
      <w:bookmarkEnd w:id="81"/>
      <w:bookmarkEnd w:id="82"/>
      <w:bookmarkEnd w:id="83"/>
      <w:bookmarkEnd w:id="84"/>
      <w:bookmarkEnd w:id="85"/>
      <w:bookmarkEnd w:id="86"/>
      <w:bookmarkEnd w:id="87"/>
      <w:bookmarkEnd w:id="88"/>
      <w:bookmarkEnd w:id="89"/>
    </w:p>
    <w:p>
      <w:pPr>
        <w:pStyle w:val="100"/>
        <w:keepNext w:val="0"/>
        <w:keepLines w:val="0"/>
        <w:numPr>
          <w:ilvl w:val="0"/>
          <w:numId w:val="5"/>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投标人(与投标方为同一含义)必须提供但不限于本技术标书中，所有设备的设计、制造、装配、运输、仓储、安装、调试、试运行和售后服务，以及上述设备所需的附件、工具、配备件的提供等。</w:t>
      </w:r>
    </w:p>
    <w:p>
      <w:pPr>
        <w:pStyle w:val="100"/>
        <w:keepNext w:val="0"/>
        <w:keepLines w:val="0"/>
        <w:numPr>
          <w:ilvl w:val="0"/>
          <w:numId w:val="5"/>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本技术标书仅指主要要求，不应作为完整的详细要求，投标人应负责向招标人移交各子项系统，并保证符合技术标书的要求。同时,投标人应满足本技术标书中未描述的、为保证设备能正常有效运行所需要的其它要求。投标人只有在得到招标人的书面验收证明后，才能算完成。</w:t>
      </w:r>
    </w:p>
    <w:p>
      <w:pPr>
        <w:pStyle w:val="100"/>
        <w:keepNext w:val="0"/>
        <w:keepLines w:val="0"/>
        <w:numPr>
          <w:ilvl w:val="0"/>
          <w:numId w:val="5"/>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投标人在中标且合同生效后，在执行合同过程中，应承担与土建、系统集成的接口标准及其它设备配合等方面的技术协调，并对工作做适当安排。所有安排必须取得招标人的书面同意。</w:t>
      </w:r>
    </w:p>
    <w:p>
      <w:pPr>
        <w:pStyle w:val="100"/>
        <w:keepNext w:val="0"/>
        <w:keepLines w:val="0"/>
        <w:numPr>
          <w:ilvl w:val="0"/>
          <w:numId w:val="5"/>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投标人必须对所提供产品的一切专利费、执照费和软件用户许可证及其它由此引起的费用承担责任，并负责保护招标人的利益不受任何损害。一切由于文字、商标和技术专利侵权引起的法律裁决、诉讼和费用均与招标人无关。所涉及的有关专利费、执照费和其它这方面的费用纳入总报价。</w:t>
      </w:r>
    </w:p>
    <w:p>
      <w:pPr>
        <w:pStyle w:val="100"/>
        <w:keepNext w:val="0"/>
        <w:keepLines w:val="0"/>
        <w:numPr>
          <w:ilvl w:val="0"/>
          <w:numId w:val="5"/>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招标人和中标人在签订合同时，在不改变招标文件实质性要求，不改变招标设备单价的前提下，招标人有对所购设备数量调整的权利。</w:t>
      </w:r>
    </w:p>
    <w:p>
      <w:pPr>
        <w:pStyle w:val="100"/>
        <w:keepNext w:val="0"/>
        <w:keepLines w:val="0"/>
        <w:numPr>
          <w:ilvl w:val="0"/>
          <w:numId w:val="5"/>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投标书中必须有整套设备和主要部件的生产产地（生产国、生产厂家）的详细说明。</w:t>
      </w:r>
    </w:p>
    <w:p>
      <w:pPr>
        <w:pStyle w:val="100"/>
        <w:keepNext w:val="0"/>
        <w:keepLines w:val="0"/>
        <w:numPr>
          <w:ilvl w:val="0"/>
          <w:numId w:val="5"/>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对进口设备，投标人需协助招标代理机构及招标人申报海关及商检手续，并办理招标人有关人员境外验收的有关事宜。</w:t>
      </w:r>
    </w:p>
    <w:p>
      <w:pPr>
        <w:pStyle w:val="100"/>
        <w:keepNext w:val="0"/>
        <w:keepLines w:val="0"/>
        <w:numPr>
          <w:ilvl w:val="0"/>
          <w:numId w:val="5"/>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投标人需按照标书要求提供中英文投标书的文件、图纸及相应光盘。</w:t>
      </w:r>
    </w:p>
    <w:p>
      <w:pPr>
        <w:pStyle w:val="4"/>
        <w:numPr>
          <w:ilvl w:val="0"/>
          <w:numId w:val="0"/>
        </w:numPr>
        <w:tabs>
          <w:tab w:val="left" w:pos="420"/>
        </w:tabs>
        <w:snapToGrid w:val="0"/>
        <w:spacing w:line="360" w:lineRule="auto"/>
        <w:rPr>
          <w:rFonts w:ascii="等线" w:hAnsi="等线" w:eastAsia="等线"/>
          <w:sz w:val="22"/>
          <w:szCs w:val="22"/>
        </w:rPr>
      </w:pPr>
      <w:bookmarkStart w:id="90" w:name="_Toc416254178"/>
      <w:bookmarkStart w:id="91" w:name="_Toc498228779"/>
      <w:bookmarkStart w:id="92" w:name="_Toc498227704"/>
      <w:bookmarkStart w:id="93" w:name="_Toc498227177"/>
      <w:r>
        <w:rPr>
          <w:rFonts w:hint="eastAsia" w:ascii="等线" w:hAnsi="等线" w:eastAsia="等线"/>
          <w:b w:val="0"/>
          <w:sz w:val="22"/>
          <w:szCs w:val="22"/>
        </w:rPr>
        <w:t>2、招标范围</w:t>
      </w:r>
      <w:bookmarkEnd w:id="90"/>
    </w:p>
    <w:tbl>
      <w:tblPr>
        <w:tblStyle w:val="52"/>
        <w:tblW w:w="10405" w:type="dxa"/>
        <w:tblInd w:w="0" w:type="dxa"/>
        <w:tblLayout w:type="fixed"/>
        <w:tblCellMar>
          <w:top w:w="0" w:type="dxa"/>
          <w:left w:w="108" w:type="dxa"/>
          <w:bottom w:w="0" w:type="dxa"/>
          <w:right w:w="108" w:type="dxa"/>
        </w:tblCellMar>
      </w:tblPr>
      <w:tblGrid>
        <w:gridCol w:w="724"/>
        <w:gridCol w:w="1618"/>
        <w:gridCol w:w="1027"/>
        <w:gridCol w:w="3118"/>
        <w:gridCol w:w="2410"/>
        <w:gridCol w:w="1508"/>
      </w:tblGrid>
      <w:tr>
        <w:tblPrEx>
          <w:tblLayout w:type="fixed"/>
          <w:tblCellMar>
            <w:top w:w="0" w:type="dxa"/>
            <w:left w:w="108" w:type="dxa"/>
            <w:bottom w:w="0" w:type="dxa"/>
            <w:right w:w="108" w:type="dxa"/>
          </w:tblCellMar>
        </w:tblPrEx>
        <w:trPr>
          <w:trHeight w:val="750"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序号</w:t>
            </w:r>
          </w:p>
        </w:tc>
        <w:tc>
          <w:tcPr>
            <w:tcW w:w="16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设备名称</w:t>
            </w:r>
          </w:p>
        </w:tc>
        <w:tc>
          <w:tcPr>
            <w:tcW w:w="1027"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数量</w:t>
            </w:r>
          </w:p>
        </w:tc>
        <w:tc>
          <w:tcPr>
            <w:tcW w:w="31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任务</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备注</w:t>
            </w:r>
          </w:p>
        </w:tc>
        <w:tc>
          <w:tcPr>
            <w:tcW w:w="1508" w:type="dxa"/>
            <w:tcBorders>
              <w:top w:val="single" w:color="auto" w:sz="4" w:space="0"/>
              <w:left w:val="nil"/>
              <w:bottom w:val="single" w:color="auto" w:sz="4" w:space="0"/>
              <w:right w:val="single" w:color="auto" w:sz="4" w:space="0"/>
            </w:tcBorders>
          </w:tcPr>
          <w:p>
            <w:pPr>
              <w:adjustRightInd w:val="0"/>
              <w:snapToGrid w:val="0"/>
              <w:spacing w:line="440" w:lineRule="exact"/>
              <w:jc w:val="center"/>
              <w:rPr>
                <w:sz w:val="22"/>
              </w:rPr>
            </w:pPr>
            <w:r>
              <w:rPr>
                <w:rFonts w:hint="eastAsia"/>
                <w:sz w:val="22"/>
              </w:rPr>
              <w:t>交货地点</w:t>
            </w:r>
          </w:p>
        </w:tc>
      </w:tr>
      <w:tr>
        <w:tblPrEx>
          <w:tblLayout w:type="fixed"/>
          <w:tblCellMar>
            <w:top w:w="0" w:type="dxa"/>
            <w:left w:w="108" w:type="dxa"/>
            <w:bottom w:w="0" w:type="dxa"/>
            <w:right w:w="108" w:type="dxa"/>
          </w:tblCellMar>
        </w:tblPrEx>
        <w:trPr>
          <w:trHeight w:val="1249" w:hRule="atLeast"/>
        </w:trPr>
        <w:tc>
          <w:tcPr>
            <w:tcW w:w="724"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sz w:val="22"/>
              </w:rPr>
            </w:pPr>
            <w:r>
              <w:rPr>
                <w:sz w:val="22"/>
              </w:rPr>
              <w:t>1</w:t>
            </w:r>
          </w:p>
        </w:tc>
        <w:tc>
          <w:tcPr>
            <w:tcW w:w="1618" w:type="dxa"/>
            <w:tcBorders>
              <w:top w:val="nil"/>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双视角手提行李</w:t>
            </w:r>
            <w:r>
              <w:rPr>
                <w:sz w:val="22"/>
              </w:rPr>
              <w:t>X</w:t>
            </w:r>
            <w:r>
              <w:rPr>
                <w:rFonts w:hint="eastAsia"/>
                <w:sz w:val="22"/>
              </w:rPr>
              <w:t>射线机</w:t>
            </w:r>
          </w:p>
        </w:tc>
        <w:tc>
          <w:tcPr>
            <w:tcW w:w="1027" w:type="dxa"/>
            <w:tcBorders>
              <w:top w:val="nil"/>
              <w:left w:val="nil"/>
              <w:bottom w:val="single" w:color="auto" w:sz="4" w:space="0"/>
              <w:right w:val="single" w:color="auto" w:sz="4" w:space="0"/>
            </w:tcBorders>
            <w:vAlign w:val="center"/>
          </w:tcPr>
          <w:p>
            <w:pPr>
              <w:adjustRightInd w:val="0"/>
              <w:snapToGrid w:val="0"/>
              <w:spacing w:line="440" w:lineRule="exact"/>
              <w:jc w:val="center"/>
              <w:rPr>
                <w:sz w:val="22"/>
              </w:rPr>
            </w:pPr>
            <w:r>
              <w:rPr>
                <w:sz w:val="22"/>
              </w:rPr>
              <w:t>6</w:t>
            </w:r>
            <w:r>
              <w:rPr>
                <w:rFonts w:hint="eastAsia"/>
                <w:sz w:val="22"/>
              </w:rPr>
              <w:t>台</w:t>
            </w:r>
          </w:p>
        </w:tc>
        <w:tc>
          <w:tcPr>
            <w:tcW w:w="3118" w:type="dxa"/>
            <w:tcBorders>
              <w:top w:val="nil"/>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旅客、工作人员携带的行李物品进行安全检查</w:t>
            </w:r>
          </w:p>
        </w:tc>
        <w:tc>
          <w:tcPr>
            <w:tcW w:w="2410" w:type="dxa"/>
            <w:tcBorders>
              <w:top w:val="nil"/>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设备验收由航科院安技中心实施，费用由投标人承担</w:t>
            </w:r>
          </w:p>
        </w:tc>
        <w:tc>
          <w:tcPr>
            <w:tcW w:w="1508" w:type="dxa"/>
            <w:tcBorders>
              <w:top w:val="nil"/>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杭州萧山国际机场</w:t>
            </w:r>
          </w:p>
        </w:tc>
      </w:tr>
      <w:tr>
        <w:tblPrEx>
          <w:tblLayout w:type="fixed"/>
          <w:tblCellMar>
            <w:top w:w="0" w:type="dxa"/>
            <w:left w:w="108" w:type="dxa"/>
            <w:bottom w:w="0" w:type="dxa"/>
            <w:right w:w="108" w:type="dxa"/>
          </w:tblCellMar>
        </w:tblPrEx>
        <w:trPr>
          <w:trHeight w:val="1125" w:hRule="atLeast"/>
        </w:trPr>
        <w:tc>
          <w:tcPr>
            <w:tcW w:w="724" w:type="dxa"/>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sz w:val="22"/>
              </w:rPr>
            </w:pPr>
            <w:r>
              <w:rPr>
                <w:sz w:val="22"/>
              </w:rPr>
              <w:t>2</w:t>
            </w:r>
          </w:p>
        </w:tc>
        <w:tc>
          <w:tcPr>
            <w:tcW w:w="1618" w:type="dxa"/>
            <w:tcBorders>
              <w:top w:val="nil"/>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旅客行李</w:t>
            </w:r>
            <w:r>
              <w:rPr>
                <w:sz w:val="22"/>
              </w:rPr>
              <w:t>X</w:t>
            </w:r>
            <w:r>
              <w:rPr>
                <w:rFonts w:hint="eastAsia"/>
                <w:sz w:val="22"/>
              </w:rPr>
              <w:t>射线机验收测试箱</w:t>
            </w:r>
          </w:p>
        </w:tc>
        <w:tc>
          <w:tcPr>
            <w:tcW w:w="1027" w:type="dxa"/>
            <w:tcBorders>
              <w:top w:val="nil"/>
              <w:left w:val="nil"/>
              <w:bottom w:val="single" w:color="auto" w:sz="4" w:space="0"/>
              <w:right w:val="single" w:color="auto" w:sz="4" w:space="0"/>
            </w:tcBorders>
            <w:vAlign w:val="center"/>
          </w:tcPr>
          <w:p>
            <w:pPr>
              <w:adjustRightInd w:val="0"/>
              <w:snapToGrid w:val="0"/>
              <w:spacing w:line="440" w:lineRule="exact"/>
              <w:jc w:val="center"/>
              <w:rPr>
                <w:sz w:val="22"/>
              </w:rPr>
            </w:pPr>
            <w:r>
              <w:rPr>
                <w:sz w:val="22"/>
              </w:rPr>
              <w:t>1</w:t>
            </w:r>
            <w:r>
              <w:rPr>
                <w:rFonts w:hint="eastAsia"/>
                <w:sz w:val="22"/>
              </w:rPr>
              <w:t>套</w:t>
            </w:r>
          </w:p>
        </w:tc>
        <w:tc>
          <w:tcPr>
            <w:tcW w:w="3118" w:type="dxa"/>
            <w:tcBorders>
              <w:top w:val="nil"/>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用于对新安装设备的验收</w:t>
            </w:r>
          </w:p>
        </w:tc>
        <w:tc>
          <w:tcPr>
            <w:tcW w:w="2410" w:type="dxa"/>
            <w:tcBorders>
              <w:top w:val="nil"/>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最新民航局验收标准测试箱</w:t>
            </w:r>
          </w:p>
        </w:tc>
        <w:tc>
          <w:tcPr>
            <w:tcW w:w="1508" w:type="dxa"/>
            <w:tcBorders>
              <w:top w:val="nil"/>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杭州萧山国际机场</w:t>
            </w:r>
          </w:p>
        </w:tc>
      </w:tr>
      <w:tr>
        <w:tblPrEx>
          <w:tblLayout w:type="fixed"/>
          <w:tblCellMar>
            <w:top w:w="0" w:type="dxa"/>
            <w:left w:w="108" w:type="dxa"/>
            <w:bottom w:w="0" w:type="dxa"/>
            <w:right w:w="108" w:type="dxa"/>
          </w:tblCellMar>
        </w:tblPrEx>
        <w:trPr>
          <w:trHeight w:val="1125"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3</w:t>
            </w:r>
          </w:p>
        </w:tc>
        <w:tc>
          <w:tcPr>
            <w:tcW w:w="16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双视角手提行李</w:t>
            </w:r>
            <w:r>
              <w:rPr>
                <w:sz w:val="22"/>
              </w:rPr>
              <w:t>X</w:t>
            </w:r>
            <w:r>
              <w:rPr>
                <w:rFonts w:hint="eastAsia"/>
                <w:sz w:val="22"/>
              </w:rPr>
              <w:t>射线机</w:t>
            </w:r>
          </w:p>
        </w:tc>
        <w:tc>
          <w:tcPr>
            <w:tcW w:w="1027"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3台</w:t>
            </w:r>
          </w:p>
        </w:tc>
        <w:tc>
          <w:tcPr>
            <w:tcW w:w="31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旅客、工作人员随带的行李物品进行安全检查</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设备验收由航科院安技中心实施，费用由投标人承担</w:t>
            </w:r>
          </w:p>
        </w:tc>
        <w:tc>
          <w:tcPr>
            <w:tcW w:w="1508"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义乌机场</w:t>
            </w:r>
          </w:p>
        </w:tc>
      </w:tr>
      <w:tr>
        <w:tblPrEx>
          <w:tblLayout w:type="fixed"/>
          <w:tblCellMar>
            <w:top w:w="0" w:type="dxa"/>
            <w:left w:w="108" w:type="dxa"/>
            <w:bottom w:w="0" w:type="dxa"/>
            <w:right w:w="108" w:type="dxa"/>
          </w:tblCellMar>
        </w:tblPrEx>
        <w:trPr>
          <w:trHeight w:val="1125"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4</w:t>
            </w:r>
          </w:p>
        </w:tc>
        <w:tc>
          <w:tcPr>
            <w:tcW w:w="16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端接平台</w:t>
            </w:r>
          </w:p>
        </w:tc>
        <w:tc>
          <w:tcPr>
            <w:tcW w:w="1027"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8套</w:t>
            </w:r>
          </w:p>
        </w:tc>
        <w:tc>
          <w:tcPr>
            <w:tcW w:w="31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连接X射线机前后端，以方便旅客拖动行李</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符合MH/T7003-2017要求，至少3.5米</w:t>
            </w:r>
          </w:p>
        </w:tc>
        <w:tc>
          <w:tcPr>
            <w:tcW w:w="1508"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义乌机场</w:t>
            </w:r>
          </w:p>
        </w:tc>
      </w:tr>
      <w:tr>
        <w:tblPrEx>
          <w:tblLayout w:type="fixed"/>
          <w:tblCellMar>
            <w:top w:w="0" w:type="dxa"/>
            <w:left w:w="108" w:type="dxa"/>
            <w:bottom w:w="0" w:type="dxa"/>
            <w:right w:w="108" w:type="dxa"/>
          </w:tblCellMar>
        </w:tblPrEx>
        <w:trPr>
          <w:trHeight w:val="1125"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5</w:t>
            </w:r>
          </w:p>
        </w:tc>
        <w:tc>
          <w:tcPr>
            <w:tcW w:w="16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超规行李双视角X射线机</w:t>
            </w:r>
          </w:p>
        </w:tc>
        <w:tc>
          <w:tcPr>
            <w:tcW w:w="1027"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1台</w:t>
            </w:r>
          </w:p>
        </w:tc>
        <w:tc>
          <w:tcPr>
            <w:tcW w:w="31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旅客携带的超规行李物品进行安全检查</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设备验收由航科院安技中心实施，费用由投标人承担</w:t>
            </w:r>
          </w:p>
        </w:tc>
        <w:tc>
          <w:tcPr>
            <w:tcW w:w="1508"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义乌机场</w:t>
            </w:r>
          </w:p>
        </w:tc>
      </w:tr>
      <w:tr>
        <w:tblPrEx>
          <w:tblLayout w:type="fixed"/>
          <w:tblCellMar>
            <w:top w:w="0" w:type="dxa"/>
            <w:left w:w="108" w:type="dxa"/>
            <w:bottom w:w="0" w:type="dxa"/>
            <w:right w:w="108" w:type="dxa"/>
          </w:tblCellMar>
        </w:tblPrEx>
        <w:trPr>
          <w:trHeight w:val="1125"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6</w:t>
            </w:r>
          </w:p>
        </w:tc>
        <w:tc>
          <w:tcPr>
            <w:tcW w:w="16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北京工厂培训</w:t>
            </w:r>
          </w:p>
        </w:tc>
        <w:tc>
          <w:tcPr>
            <w:tcW w:w="1027"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2人</w:t>
            </w:r>
          </w:p>
        </w:tc>
        <w:tc>
          <w:tcPr>
            <w:tcW w:w="31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厂家对维修人员进行维修培训</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包含培训费用</w:t>
            </w:r>
          </w:p>
        </w:tc>
        <w:tc>
          <w:tcPr>
            <w:tcW w:w="1508"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义乌机场</w:t>
            </w:r>
          </w:p>
        </w:tc>
      </w:tr>
      <w:tr>
        <w:tblPrEx>
          <w:tblLayout w:type="fixed"/>
          <w:tblCellMar>
            <w:top w:w="0" w:type="dxa"/>
            <w:left w:w="108" w:type="dxa"/>
            <w:bottom w:w="0" w:type="dxa"/>
            <w:right w:w="108" w:type="dxa"/>
          </w:tblCellMar>
        </w:tblPrEx>
        <w:trPr>
          <w:trHeight w:val="1125"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7</w:t>
            </w:r>
          </w:p>
        </w:tc>
        <w:tc>
          <w:tcPr>
            <w:tcW w:w="16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货运双视角X射线机</w:t>
            </w:r>
          </w:p>
        </w:tc>
        <w:tc>
          <w:tcPr>
            <w:tcW w:w="1027"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2台</w:t>
            </w:r>
          </w:p>
        </w:tc>
        <w:tc>
          <w:tcPr>
            <w:tcW w:w="31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对进入隔离区的货物进行安全检查</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设备验收由航科院安技中心实施，费用由投标人承担</w:t>
            </w:r>
          </w:p>
        </w:tc>
        <w:tc>
          <w:tcPr>
            <w:tcW w:w="1508"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杭州萧山国际机场</w:t>
            </w:r>
          </w:p>
        </w:tc>
      </w:tr>
      <w:tr>
        <w:tblPrEx>
          <w:tblLayout w:type="fixed"/>
          <w:tblCellMar>
            <w:top w:w="0" w:type="dxa"/>
            <w:left w:w="108" w:type="dxa"/>
            <w:bottom w:w="0" w:type="dxa"/>
            <w:right w:w="108" w:type="dxa"/>
          </w:tblCellMar>
        </w:tblPrEx>
        <w:trPr>
          <w:trHeight w:val="1125" w:hRule="atLeast"/>
        </w:trPr>
        <w:tc>
          <w:tcPr>
            <w:tcW w:w="7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8</w:t>
            </w:r>
          </w:p>
        </w:tc>
        <w:tc>
          <w:tcPr>
            <w:tcW w:w="16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前端动力平台</w:t>
            </w:r>
          </w:p>
        </w:tc>
        <w:tc>
          <w:tcPr>
            <w:tcW w:w="1027"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2台</w:t>
            </w:r>
          </w:p>
        </w:tc>
        <w:tc>
          <w:tcPr>
            <w:tcW w:w="3118"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r>
              <w:rPr>
                <w:rFonts w:hint="eastAsia"/>
                <w:sz w:val="22"/>
              </w:rPr>
              <w:t>将货物先放在动力平台上，对</w:t>
            </w:r>
            <w:r>
              <w:rPr>
                <w:sz w:val="22"/>
              </w:rPr>
              <w:t>X</w:t>
            </w:r>
            <w:r>
              <w:rPr>
                <w:rFonts w:hint="eastAsia"/>
                <w:sz w:val="22"/>
              </w:rPr>
              <w:t>光机入口输送部分进行保护，并减小货运人员工作强度</w:t>
            </w:r>
          </w:p>
        </w:tc>
        <w:tc>
          <w:tcPr>
            <w:tcW w:w="2410" w:type="dxa"/>
            <w:tcBorders>
              <w:top w:val="single" w:color="auto" w:sz="4" w:space="0"/>
              <w:left w:val="nil"/>
              <w:bottom w:val="single" w:color="auto" w:sz="4" w:space="0"/>
              <w:right w:val="single" w:color="auto" w:sz="4" w:space="0"/>
            </w:tcBorders>
            <w:vAlign w:val="center"/>
          </w:tcPr>
          <w:p>
            <w:pPr>
              <w:adjustRightInd w:val="0"/>
              <w:snapToGrid w:val="0"/>
              <w:spacing w:line="440" w:lineRule="exact"/>
              <w:rPr>
                <w:sz w:val="22"/>
              </w:rPr>
            </w:pPr>
          </w:p>
        </w:tc>
        <w:tc>
          <w:tcPr>
            <w:tcW w:w="1508"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sz w:val="22"/>
              </w:rPr>
            </w:pPr>
            <w:r>
              <w:rPr>
                <w:rFonts w:hint="eastAsia"/>
                <w:sz w:val="22"/>
              </w:rPr>
              <w:t>杭州萧山国际机场</w:t>
            </w:r>
          </w:p>
        </w:tc>
      </w:tr>
    </w:tbl>
    <w:p>
      <w:pPr>
        <w:pStyle w:val="144"/>
        <w:autoSpaceDE w:val="0"/>
        <w:autoSpaceDN w:val="0"/>
        <w:snapToGrid w:val="0"/>
        <w:spacing w:line="360" w:lineRule="auto"/>
        <w:ind w:right="-468" w:rightChars="-195"/>
        <w:textAlignment w:val="bottom"/>
        <w:rPr>
          <w:rFonts w:ascii="等线" w:hAnsi="等线" w:eastAsia="等线"/>
          <w:sz w:val="22"/>
          <w:szCs w:val="22"/>
        </w:rPr>
      </w:pPr>
      <w:r>
        <w:rPr>
          <w:rFonts w:hint="eastAsia" w:ascii="等线" w:hAnsi="等线" w:eastAsia="等线"/>
          <w:b/>
          <w:sz w:val="22"/>
          <w:szCs w:val="22"/>
        </w:rPr>
        <w:t>注：买方保留在签约时对货物规格及数量作适当调整的权利。</w:t>
      </w:r>
    </w:p>
    <w:bookmarkEnd w:id="91"/>
    <w:bookmarkEnd w:id="92"/>
    <w:bookmarkEnd w:id="93"/>
    <w:p>
      <w:pPr>
        <w:pStyle w:val="4"/>
        <w:numPr>
          <w:ilvl w:val="0"/>
          <w:numId w:val="6"/>
        </w:numPr>
        <w:snapToGrid w:val="0"/>
        <w:spacing w:line="360" w:lineRule="auto"/>
        <w:rPr>
          <w:rFonts w:ascii="等线" w:hAnsi="等线" w:eastAsia="等线"/>
          <w:sz w:val="22"/>
          <w:szCs w:val="22"/>
        </w:rPr>
      </w:pPr>
      <w:bookmarkStart w:id="94" w:name="_Toc416254180"/>
      <w:bookmarkStart w:id="95" w:name="_Toc6028355"/>
      <w:bookmarkStart w:id="96" w:name="_Toc6028445"/>
      <w:bookmarkStart w:id="97" w:name="_Toc6109317"/>
      <w:bookmarkStart w:id="98" w:name="_Toc507820966"/>
      <w:bookmarkStart w:id="99" w:name="_Toc6026277"/>
      <w:r>
        <w:rPr>
          <w:rFonts w:hint="eastAsia" w:ascii="等线" w:hAnsi="等线" w:eastAsia="等线"/>
          <w:b w:val="0"/>
          <w:sz w:val="22"/>
          <w:szCs w:val="22"/>
        </w:rPr>
        <w:t>完成期限</w:t>
      </w:r>
      <w:bookmarkEnd w:id="94"/>
      <w:bookmarkEnd w:id="95"/>
      <w:bookmarkEnd w:id="96"/>
      <w:bookmarkEnd w:id="97"/>
      <w:bookmarkEnd w:id="98"/>
      <w:bookmarkEnd w:id="99"/>
    </w:p>
    <w:p>
      <w:pPr>
        <w:pStyle w:val="100"/>
        <w:keepNext w:val="0"/>
        <w:keepLines w:val="0"/>
        <w:numPr>
          <w:ilvl w:val="0"/>
          <w:numId w:val="7"/>
        </w:numPr>
        <w:tabs>
          <w:tab w:val="left" w:pos="624"/>
          <w:tab w:val="left" w:pos="1021"/>
          <w:tab w:val="clear" w:pos="864"/>
        </w:tabs>
        <w:adjustRightInd w:val="0"/>
        <w:snapToGrid w:val="0"/>
        <w:spacing w:before="0" w:after="0"/>
        <w:ind w:left="898" w:leftChars="14"/>
        <w:jc w:val="left"/>
        <w:textAlignment w:val="baseline"/>
        <w:outlineLvl w:val="9"/>
        <w:rPr>
          <w:rFonts w:ascii="等线" w:hAnsi="等线" w:eastAsia="等线"/>
          <w:sz w:val="22"/>
          <w:szCs w:val="22"/>
        </w:rPr>
      </w:pPr>
      <w:r>
        <w:rPr>
          <w:rFonts w:hint="eastAsia" w:ascii="等线" w:hAnsi="等线" w:eastAsia="等线"/>
          <w:sz w:val="22"/>
          <w:szCs w:val="22"/>
        </w:rPr>
        <w:t>合同生效后1个月内完成技术联络审定，并提出设备安装图、工程进度表。其中，需要预埋的预埋件和管线，应在20天内提交预埋图纸，否则，由中标人自行解决。</w:t>
      </w:r>
    </w:p>
    <w:p>
      <w:pPr>
        <w:pStyle w:val="100"/>
        <w:keepNext w:val="0"/>
        <w:keepLines w:val="0"/>
        <w:numPr>
          <w:ilvl w:val="0"/>
          <w:numId w:val="7"/>
        </w:numPr>
        <w:tabs>
          <w:tab w:val="left" w:pos="624"/>
          <w:tab w:val="left" w:pos="1021"/>
          <w:tab w:val="clear" w:pos="864"/>
        </w:tabs>
        <w:adjustRightInd w:val="0"/>
        <w:snapToGrid w:val="0"/>
        <w:spacing w:before="0" w:after="0"/>
        <w:ind w:left="898" w:leftChars="14"/>
        <w:jc w:val="left"/>
        <w:textAlignment w:val="baseline"/>
        <w:outlineLvl w:val="9"/>
        <w:rPr>
          <w:rFonts w:ascii="等线" w:hAnsi="等线" w:eastAsia="等线"/>
          <w:sz w:val="22"/>
          <w:szCs w:val="22"/>
        </w:rPr>
      </w:pPr>
      <w:r>
        <w:rPr>
          <w:rFonts w:hint="eastAsia" w:ascii="等线" w:hAnsi="等线" w:eastAsia="等线"/>
          <w:sz w:val="22"/>
          <w:szCs w:val="22"/>
        </w:rPr>
        <w:t>交货地点：进口、国产设备均运至杭州萧山国际机场内指定地点交货。</w:t>
      </w:r>
    </w:p>
    <w:p>
      <w:pPr>
        <w:pStyle w:val="100"/>
        <w:keepNext w:val="0"/>
        <w:keepLines w:val="0"/>
        <w:numPr>
          <w:ilvl w:val="0"/>
          <w:numId w:val="7"/>
        </w:numPr>
        <w:tabs>
          <w:tab w:val="left" w:pos="624"/>
          <w:tab w:val="left" w:pos="1021"/>
          <w:tab w:val="clear" w:pos="864"/>
        </w:tabs>
        <w:adjustRightInd w:val="0"/>
        <w:snapToGrid w:val="0"/>
        <w:spacing w:before="0" w:after="0"/>
        <w:ind w:left="898" w:leftChars="14"/>
        <w:jc w:val="left"/>
        <w:textAlignment w:val="baseline"/>
        <w:outlineLvl w:val="9"/>
        <w:rPr>
          <w:rFonts w:ascii="等线" w:hAnsi="等线" w:eastAsia="等线"/>
          <w:sz w:val="22"/>
          <w:szCs w:val="22"/>
        </w:rPr>
      </w:pPr>
      <w:r>
        <w:rPr>
          <w:rFonts w:hint="eastAsia" w:ascii="等线" w:hAnsi="等线" w:eastAsia="等线"/>
          <w:sz w:val="22"/>
          <w:szCs w:val="22"/>
        </w:rPr>
        <w:t>交货期：合同签订之日起30日历天内。中标人必须在</w:t>
      </w:r>
      <w:r>
        <w:rPr>
          <w:rFonts w:hint="eastAsia" w:ascii="等线" w:hAnsi="等线" w:eastAsia="等线"/>
          <w:color w:val="FF0000"/>
          <w:sz w:val="22"/>
          <w:szCs w:val="22"/>
        </w:rPr>
        <w:t>2019年10月31日</w:t>
      </w:r>
      <w:r>
        <w:rPr>
          <w:rFonts w:hint="eastAsia" w:ascii="等线" w:hAnsi="等线" w:eastAsia="等线"/>
          <w:sz w:val="22"/>
          <w:szCs w:val="22"/>
        </w:rPr>
        <w:t>前完成所有设备的安装、调试、试运行，验收交付最终用户使用，具体工期根据需要确定，应在标书中给予明确生产、安装、调试周期。具体时间无条件地服从业主安排。中途一切设备保管、运输、保险等全部工作由中标人负责。</w:t>
      </w:r>
    </w:p>
    <w:p>
      <w:pPr>
        <w:pStyle w:val="4"/>
        <w:numPr>
          <w:ilvl w:val="0"/>
          <w:numId w:val="6"/>
        </w:numPr>
        <w:snapToGrid w:val="0"/>
        <w:spacing w:line="360" w:lineRule="auto"/>
        <w:rPr>
          <w:rFonts w:ascii="等线" w:hAnsi="等线" w:eastAsia="等线"/>
          <w:sz w:val="22"/>
          <w:szCs w:val="22"/>
        </w:rPr>
      </w:pPr>
      <w:bookmarkStart w:id="100" w:name="_Toc498227180"/>
      <w:bookmarkStart w:id="101" w:name="_Toc498227707"/>
      <w:bookmarkStart w:id="102" w:name="_Toc498228782"/>
      <w:bookmarkStart w:id="103" w:name="_Toc507820967"/>
      <w:bookmarkStart w:id="104" w:name="_Toc6026278"/>
      <w:bookmarkStart w:id="105" w:name="_Toc6028356"/>
      <w:bookmarkStart w:id="106" w:name="_Toc6028446"/>
      <w:bookmarkStart w:id="107" w:name="_Toc6109318"/>
      <w:bookmarkStart w:id="108" w:name="_Toc416254181"/>
      <w:r>
        <w:rPr>
          <w:rFonts w:hint="eastAsia" w:ascii="等线" w:hAnsi="等线" w:eastAsia="等线"/>
          <w:b w:val="0"/>
          <w:sz w:val="22"/>
          <w:szCs w:val="22"/>
        </w:rPr>
        <w:t>偏离申明与建议</w:t>
      </w:r>
      <w:bookmarkEnd w:id="100"/>
      <w:bookmarkEnd w:id="101"/>
      <w:bookmarkEnd w:id="102"/>
      <w:bookmarkEnd w:id="103"/>
      <w:bookmarkEnd w:id="104"/>
      <w:bookmarkEnd w:id="105"/>
      <w:bookmarkEnd w:id="106"/>
      <w:bookmarkEnd w:id="107"/>
      <w:bookmarkEnd w:id="108"/>
      <w:bookmarkStart w:id="109" w:name="_Toc6028357"/>
      <w:bookmarkStart w:id="110" w:name="_Toc6028447"/>
      <w:bookmarkStart w:id="111" w:name="_Toc6109319"/>
      <w:bookmarkStart w:id="112" w:name="_Toc507820968"/>
      <w:bookmarkStart w:id="113" w:name="_Toc498227181"/>
      <w:bookmarkStart w:id="114" w:name="_Toc498228783"/>
      <w:bookmarkStart w:id="115" w:name="_Toc6026279"/>
    </w:p>
    <w:p>
      <w:pPr>
        <w:pStyle w:val="4"/>
        <w:numPr>
          <w:ilvl w:val="0"/>
          <w:numId w:val="8"/>
        </w:numPr>
        <w:snapToGrid w:val="0"/>
        <w:spacing w:line="360" w:lineRule="auto"/>
        <w:rPr>
          <w:rFonts w:ascii="等线" w:hAnsi="等线" w:eastAsia="等线"/>
          <w:b w:val="0"/>
          <w:sz w:val="22"/>
          <w:szCs w:val="22"/>
        </w:rPr>
      </w:pPr>
      <w:r>
        <w:rPr>
          <w:rFonts w:hint="eastAsia" w:ascii="等线" w:hAnsi="等线" w:eastAsia="等线"/>
          <w:b w:val="0"/>
          <w:sz w:val="22"/>
          <w:szCs w:val="22"/>
        </w:rPr>
        <w:t>偏离申明</w:t>
      </w:r>
      <w:bookmarkEnd w:id="109"/>
      <w:bookmarkEnd w:id="110"/>
      <w:bookmarkEnd w:id="111"/>
      <w:bookmarkEnd w:id="112"/>
      <w:bookmarkEnd w:id="113"/>
      <w:bookmarkEnd w:id="114"/>
      <w:bookmarkEnd w:id="115"/>
    </w:p>
    <w:p>
      <w:pPr>
        <w:pStyle w:val="32"/>
        <w:snapToGrid w:val="0"/>
        <w:spacing w:after="0" w:line="360" w:lineRule="auto"/>
        <w:ind w:left="0" w:leftChars="0" w:firstLine="440" w:firstLineChars="200"/>
        <w:rPr>
          <w:rFonts w:ascii="等线" w:hAnsi="等线" w:eastAsia="等线"/>
          <w:sz w:val="22"/>
          <w:szCs w:val="22"/>
        </w:rPr>
      </w:pPr>
      <w:r>
        <w:rPr>
          <w:rFonts w:hint="eastAsia" w:ascii="等线" w:hAnsi="等线" w:eastAsia="等线"/>
          <w:sz w:val="22"/>
          <w:szCs w:val="22"/>
        </w:rPr>
        <w:t>投标人所提供的的设备参数，必须满足本技术标书中各章所提出的各项技术数据和技术要求，并在规定的时间内完成各项工作。任何偏差都必须列入“</w:t>
      </w:r>
      <w:r>
        <w:rPr>
          <w:rFonts w:hint="eastAsia" w:ascii="等线" w:hAnsi="等线" w:eastAsia="等线" w:cs="宋体"/>
          <w:sz w:val="22"/>
          <w:szCs w:val="22"/>
        </w:rPr>
        <w:t>技术规格偏离表</w:t>
      </w:r>
      <w:r>
        <w:rPr>
          <w:rFonts w:hint="eastAsia" w:ascii="等线" w:hAnsi="等线" w:eastAsia="等线"/>
          <w:sz w:val="22"/>
          <w:szCs w:val="22"/>
        </w:rPr>
        <w:t>”中，中标后，投标人在合同谈判中的任何偏差都不得超越已被招标人确认的条款。</w:t>
      </w:r>
    </w:p>
    <w:p>
      <w:pPr>
        <w:pStyle w:val="5"/>
        <w:snapToGrid w:val="0"/>
        <w:spacing w:before="0" w:after="0" w:line="360" w:lineRule="auto"/>
        <w:ind w:firstLine="440" w:firstLineChars="200"/>
        <w:rPr>
          <w:rFonts w:ascii="等线" w:hAnsi="等线" w:eastAsia="等线"/>
          <w:sz w:val="22"/>
          <w:szCs w:val="22"/>
        </w:rPr>
      </w:pPr>
      <w:bookmarkStart w:id="116" w:name="_Toc6109320"/>
      <w:bookmarkStart w:id="117" w:name="_Toc6028448"/>
      <w:bookmarkStart w:id="118" w:name="_Toc6028358"/>
      <w:bookmarkStart w:id="119" w:name="_Toc6026280"/>
      <w:bookmarkStart w:id="120" w:name="_Toc507820969"/>
      <w:bookmarkStart w:id="121" w:name="_Toc498228784"/>
      <w:bookmarkStart w:id="122" w:name="_Toc498227182"/>
      <w:r>
        <w:rPr>
          <w:rFonts w:hint="eastAsia" w:ascii="等线" w:hAnsi="等线" w:eastAsia="等线"/>
          <w:sz w:val="22"/>
          <w:szCs w:val="22"/>
        </w:rPr>
        <w:t>2）建议</w:t>
      </w:r>
      <w:bookmarkEnd w:id="116"/>
      <w:bookmarkEnd w:id="117"/>
      <w:bookmarkEnd w:id="118"/>
      <w:bookmarkEnd w:id="119"/>
      <w:bookmarkEnd w:id="120"/>
      <w:bookmarkEnd w:id="121"/>
      <w:bookmarkEnd w:id="122"/>
    </w:p>
    <w:p>
      <w:pPr>
        <w:pStyle w:val="32"/>
        <w:snapToGrid w:val="0"/>
        <w:spacing w:after="0" w:line="360" w:lineRule="auto"/>
        <w:ind w:left="0" w:leftChars="0" w:firstLine="440" w:firstLineChars="200"/>
        <w:rPr>
          <w:rFonts w:ascii="等线" w:hAnsi="等线" w:eastAsia="等线"/>
          <w:sz w:val="22"/>
          <w:szCs w:val="22"/>
        </w:rPr>
      </w:pPr>
      <w:r>
        <w:rPr>
          <w:rFonts w:hint="eastAsia" w:ascii="等线" w:hAnsi="等线" w:eastAsia="等线"/>
          <w:sz w:val="22"/>
          <w:szCs w:val="22"/>
        </w:rPr>
        <w:t>投标人若对系统布置或设备选用有新的建议，可在投标书中提出，评标按本标书的要求进行, 投标人的建议方案不作为评标时的评判依据。若中标后，招标人有权选择投标人的建议方案，但功能和技术要求必须优于原方案，且建议方案的总报价必须小于或等于原方案的总报价。</w:t>
      </w:r>
    </w:p>
    <w:p>
      <w:pPr>
        <w:pStyle w:val="3"/>
        <w:numPr>
          <w:ilvl w:val="0"/>
          <w:numId w:val="9"/>
        </w:numPr>
        <w:snapToGrid w:val="0"/>
        <w:spacing w:before="0" w:after="0"/>
        <w:rPr>
          <w:rFonts w:ascii="等线" w:hAnsi="等线" w:eastAsia="等线"/>
          <w:sz w:val="32"/>
        </w:rPr>
      </w:pPr>
      <w:bookmarkStart w:id="123" w:name="_Toc498228785"/>
      <w:bookmarkStart w:id="124" w:name="_Toc498227708"/>
      <w:bookmarkStart w:id="125" w:name="_Toc498227183"/>
      <w:bookmarkStart w:id="126" w:name="_Toc6109321"/>
      <w:bookmarkStart w:id="127" w:name="_Toc6028449"/>
      <w:bookmarkStart w:id="128" w:name="_Toc6028359"/>
      <w:bookmarkStart w:id="129" w:name="_Toc6026281"/>
      <w:bookmarkStart w:id="130" w:name="_Toc416254182"/>
      <w:bookmarkStart w:id="131" w:name="_Toc507820970"/>
      <w:r>
        <w:rPr>
          <w:rFonts w:hint="eastAsia" w:ascii="等线" w:hAnsi="等线" w:eastAsia="等线"/>
          <w:sz w:val="32"/>
        </w:rPr>
        <w:t>总则</w:t>
      </w:r>
      <w:bookmarkEnd w:id="123"/>
      <w:bookmarkEnd w:id="124"/>
      <w:bookmarkEnd w:id="125"/>
      <w:bookmarkEnd w:id="126"/>
      <w:bookmarkEnd w:id="127"/>
      <w:bookmarkEnd w:id="128"/>
      <w:bookmarkEnd w:id="129"/>
      <w:bookmarkEnd w:id="130"/>
      <w:bookmarkEnd w:id="131"/>
    </w:p>
    <w:p>
      <w:pPr>
        <w:pStyle w:val="4"/>
        <w:numPr>
          <w:ilvl w:val="0"/>
          <w:numId w:val="0"/>
        </w:numPr>
        <w:tabs>
          <w:tab w:val="left" w:pos="420"/>
        </w:tabs>
        <w:snapToGrid w:val="0"/>
        <w:spacing w:line="360" w:lineRule="auto"/>
        <w:rPr>
          <w:rFonts w:ascii="等线" w:hAnsi="等线" w:eastAsia="等线"/>
          <w:sz w:val="22"/>
          <w:szCs w:val="22"/>
        </w:rPr>
      </w:pPr>
      <w:bookmarkStart w:id="132" w:name="_Toc416254183"/>
      <w:bookmarkStart w:id="133" w:name="_Toc6109327"/>
      <w:bookmarkStart w:id="134" w:name="_Toc6028455"/>
      <w:bookmarkStart w:id="135" w:name="_Toc6028365"/>
      <w:bookmarkStart w:id="136" w:name="_Toc6026287"/>
      <w:bookmarkStart w:id="137" w:name="_Toc507820975"/>
      <w:bookmarkStart w:id="138" w:name="_Toc498228790"/>
      <w:bookmarkStart w:id="139" w:name="_Toc498227188"/>
      <w:r>
        <w:rPr>
          <w:rFonts w:hint="eastAsia" w:ascii="等线" w:hAnsi="等线" w:eastAsia="等线"/>
          <w:sz w:val="22"/>
          <w:szCs w:val="22"/>
        </w:rPr>
        <w:t>1、</w:t>
      </w:r>
      <w:r>
        <w:rPr>
          <w:rFonts w:hint="eastAsia" w:ascii="等线" w:hAnsi="等线" w:eastAsia="等线"/>
          <w:b w:val="0"/>
          <w:sz w:val="22"/>
          <w:szCs w:val="22"/>
        </w:rPr>
        <w:t>安装位置</w:t>
      </w:r>
      <w:bookmarkEnd w:id="132"/>
      <w:bookmarkEnd w:id="133"/>
      <w:bookmarkEnd w:id="134"/>
      <w:bookmarkEnd w:id="135"/>
      <w:bookmarkEnd w:id="136"/>
      <w:bookmarkEnd w:id="137"/>
      <w:bookmarkEnd w:id="138"/>
      <w:bookmarkEnd w:id="139"/>
    </w:p>
    <w:p>
      <w:pPr>
        <w:pStyle w:val="32"/>
        <w:snapToGrid w:val="0"/>
        <w:spacing w:after="0" w:line="360" w:lineRule="auto"/>
        <w:ind w:left="0" w:leftChars="0" w:firstLine="440" w:firstLineChars="200"/>
        <w:rPr>
          <w:rFonts w:ascii="等线" w:hAnsi="等线" w:eastAsia="等线"/>
          <w:sz w:val="22"/>
          <w:szCs w:val="22"/>
        </w:rPr>
      </w:pPr>
      <w:r>
        <w:rPr>
          <w:rFonts w:hint="eastAsia" w:ascii="等线" w:hAnsi="等线" w:eastAsia="等线"/>
          <w:sz w:val="22"/>
          <w:szCs w:val="22"/>
        </w:rPr>
        <w:t>标书中所含设备均安装在杭州萧山机场安检区域或义乌机场安检区域。</w:t>
      </w:r>
    </w:p>
    <w:p>
      <w:pPr>
        <w:pStyle w:val="4"/>
        <w:numPr>
          <w:ilvl w:val="0"/>
          <w:numId w:val="10"/>
        </w:numPr>
        <w:snapToGrid w:val="0"/>
        <w:spacing w:line="360" w:lineRule="auto"/>
        <w:rPr>
          <w:rFonts w:ascii="等线" w:hAnsi="等线" w:eastAsia="等线"/>
          <w:sz w:val="22"/>
          <w:szCs w:val="22"/>
        </w:rPr>
      </w:pPr>
      <w:bookmarkStart w:id="140" w:name="_Toc416254184"/>
      <w:bookmarkStart w:id="141" w:name="_Toc6109328"/>
      <w:bookmarkStart w:id="142" w:name="_Toc6028456"/>
      <w:bookmarkStart w:id="143" w:name="_Toc6028366"/>
      <w:bookmarkStart w:id="144" w:name="_Toc6026288"/>
      <w:bookmarkStart w:id="145" w:name="_Toc507820976"/>
      <w:bookmarkStart w:id="146" w:name="_Toc498228791"/>
      <w:bookmarkStart w:id="147" w:name="_Toc498227189"/>
      <w:r>
        <w:rPr>
          <w:rFonts w:hint="eastAsia" w:ascii="等线" w:hAnsi="等线" w:eastAsia="等线"/>
          <w:b w:val="0"/>
          <w:sz w:val="22"/>
          <w:szCs w:val="22"/>
        </w:rPr>
        <w:t>气候条件</w:t>
      </w:r>
      <w:bookmarkEnd w:id="140"/>
      <w:bookmarkEnd w:id="141"/>
      <w:bookmarkEnd w:id="142"/>
      <w:bookmarkEnd w:id="143"/>
      <w:bookmarkEnd w:id="144"/>
      <w:bookmarkEnd w:id="145"/>
      <w:bookmarkEnd w:id="146"/>
      <w:bookmarkEnd w:id="147"/>
    </w:p>
    <w:p>
      <w:pPr>
        <w:pStyle w:val="100"/>
        <w:keepNext w:val="0"/>
        <w:keepLines w:val="0"/>
        <w:numPr>
          <w:ilvl w:val="0"/>
          <w:numId w:val="11"/>
        </w:numPr>
        <w:tabs>
          <w:tab w:val="left" w:pos="624"/>
          <w:tab w:val="left" w:pos="1021"/>
          <w:tab w:val="clear" w:pos="86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室内温度：夏季18℃ ---35℃</w:t>
      </w:r>
    </w:p>
    <w:p>
      <w:pPr>
        <w:pStyle w:val="100"/>
        <w:keepNext w:val="0"/>
        <w:keepLines w:val="0"/>
        <w:numPr>
          <w:ilvl w:val="0"/>
          <w:numId w:val="11"/>
        </w:numPr>
        <w:tabs>
          <w:tab w:val="left" w:pos="624"/>
          <w:tab w:val="left" w:pos="1021"/>
          <w:tab w:val="clear" w:pos="86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室内温度：冬季  5℃ ---20℃</w:t>
      </w:r>
    </w:p>
    <w:p>
      <w:pPr>
        <w:pStyle w:val="100"/>
        <w:keepNext w:val="0"/>
        <w:keepLines w:val="0"/>
        <w:numPr>
          <w:ilvl w:val="0"/>
          <w:numId w:val="11"/>
        </w:numPr>
        <w:tabs>
          <w:tab w:val="left" w:pos="624"/>
          <w:tab w:val="left" w:pos="1021"/>
          <w:tab w:val="clear" w:pos="86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相对湿度：40 ％</w:t>
      </w:r>
      <w:r>
        <w:rPr>
          <w:rFonts w:ascii="µÈÏß Western" w:hAnsi="µÈÏß Western" w:eastAsia="等线"/>
          <w:sz w:val="22"/>
          <w:szCs w:val="22"/>
        </w:rPr>
        <w:t>—</w:t>
      </w:r>
      <w:r>
        <w:rPr>
          <w:rFonts w:hint="eastAsia" w:ascii="等线" w:hAnsi="等线" w:eastAsia="等线"/>
          <w:sz w:val="22"/>
          <w:szCs w:val="22"/>
        </w:rPr>
        <w:t>70 %</w:t>
      </w:r>
    </w:p>
    <w:p>
      <w:pPr>
        <w:pStyle w:val="4"/>
        <w:numPr>
          <w:ilvl w:val="0"/>
          <w:numId w:val="10"/>
        </w:numPr>
        <w:snapToGrid w:val="0"/>
        <w:spacing w:line="360" w:lineRule="auto"/>
        <w:rPr>
          <w:rFonts w:ascii="等线" w:hAnsi="等线" w:eastAsia="等线"/>
          <w:sz w:val="22"/>
          <w:szCs w:val="22"/>
        </w:rPr>
      </w:pPr>
      <w:bookmarkStart w:id="148" w:name="_Toc416254185"/>
      <w:bookmarkStart w:id="149" w:name="_Toc6109329"/>
      <w:bookmarkStart w:id="150" w:name="_Toc6028457"/>
      <w:bookmarkStart w:id="151" w:name="_Toc6028367"/>
      <w:bookmarkStart w:id="152" w:name="_Toc6026289"/>
      <w:bookmarkStart w:id="153" w:name="_Toc507820977"/>
      <w:bookmarkStart w:id="154" w:name="_Toc498228792"/>
      <w:bookmarkStart w:id="155" w:name="_Toc498227190"/>
      <w:r>
        <w:rPr>
          <w:rFonts w:hint="eastAsia" w:ascii="等线" w:hAnsi="等线" w:eastAsia="等线"/>
          <w:b w:val="0"/>
          <w:sz w:val="22"/>
          <w:szCs w:val="22"/>
        </w:rPr>
        <w:t>供电参数</w:t>
      </w:r>
      <w:bookmarkEnd w:id="148"/>
      <w:bookmarkEnd w:id="149"/>
      <w:bookmarkEnd w:id="150"/>
      <w:bookmarkEnd w:id="151"/>
      <w:bookmarkEnd w:id="152"/>
      <w:bookmarkEnd w:id="153"/>
      <w:bookmarkEnd w:id="154"/>
      <w:bookmarkEnd w:id="155"/>
    </w:p>
    <w:p>
      <w:pPr>
        <w:pStyle w:val="100"/>
        <w:keepNext w:val="0"/>
        <w:keepLines w:val="0"/>
        <w:numPr>
          <w:ilvl w:val="0"/>
          <w:numId w:val="12"/>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电源 AC 220V 50H</w:t>
      </w:r>
      <w:r>
        <w:rPr>
          <w:rFonts w:hint="eastAsia" w:ascii="等线" w:hAnsi="等线" w:eastAsia="等线"/>
          <w:sz w:val="22"/>
          <w:szCs w:val="22"/>
          <w:vertAlign w:val="subscript"/>
        </w:rPr>
        <w:t xml:space="preserve">Z </w:t>
      </w:r>
      <w:r>
        <w:rPr>
          <w:rFonts w:hint="eastAsia" w:ascii="等线" w:hAnsi="等线" w:eastAsia="等线"/>
          <w:sz w:val="22"/>
          <w:szCs w:val="22"/>
        </w:rPr>
        <w:t>单相三线制</w:t>
      </w:r>
    </w:p>
    <w:p>
      <w:pPr>
        <w:pStyle w:val="100"/>
        <w:keepNext w:val="0"/>
        <w:keepLines w:val="0"/>
        <w:numPr>
          <w:ilvl w:val="0"/>
          <w:numId w:val="12"/>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 xml:space="preserve">电压变化：± 10% </w:t>
      </w:r>
    </w:p>
    <w:p>
      <w:pPr>
        <w:pStyle w:val="100"/>
        <w:keepNext w:val="0"/>
        <w:keepLines w:val="0"/>
        <w:numPr>
          <w:ilvl w:val="0"/>
          <w:numId w:val="12"/>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频率变化：±2%</w:t>
      </w:r>
      <w:bookmarkStart w:id="156" w:name="_Toc498227191"/>
      <w:bookmarkStart w:id="157" w:name="_Toc498228793"/>
    </w:p>
    <w:p>
      <w:pPr>
        <w:pStyle w:val="4"/>
        <w:numPr>
          <w:ilvl w:val="0"/>
          <w:numId w:val="10"/>
        </w:numPr>
        <w:snapToGrid w:val="0"/>
        <w:spacing w:line="360" w:lineRule="auto"/>
        <w:ind w:left="0" w:firstLine="0"/>
        <w:rPr>
          <w:rFonts w:ascii="等线" w:hAnsi="等线" w:eastAsia="等线"/>
          <w:sz w:val="22"/>
          <w:szCs w:val="22"/>
        </w:rPr>
      </w:pPr>
      <w:bookmarkStart w:id="158" w:name="_Toc416254186"/>
      <w:bookmarkStart w:id="159" w:name="_Toc6109330"/>
      <w:bookmarkStart w:id="160" w:name="_Toc6028458"/>
      <w:bookmarkStart w:id="161" w:name="_Toc6028368"/>
      <w:bookmarkStart w:id="162" w:name="_Toc6026290"/>
      <w:bookmarkStart w:id="163" w:name="_Toc507820978"/>
      <w:r>
        <w:rPr>
          <w:rFonts w:hint="eastAsia" w:ascii="等线" w:hAnsi="等线" w:eastAsia="等线"/>
          <w:b w:val="0"/>
          <w:sz w:val="22"/>
          <w:szCs w:val="22"/>
        </w:rPr>
        <w:t>工作制度</w:t>
      </w:r>
      <w:bookmarkEnd w:id="156"/>
      <w:bookmarkEnd w:id="157"/>
      <w:bookmarkEnd w:id="158"/>
      <w:bookmarkEnd w:id="159"/>
      <w:bookmarkEnd w:id="160"/>
      <w:bookmarkEnd w:id="161"/>
      <w:bookmarkEnd w:id="162"/>
      <w:bookmarkEnd w:id="163"/>
    </w:p>
    <w:p>
      <w:pPr>
        <w:pStyle w:val="32"/>
        <w:snapToGrid w:val="0"/>
        <w:spacing w:after="0" w:line="360" w:lineRule="auto"/>
        <w:ind w:left="0" w:leftChars="0" w:firstLine="440" w:firstLineChars="200"/>
        <w:rPr>
          <w:rFonts w:ascii="等线" w:hAnsi="等线" w:eastAsia="等线"/>
          <w:sz w:val="22"/>
          <w:szCs w:val="22"/>
        </w:rPr>
      </w:pPr>
      <w:r>
        <w:rPr>
          <w:rFonts w:hint="eastAsia" w:ascii="等线" w:hAnsi="等线" w:eastAsia="等线"/>
          <w:sz w:val="22"/>
          <w:szCs w:val="22"/>
        </w:rPr>
        <w:t>全年365天，每天18小时运营作业。</w:t>
      </w:r>
    </w:p>
    <w:p>
      <w:pPr>
        <w:pStyle w:val="4"/>
        <w:numPr>
          <w:ilvl w:val="0"/>
          <w:numId w:val="10"/>
        </w:numPr>
        <w:snapToGrid w:val="0"/>
        <w:spacing w:line="360" w:lineRule="auto"/>
        <w:ind w:left="0" w:firstLine="0"/>
        <w:rPr>
          <w:rFonts w:ascii="等线" w:hAnsi="等线" w:eastAsia="等线"/>
          <w:sz w:val="22"/>
          <w:szCs w:val="22"/>
        </w:rPr>
      </w:pPr>
      <w:bookmarkStart w:id="164" w:name="_Toc416254187"/>
      <w:bookmarkStart w:id="165" w:name="_Toc6109331"/>
      <w:bookmarkStart w:id="166" w:name="_Toc6028459"/>
      <w:bookmarkStart w:id="167" w:name="_Toc6028369"/>
      <w:bookmarkStart w:id="168" w:name="_Toc6026291"/>
      <w:bookmarkStart w:id="169" w:name="_Toc507820979"/>
      <w:bookmarkStart w:id="170" w:name="_Toc498228795"/>
      <w:bookmarkStart w:id="171" w:name="_Toc498227711"/>
      <w:bookmarkStart w:id="172" w:name="_Toc498227193"/>
      <w:r>
        <w:rPr>
          <w:rFonts w:hint="eastAsia" w:ascii="等线" w:hAnsi="等线" w:eastAsia="等线"/>
          <w:b w:val="0"/>
          <w:sz w:val="22"/>
          <w:szCs w:val="22"/>
        </w:rPr>
        <w:t>设计标准</w:t>
      </w:r>
      <w:bookmarkEnd w:id="164"/>
      <w:bookmarkEnd w:id="165"/>
      <w:bookmarkEnd w:id="166"/>
      <w:bookmarkEnd w:id="167"/>
      <w:bookmarkEnd w:id="168"/>
      <w:bookmarkEnd w:id="169"/>
      <w:bookmarkEnd w:id="170"/>
      <w:bookmarkEnd w:id="171"/>
      <w:bookmarkEnd w:id="172"/>
    </w:p>
    <w:p>
      <w:pPr>
        <w:pStyle w:val="5"/>
        <w:snapToGrid w:val="0"/>
        <w:spacing w:before="0" w:after="0" w:line="360" w:lineRule="auto"/>
        <w:rPr>
          <w:rFonts w:ascii="等线" w:hAnsi="等线" w:eastAsia="等线"/>
          <w:sz w:val="22"/>
          <w:szCs w:val="22"/>
        </w:rPr>
      </w:pPr>
      <w:bookmarkStart w:id="173" w:name="_Toc498228796"/>
      <w:bookmarkStart w:id="174" w:name="_Toc498227194"/>
      <w:bookmarkStart w:id="175" w:name="_Toc6109332"/>
      <w:bookmarkStart w:id="176" w:name="_Toc6028460"/>
      <w:bookmarkStart w:id="177" w:name="_Toc6028370"/>
      <w:bookmarkStart w:id="178" w:name="_Toc6026292"/>
      <w:bookmarkStart w:id="179" w:name="_Toc507820980"/>
      <w:r>
        <w:rPr>
          <w:rFonts w:hint="eastAsia" w:ascii="等线" w:hAnsi="等线" w:eastAsia="等线"/>
          <w:sz w:val="22"/>
          <w:szCs w:val="22"/>
        </w:rPr>
        <w:t>5.1可用的标准</w:t>
      </w:r>
      <w:bookmarkEnd w:id="173"/>
      <w:bookmarkEnd w:id="174"/>
      <w:r>
        <w:rPr>
          <w:rFonts w:hint="eastAsia" w:ascii="等线" w:hAnsi="等线" w:eastAsia="等线"/>
          <w:sz w:val="22"/>
          <w:szCs w:val="22"/>
        </w:rPr>
        <w:t>和规范</w:t>
      </w:r>
      <w:bookmarkEnd w:id="175"/>
      <w:bookmarkEnd w:id="176"/>
      <w:bookmarkEnd w:id="177"/>
      <w:bookmarkEnd w:id="178"/>
      <w:bookmarkEnd w:id="179"/>
    </w:p>
    <w:p>
      <w:pPr>
        <w:pStyle w:val="32"/>
        <w:snapToGrid w:val="0"/>
        <w:spacing w:after="0" w:line="360" w:lineRule="auto"/>
        <w:ind w:left="0" w:leftChars="0" w:firstLine="440" w:firstLineChars="200"/>
        <w:rPr>
          <w:rFonts w:ascii="等线" w:hAnsi="等线" w:eastAsia="等线"/>
          <w:sz w:val="22"/>
          <w:szCs w:val="22"/>
        </w:rPr>
      </w:pPr>
      <w:r>
        <w:rPr>
          <w:rFonts w:hint="eastAsia" w:ascii="等线" w:hAnsi="等线" w:eastAsia="等线"/>
          <w:sz w:val="22"/>
          <w:szCs w:val="22"/>
        </w:rPr>
        <w:t>投标人必须依据现行国际安全标准和设计标准进行设备生产制造，除特殊规定外，所有机械及电气设备，在设计、制造、安装和检验上均要符合以下标准和规范的最新且已实施的版本。</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GB15208-94   微剂量X射线安全检查设备</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MH/T7003-2017民用航空运输机场保卫设施建设标准</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中国民用航空旅客、行李国内运输规则</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MD-SB-2013-004民用航空旅客行李X射线安全检查设备定期检测内控标准</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MD-SB-2013-003民用航空旅客行李X射线安全检查设备验收内控标准</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MD-SB-2018-007民用航空旅客行李X射线双视角安全检查设备定期检测内控标准</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MD-SB-2015-005民用航空旅客行李X射线双视角安全检查设备验收内控标准</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MD-SB-2011-002民用航空货物运输X射线安全检查设备定期检测内控标准</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MD-SB-2013-005民用航空货物运输X射线安全检查设备验收内控标准</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MD-SB-2018-008民用航空货物运输X射线双视角安全检查设备定期检测内控标准</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MD-SB-2015-007民用航空货物运输X射线双视角安全检查设备验收内控标准</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ISO    国际标准化组织标准</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IEC    国际电工委员会标准</w:t>
      </w:r>
    </w:p>
    <w:p>
      <w:pPr>
        <w:pStyle w:val="100"/>
        <w:keepNext w:val="0"/>
        <w:keepLines w:val="0"/>
        <w:numPr>
          <w:ilvl w:val="0"/>
          <w:numId w:val="13"/>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IATA   国际航空运输协会标准</w:t>
      </w:r>
    </w:p>
    <w:p>
      <w:pPr>
        <w:pStyle w:val="100"/>
        <w:keepNext w:val="0"/>
        <w:keepLines w:val="0"/>
        <w:tabs>
          <w:tab w:val="left" w:pos="1021"/>
        </w:tabs>
        <w:adjustRightInd w:val="0"/>
        <w:snapToGrid w:val="0"/>
        <w:spacing w:before="0" w:after="0"/>
        <w:ind w:left="240" w:leftChars="100" w:firstLine="0"/>
        <w:jc w:val="left"/>
        <w:textAlignment w:val="baseline"/>
        <w:outlineLvl w:val="9"/>
        <w:rPr>
          <w:rFonts w:ascii="等线" w:hAnsi="等线" w:eastAsia="等线"/>
          <w:sz w:val="22"/>
          <w:szCs w:val="22"/>
        </w:rPr>
      </w:pPr>
      <w:r>
        <w:rPr>
          <w:rFonts w:hint="eastAsia" w:ascii="等线" w:hAnsi="等线" w:eastAsia="等线"/>
          <w:sz w:val="22"/>
          <w:szCs w:val="22"/>
        </w:rPr>
        <w:t>投标人使用的标准如果在本技术标书中没有规定，就必须对所用的标准进行说明。当推荐的标准和实施规则等效于或优于技术标书的要求时，该标准才可能为招标人接受。投标人必须清楚地说明用于替代的标准或实际使用的规范，并在投标时提交推荐标准或实施规范的对照文本，明显的差异点要说明。</w:t>
      </w:r>
    </w:p>
    <w:p>
      <w:pPr>
        <w:pStyle w:val="5"/>
        <w:snapToGrid w:val="0"/>
        <w:spacing w:before="0" w:after="0" w:line="360" w:lineRule="auto"/>
        <w:rPr>
          <w:rFonts w:ascii="等线" w:hAnsi="等线" w:eastAsia="等线"/>
          <w:sz w:val="22"/>
          <w:szCs w:val="22"/>
        </w:rPr>
      </w:pPr>
      <w:bookmarkStart w:id="180" w:name="_Toc6109333"/>
      <w:bookmarkStart w:id="181" w:name="_Toc6028461"/>
      <w:bookmarkStart w:id="182" w:name="_Toc6028371"/>
      <w:bookmarkStart w:id="183" w:name="_Toc6026293"/>
      <w:bookmarkStart w:id="184" w:name="_Toc507820981"/>
      <w:bookmarkStart w:id="185" w:name="_Toc498228797"/>
      <w:bookmarkStart w:id="186" w:name="_Toc498227195"/>
      <w:r>
        <w:rPr>
          <w:rFonts w:hint="eastAsia" w:ascii="等线" w:hAnsi="等线" w:eastAsia="等线"/>
          <w:sz w:val="22"/>
          <w:szCs w:val="22"/>
        </w:rPr>
        <w:t>5.2标准化与通用化</w:t>
      </w:r>
      <w:bookmarkEnd w:id="180"/>
      <w:bookmarkEnd w:id="181"/>
      <w:bookmarkEnd w:id="182"/>
      <w:bookmarkEnd w:id="183"/>
      <w:bookmarkEnd w:id="184"/>
      <w:bookmarkEnd w:id="185"/>
      <w:bookmarkEnd w:id="186"/>
    </w:p>
    <w:p>
      <w:pPr>
        <w:pStyle w:val="32"/>
        <w:snapToGrid w:val="0"/>
        <w:spacing w:after="0" w:line="360" w:lineRule="auto"/>
        <w:ind w:left="0" w:leftChars="0" w:firstLine="440" w:firstLineChars="200"/>
        <w:rPr>
          <w:rFonts w:ascii="等线" w:hAnsi="等线" w:eastAsia="等线"/>
          <w:sz w:val="22"/>
          <w:szCs w:val="22"/>
        </w:rPr>
      </w:pPr>
      <w:r>
        <w:rPr>
          <w:rFonts w:hint="eastAsia" w:ascii="等线" w:hAnsi="等线" w:eastAsia="等线"/>
          <w:sz w:val="22"/>
          <w:szCs w:val="22"/>
        </w:rPr>
        <w:t>必须尽量减少本技术标书中设备零部件、配件的规格、品种，必须充分考虑其标准化、通用化，以便于互换。</w:t>
      </w:r>
    </w:p>
    <w:p>
      <w:pPr>
        <w:pStyle w:val="4"/>
        <w:numPr>
          <w:ilvl w:val="0"/>
          <w:numId w:val="10"/>
        </w:numPr>
        <w:snapToGrid w:val="0"/>
        <w:spacing w:line="360" w:lineRule="auto"/>
        <w:ind w:left="0" w:firstLine="0"/>
        <w:rPr>
          <w:rFonts w:ascii="等线" w:hAnsi="等线" w:eastAsia="等线"/>
          <w:sz w:val="22"/>
          <w:szCs w:val="22"/>
        </w:rPr>
      </w:pPr>
      <w:bookmarkStart w:id="187" w:name="_Toc416254188"/>
      <w:bookmarkStart w:id="188" w:name="_Toc6109334"/>
      <w:bookmarkStart w:id="189" w:name="_Toc6028462"/>
      <w:bookmarkStart w:id="190" w:name="_Toc6028372"/>
      <w:bookmarkStart w:id="191" w:name="_Toc6026294"/>
      <w:bookmarkStart w:id="192" w:name="_Toc507820982"/>
      <w:bookmarkStart w:id="193" w:name="_Toc498228799"/>
      <w:bookmarkStart w:id="194" w:name="_Toc498227712"/>
      <w:bookmarkStart w:id="195" w:name="_Toc498227197"/>
      <w:r>
        <w:rPr>
          <w:rFonts w:hint="eastAsia" w:ascii="等线" w:hAnsi="等线" w:eastAsia="等线"/>
          <w:b w:val="0"/>
          <w:sz w:val="22"/>
          <w:szCs w:val="22"/>
        </w:rPr>
        <w:t>故障率</w:t>
      </w:r>
      <w:bookmarkEnd w:id="187"/>
      <w:bookmarkEnd w:id="188"/>
      <w:bookmarkEnd w:id="189"/>
      <w:bookmarkEnd w:id="190"/>
      <w:bookmarkEnd w:id="191"/>
      <w:bookmarkEnd w:id="192"/>
      <w:bookmarkEnd w:id="193"/>
      <w:bookmarkEnd w:id="194"/>
      <w:bookmarkEnd w:id="195"/>
    </w:p>
    <w:p>
      <w:pPr>
        <w:pStyle w:val="32"/>
        <w:snapToGrid w:val="0"/>
        <w:spacing w:after="0" w:line="360" w:lineRule="auto"/>
        <w:ind w:left="0" w:leftChars="0" w:firstLine="440" w:firstLineChars="200"/>
        <w:rPr>
          <w:rFonts w:ascii="等线" w:hAnsi="等线" w:eastAsia="等线"/>
          <w:sz w:val="22"/>
          <w:szCs w:val="22"/>
        </w:rPr>
      </w:pPr>
      <w:r>
        <w:rPr>
          <w:rFonts w:hint="eastAsia" w:ascii="等线" w:hAnsi="等线" w:eastAsia="等线"/>
          <w:sz w:val="22"/>
          <w:szCs w:val="22"/>
        </w:rPr>
        <w:t>安检设备的无故障使用时间(MTBF)7000小时以上。系统的可用性</w:t>
      </w:r>
      <w:r>
        <w:rPr>
          <w:rFonts w:eastAsia="等线"/>
          <w:sz w:val="22"/>
          <w:szCs w:val="22"/>
        </w:rPr>
        <w:sym w:font="Times New Roman" w:char="F02F"/>
      </w:r>
      <w:r>
        <w:rPr>
          <w:rFonts w:ascii="µÈÏß Western" w:hAnsi="µÈÏß Western" w:eastAsia="等线"/>
          <w:sz w:val="22"/>
          <w:szCs w:val="22"/>
        </w:rPr>
        <w:t>99.99%</w:t>
      </w:r>
    </w:p>
    <w:p>
      <w:pPr>
        <w:pStyle w:val="4"/>
        <w:numPr>
          <w:ilvl w:val="0"/>
          <w:numId w:val="10"/>
        </w:numPr>
        <w:snapToGrid w:val="0"/>
        <w:spacing w:line="360" w:lineRule="auto"/>
        <w:ind w:left="0" w:firstLine="0"/>
        <w:rPr>
          <w:rFonts w:ascii="等线" w:hAnsi="等线" w:eastAsia="等线"/>
          <w:sz w:val="22"/>
          <w:szCs w:val="22"/>
        </w:rPr>
      </w:pPr>
      <w:bookmarkStart w:id="196" w:name="_Toc416254189"/>
      <w:bookmarkStart w:id="197" w:name="_Toc6109335"/>
      <w:bookmarkStart w:id="198" w:name="_Toc6028463"/>
      <w:bookmarkStart w:id="199" w:name="_Toc6028373"/>
      <w:bookmarkStart w:id="200" w:name="_Toc6026295"/>
      <w:bookmarkStart w:id="201" w:name="_Toc507820983"/>
      <w:bookmarkStart w:id="202" w:name="_Toc498228800"/>
      <w:bookmarkStart w:id="203" w:name="_Toc498227713"/>
      <w:bookmarkStart w:id="204" w:name="_Toc498227198"/>
      <w:r>
        <w:rPr>
          <w:rFonts w:hint="eastAsia" w:ascii="等线" w:hAnsi="等线" w:eastAsia="等线"/>
          <w:b w:val="0"/>
          <w:sz w:val="22"/>
          <w:szCs w:val="22"/>
        </w:rPr>
        <w:t>无线电干扰</w:t>
      </w:r>
      <w:bookmarkEnd w:id="196"/>
      <w:bookmarkEnd w:id="197"/>
      <w:bookmarkEnd w:id="198"/>
      <w:bookmarkEnd w:id="199"/>
      <w:bookmarkEnd w:id="200"/>
      <w:bookmarkEnd w:id="201"/>
      <w:bookmarkEnd w:id="202"/>
      <w:bookmarkEnd w:id="203"/>
      <w:bookmarkEnd w:id="204"/>
    </w:p>
    <w:p>
      <w:pPr>
        <w:pStyle w:val="100"/>
        <w:keepNext w:val="0"/>
        <w:keepLines w:val="0"/>
        <w:numPr>
          <w:ilvl w:val="0"/>
          <w:numId w:val="14"/>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设备不应产生对机场各通讯、导航系统、弱电系统、飞行器、地面车辆、BHS之间的通讯干扰。</w:t>
      </w:r>
    </w:p>
    <w:p>
      <w:pPr>
        <w:pStyle w:val="100"/>
        <w:keepNext w:val="0"/>
        <w:keepLines w:val="0"/>
        <w:numPr>
          <w:ilvl w:val="0"/>
          <w:numId w:val="14"/>
        </w:numPr>
        <w:tabs>
          <w:tab w:val="left" w:pos="624"/>
          <w:tab w:val="left" w:pos="1021"/>
          <w:tab w:val="clear" w:pos="864"/>
        </w:tabs>
        <w:adjustRightInd w:val="0"/>
        <w:snapToGrid w:val="0"/>
        <w:spacing w:before="0" w:after="0"/>
        <w:ind w:left="1044" w:leftChars="75"/>
        <w:jc w:val="left"/>
        <w:textAlignment w:val="baseline"/>
        <w:outlineLvl w:val="9"/>
        <w:rPr>
          <w:rFonts w:ascii="等线" w:hAnsi="等线" w:eastAsia="等线"/>
          <w:sz w:val="22"/>
          <w:szCs w:val="22"/>
        </w:rPr>
      </w:pPr>
      <w:r>
        <w:rPr>
          <w:rFonts w:hint="eastAsia" w:ascii="等线" w:hAnsi="等线" w:eastAsia="等线"/>
          <w:sz w:val="22"/>
          <w:szCs w:val="22"/>
        </w:rPr>
        <w:t>电气、电子设备，包括联结电线、电缆的设计，必须使它们不受在机场使用和安装的其它设备产生的电磁波的干扰，安检设备和管理系统也不能相互干扰，必须保证正常工作。</w:t>
      </w:r>
    </w:p>
    <w:p>
      <w:pPr>
        <w:pStyle w:val="4"/>
        <w:numPr>
          <w:ilvl w:val="0"/>
          <w:numId w:val="10"/>
        </w:numPr>
        <w:snapToGrid w:val="0"/>
        <w:spacing w:line="360" w:lineRule="auto"/>
        <w:ind w:left="0" w:firstLine="0"/>
        <w:rPr>
          <w:rFonts w:ascii="等线" w:hAnsi="等线" w:eastAsia="等线"/>
          <w:sz w:val="22"/>
          <w:szCs w:val="22"/>
        </w:rPr>
      </w:pPr>
      <w:bookmarkStart w:id="205" w:name="_Toc416254190"/>
      <w:bookmarkStart w:id="206" w:name="_Toc6109336"/>
      <w:bookmarkStart w:id="207" w:name="_Toc6028464"/>
      <w:bookmarkStart w:id="208" w:name="_Toc6028374"/>
      <w:bookmarkStart w:id="209" w:name="_Toc6026296"/>
      <w:bookmarkStart w:id="210" w:name="_Toc507820984"/>
      <w:r>
        <w:rPr>
          <w:rFonts w:hint="eastAsia" w:ascii="等线" w:hAnsi="等线" w:eastAsia="等线"/>
          <w:b w:val="0"/>
          <w:sz w:val="22"/>
          <w:szCs w:val="22"/>
        </w:rPr>
        <w:t>防鼠害</w:t>
      </w:r>
      <w:bookmarkEnd w:id="205"/>
      <w:bookmarkEnd w:id="206"/>
      <w:bookmarkEnd w:id="207"/>
      <w:bookmarkEnd w:id="208"/>
      <w:bookmarkEnd w:id="209"/>
      <w:bookmarkEnd w:id="210"/>
    </w:p>
    <w:p>
      <w:pPr>
        <w:pStyle w:val="100"/>
        <w:keepNext w:val="0"/>
        <w:keepLines w:val="0"/>
        <w:numPr>
          <w:ilvl w:val="0"/>
          <w:numId w:val="15"/>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所有的设备应采取有效的措施防止鼠类等啮齿动物进入，避免造成设备和系统的损害，应能有效的防止其他昆虫的进入造成设备的故障。</w:t>
      </w:r>
    </w:p>
    <w:p>
      <w:pPr>
        <w:pStyle w:val="100"/>
        <w:keepNext w:val="0"/>
        <w:keepLines w:val="0"/>
        <w:numPr>
          <w:ilvl w:val="0"/>
          <w:numId w:val="15"/>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所有的安全检查设备都必须有防潮、防霉菌、防鼠害的措施。</w:t>
      </w:r>
    </w:p>
    <w:p>
      <w:pPr>
        <w:pStyle w:val="4"/>
        <w:numPr>
          <w:ilvl w:val="0"/>
          <w:numId w:val="10"/>
        </w:numPr>
        <w:snapToGrid w:val="0"/>
        <w:spacing w:line="360" w:lineRule="auto"/>
        <w:ind w:left="0" w:firstLine="0"/>
        <w:rPr>
          <w:rFonts w:ascii="等线" w:hAnsi="等线" w:eastAsia="等线"/>
          <w:sz w:val="22"/>
          <w:szCs w:val="22"/>
        </w:rPr>
      </w:pPr>
      <w:bookmarkStart w:id="211" w:name="_Toc416254191"/>
      <w:bookmarkStart w:id="212" w:name="_Toc6109340"/>
      <w:bookmarkStart w:id="213" w:name="_Toc6028468"/>
      <w:bookmarkStart w:id="214" w:name="_Toc6028378"/>
      <w:bookmarkStart w:id="215" w:name="_Toc6026300"/>
      <w:bookmarkStart w:id="216" w:name="_Toc507820988"/>
      <w:bookmarkStart w:id="217" w:name="_Toc498228804"/>
      <w:bookmarkStart w:id="218" w:name="_Toc498227715"/>
      <w:bookmarkStart w:id="219" w:name="_Toc498227202"/>
      <w:r>
        <w:rPr>
          <w:rFonts w:hint="eastAsia" w:ascii="等线" w:hAnsi="等线" w:eastAsia="等线"/>
          <w:b w:val="0"/>
          <w:sz w:val="22"/>
          <w:szCs w:val="22"/>
        </w:rPr>
        <w:t>技术资料要求</w:t>
      </w:r>
      <w:bookmarkEnd w:id="211"/>
      <w:bookmarkEnd w:id="212"/>
      <w:bookmarkEnd w:id="213"/>
      <w:bookmarkEnd w:id="214"/>
      <w:bookmarkEnd w:id="215"/>
      <w:bookmarkEnd w:id="216"/>
      <w:bookmarkEnd w:id="217"/>
      <w:bookmarkEnd w:id="218"/>
      <w:bookmarkEnd w:id="219"/>
    </w:p>
    <w:p>
      <w:pPr>
        <w:pStyle w:val="5"/>
        <w:snapToGrid w:val="0"/>
        <w:spacing w:before="0" w:after="0" w:line="360" w:lineRule="auto"/>
        <w:rPr>
          <w:rFonts w:ascii="等线" w:hAnsi="等线" w:eastAsia="等线"/>
          <w:sz w:val="22"/>
          <w:szCs w:val="22"/>
        </w:rPr>
      </w:pPr>
      <w:bookmarkStart w:id="220" w:name="_Toc6109341"/>
      <w:bookmarkStart w:id="221" w:name="_Toc6028469"/>
      <w:bookmarkStart w:id="222" w:name="_Toc6028379"/>
      <w:bookmarkStart w:id="223" w:name="_Toc6026301"/>
      <w:bookmarkStart w:id="224" w:name="_Toc507820989"/>
      <w:bookmarkStart w:id="225" w:name="_Toc498228805"/>
      <w:bookmarkStart w:id="226" w:name="_Toc498227203"/>
      <w:r>
        <w:rPr>
          <w:rFonts w:hint="eastAsia" w:ascii="等线" w:hAnsi="等线" w:eastAsia="等线"/>
          <w:sz w:val="22"/>
          <w:szCs w:val="22"/>
        </w:rPr>
        <w:t>9.1要求</w:t>
      </w:r>
      <w:bookmarkEnd w:id="220"/>
      <w:bookmarkEnd w:id="221"/>
      <w:bookmarkEnd w:id="222"/>
      <w:bookmarkEnd w:id="223"/>
      <w:bookmarkEnd w:id="224"/>
      <w:bookmarkEnd w:id="225"/>
      <w:bookmarkEnd w:id="226"/>
    </w:p>
    <w:p>
      <w:pPr>
        <w:pStyle w:val="100"/>
        <w:keepNext w:val="0"/>
        <w:keepLines w:val="0"/>
        <w:numPr>
          <w:ilvl w:val="0"/>
          <w:numId w:val="16"/>
        </w:numPr>
        <w:tabs>
          <w:tab w:val="left" w:pos="28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投标人签约后，必须做出一份计划表，由招标人核准，该计划必须满足设计、安装、调试、检验等实施工作的进展要求。</w:t>
      </w:r>
    </w:p>
    <w:p>
      <w:pPr>
        <w:pStyle w:val="100"/>
        <w:keepNext w:val="0"/>
        <w:keepLines w:val="0"/>
        <w:numPr>
          <w:ilvl w:val="0"/>
          <w:numId w:val="16"/>
        </w:numPr>
        <w:tabs>
          <w:tab w:val="left" w:pos="28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只有被招标人批准的图纸及有关文件才可用于工程的实施中。如在实施中有必要的修改时，投标人必须提交书面报告报招标人批准。</w:t>
      </w:r>
    </w:p>
    <w:p>
      <w:pPr>
        <w:pStyle w:val="100"/>
        <w:keepNext w:val="0"/>
        <w:keepLines w:val="0"/>
        <w:numPr>
          <w:ilvl w:val="0"/>
          <w:numId w:val="16"/>
        </w:numPr>
        <w:tabs>
          <w:tab w:val="left" w:pos="28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如果技术文件发生短缺、损失或损坏，投标人在收到招标人通知后二十天内，补齐这部分文件。由于投标人提交了不完整或不正确的图纸及数据引起的制造或安装、调试的延误，投标人必须负担由此引起的责任和费用。</w:t>
      </w:r>
    </w:p>
    <w:p>
      <w:pPr>
        <w:pStyle w:val="100"/>
        <w:keepNext w:val="0"/>
        <w:keepLines w:val="0"/>
        <w:numPr>
          <w:ilvl w:val="0"/>
          <w:numId w:val="16"/>
        </w:numPr>
        <w:tabs>
          <w:tab w:val="left" w:pos="28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投标人在提交文件给招标人审查时，必须保证这些技术文件有一个月的时间让招标人进行审查，以及可能要做的修改工作。双方图纸的送递都必须采用最快的方式。</w:t>
      </w:r>
    </w:p>
    <w:p>
      <w:pPr>
        <w:pStyle w:val="100"/>
        <w:keepNext w:val="0"/>
        <w:keepLines w:val="0"/>
        <w:numPr>
          <w:ilvl w:val="0"/>
          <w:numId w:val="16"/>
        </w:numPr>
        <w:tabs>
          <w:tab w:val="left" w:pos="28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招标人将在已审查过的图纸注上“已审查”字样及签名，然后送还给投标人，除招标人用书面意见提出修改的部分以外，投标人不得对“已审查”的图纸进行修改。</w:t>
      </w:r>
    </w:p>
    <w:p>
      <w:pPr>
        <w:pStyle w:val="100"/>
        <w:keepNext w:val="0"/>
        <w:keepLines w:val="0"/>
        <w:numPr>
          <w:ilvl w:val="0"/>
          <w:numId w:val="16"/>
        </w:numPr>
        <w:tabs>
          <w:tab w:val="left" w:pos="28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投标人不得因招标人对其图纸的审查，而减轻按合同要求必须负的责任，投标人必须对所交付制造、施工、安装、调试、操作及维修，以及最终的技术文件等负完全的责任。</w:t>
      </w:r>
    </w:p>
    <w:p>
      <w:pPr>
        <w:pStyle w:val="100"/>
        <w:keepNext w:val="0"/>
        <w:keepLines w:val="0"/>
        <w:numPr>
          <w:ilvl w:val="0"/>
          <w:numId w:val="16"/>
        </w:numPr>
        <w:tabs>
          <w:tab w:val="left" w:pos="28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投标人必须根据上述要求提供全套中文版或中英文对照的资料。所提交的图纸及文件均必须有合同号、图纸与文件的编号和盖有投标人已做过检查的印记。</w:t>
      </w:r>
    </w:p>
    <w:p>
      <w:pPr>
        <w:pStyle w:val="100"/>
        <w:keepNext w:val="0"/>
        <w:keepLines w:val="0"/>
        <w:numPr>
          <w:ilvl w:val="0"/>
          <w:numId w:val="16"/>
        </w:numPr>
        <w:tabs>
          <w:tab w:val="left" w:pos="28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系统原理图、布局图、线路图、设计图、装配图必须清楚，完整，应用的参考资料应全面详细。</w:t>
      </w:r>
    </w:p>
    <w:p>
      <w:pPr>
        <w:pStyle w:val="100"/>
        <w:keepNext w:val="0"/>
        <w:keepLines w:val="0"/>
        <w:numPr>
          <w:ilvl w:val="0"/>
          <w:numId w:val="16"/>
        </w:numPr>
        <w:tabs>
          <w:tab w:val="left" w:pos="284"/>
        </w:tabs>
        <w:adjustRightInd w:val="0"/>
        <w:snapToGrid w:val="0"/>
        <w:spacing w:before="0" w:after="0"/>
        <w:ind w:left="924" w:leftChars="25"/>
        <w:jc w:val="left"/>
        <w:textAlignment w:val="baseline"/>
        <w:outlineLvl w:val="9"/>
        <w:rPr>
          <w:rFonts w:ascii="等线" w:hAnsi="等线" w:eastAsia="等线"/>
          <w:sz w:val="22"/>
          <w:szCs w:val="22"/>
        </w:rPr>
      </w:pPr>
      <w:r>
        <w:rPr>
          <w:rFonts w:hint="eastAsia" w:ascii="等线" w:hAnsi="等线" w:eastAsia="等线"/>
          <w:sz w:val="22"/>
          <w:szCs w:val="22"/>
        </w:rPr>
        <w:t>所有的资料必须符合上述要求，否则招标人有权拒收。重新提交这些图纸和文件的费用由投标人负责，由此造成的工程延误由投标人负责。</w:t>
      </w:r>
    </w:p>
    <w:p>
      <w:pPr>
        <w:pStyle w:val="5"/>
        <w:snapToGrid w:val="0"/>
        <w:spacing w:before="0" w:after="0" w:line="360" w:lineRule="auto"/>
        <w:rPr>
          <w:rFonts w:ascii="等线" w:hAnsi="等线" w:eastAsia="等线"/>
          <w:sz w:val="22"/>
          <w:szCs w:val="22"/>
        </w:rPr>
      </w:pPr>
      <w:bookmarkStart w:id="227" w:name="_Toc6109342"/>
      <w:bookmarkStart w:id="228" w:name="_Toc6028470"/>
      <w:bookmarkStart w:id="229" w:name="_Toc6028380"/>
      <w:bookmarkStart w:id="230" w:name="_Toc6026302"/>
      <w:bookmarkStart w:id="231" w:name="_Toc507820990"/>
      <w:bookmarkStart w:id="232" w:name="_Toc498228806"/>
      <w:bookmarkStart w:id="233" w:name="_Toc498227204"/>
      <w:r>
        <w:rPr>
          <w:rFonts w:hint="eastAsia" w:ascii="等线" w:hAnsi="等线" w:eastAsia="等线"/>
          <w:sz w:val="22"/>
          <w:szCs w:val="22"/>
        </w:rPr>
        <w:t>9.2投标时所提供资料</w:t>
      </w:r>
      <w:bookmarkEnd w:id="227"/>
      <w:bookmarkEnd w:id="228"/>
      <w:bookmarkEnd w:id="229"/>
      <w:bookmarkEnd w:id="230"/>
      <w:bookmarkEnd w:id="231"/>
      <w:bookmarkEnd w:id="232"/>
      <w:bookmarkEnd w:id="233"/>
    </w:p>
    <w:p>
      <w:pPr>
        <w:snapToGrid w:val="0"/>
        <w:spacing w:line="360" w:lineRule="auto"/>
        <w:rPr>
          <w:rFonts w:ascii="Cambria" w:hAnsi="Cambria" w:eastAsia="宋体"/>
          <w:sz w:val="22"/>
        </w:rPr>
      </w:pPr>
      <w:r>
        <w:rPr>
          <w:sz w:val="22"/>
        </w:rPr>
        <w:t xml:space="preserve">    </w:t>
      </w:r>
      <w:r>
        <w:rPr>
          <w:rFonts w:hint="eastAsia"/>
          <w:sz w:val="22"/>
        </w:rPr>
        <w:t>本节所要求的系统文件应是中文或中英文对照本。</w:t>
      </w:r>
    </w:p>
    <w:p>
      <w:pPr>
        <w:pStyle w:val="100"/>
        <w:keepNext w:val="0"/>
        <w:keepLines w:val="0"/>
        <w:numPr>
          <w:ilvl w:val="0"/>
          <w:numId w:val="17"/>
        </w:numPr>
        <w:tabs>
          <w:tab w:val="left" w:pos="624"/>
          <w:tab w:val="left" w:pos="1021"/>
          <w:tab w:val="clear" w:pos="864"/>
        </w:tabs>
        <w:adjustRightInd w:val="0"/>
        <w:snapToGrid w:val="0"/>
        <w:spacing w:before="0" w:after="0"/>
        <w:ind w:left="869" w:leftChars="2"/>
        <w:jc w:val="left"/>
        <w:textAlignment w:val="baseline"/>
        <w:outlineLvl w:val="9"/>
        <w:rPr>
          <w:rFonts w:ascii="等线" w:hAnsi="等线" w:eastAsia="等线"/>
          <w:sz w:val="22"/>
          <w:szCs w:val="22"/>
        </w:rPr>
      </w:pPr>
      <w:r>
        <w:rPr>
          <w:rFonts w:hint="eastAsia" w:ascii="等线" w:hAnsi="等线" w:eastAsia="等线"/>
          <w:sz w:val="22"/>
          <w:szCs w:val="22"/>
        </w:rPr>
        <w:t>提供技术资格能力资料。</w:t>
      </w:r>
    </w:p>
    <w:p>
      <w:pPr>
        <w:pStyle w:val="100"/>
        <w:keepNext w:val="0"/>
        <w:keepLines w:val="0"/>
        <w:numPr>
          <w:ilvl w:val="0"/>
          <w:numId w:val="17"/>
        </w:numPr>
        <w:tabs>
          <w:tab w:val="left" w:pos="624"/>
          <w:tab w:val="left" w:pos="1021"/>
          <w:tab w:val="clear" w:pos="864"/>
        </w:tabs>
        <w:adjustRightInd w:val="0"/>
        <w:snapToGrid w:val="0"/>
        <w:spacing w:before="0" w:after="0"/>
        <w:ind w:left="869" w:leftChars="2"/>
        <w:jc w:val="left"/>
        <w:textAlignment w:val="baseline"/>
        <w:outlineLvl w:val="9"/>
        <w:rPr>
          <w:rFonts w:ascii="等线" w:hAnsi="等线" w:eastAsia="等线"/>
          <w:sz w:val="22"/>
          <w:szCs w:val="22"/>
        </w:rPr>
      </w:pPr>
      <w:r>
        <w:rPr>
          <w:rFonts w:hint="eastAsia" w:ascii="等线" w:hAnsi="等线" w:eastAsia="等线"/>
          <w:sz w:val="22"/>
          <w:szCs w:val="22"/>
        </w:rPr>
        <w:t>设备详细配置图，设备和随机附件清单和技术说明资料。</w:t>
      </w:r>
    </w:p>
    <w:p>
      <w:pPr>
        <w:pStyle w:val="100"/>
        <w:keepNext w:val="0"/>
        <w:keepLines w:val="0"/>
        <w:numPr>
          <w:ilvl w:val="0"/>
          <w:numId w:val="17"/>
        </w:numPr>
        <w:tabs>
          <w:tab w:val="left" w:pos="624"/>
          <w:tab w:val="left" w:pos="1021"/>
          <w:tab w:val="clear" w:pos="864"/>
        </w:tabs>
        <w:adjustRightInd w:val="0"/>
        <w:snapToGrid w:val="0"/>
        <w:spacing w:before="0" w:after="0"/>
        <w:ind w:left="869" w:leftChars="2"/>
        <w:jc w:val="left"/>
        <w:textAlignment w:val="baseline"/>
        <w:outlineLvl w:val="9"/>
        <w:rPr>
          <w:rFonts w:ascii="等线" w:hAnsi="等线" w:eastAsia="等线"/>
          <w:sz w:val="22"/>
          <w:szCs w:val="22"/>
        </w:rPr>
      </w:pPr>
      <w:r>
        <w:rPr>
          <w:rFonts w:hint="eastAsia" w:ascii="等线" w:hAnsi="等线" w:eastAsia="等线"/>
          <w:sz w:val="22"/>
          <w:szCs w:val="22"/>
        </w:rPr>
        <w:t>设备安装、施工组织和进度等资料。</w:t>
      </w:r>
    </w:p>
    <w:p>
      <w:pPr>
        <w:pStyle w:val="100"/>
        <w:keepNext w:val="0"/>
        <w:keepLines w:val="0"/>
        <w:numPr>
          <w:ilvl w:val="0"/>
          <w:numId w:val="17"/>
        </w:numPr>
        <w:tabs>
          <w:tab w:val="left" w:pos="624"/>
          <w:tab w:val="left" w:pos="1021"/>
          <w:tab w:val="clear" w:pos="864"/>
        </w:tabs>
        <w:adjustRightInd w:val="0"/>
        <w:snapToGrid w:val="0"/>
        <w:spacing w:before="0" w:after="0"/>
        <w:ind w:left="869" w:leftChars="2"/>
        <w:jc w:val="left"/>
        <w:textAlignment w:val="baseline"/>
        <w:outlineLvl w:val="9"/>
        <w:rPr>
          <w:rFonts w:ascii="等线" w:hAnsi="等线" w:eastAsia="等线"/>
          <w:sz w:val="22"/>
          <w:szCs w:val="22"/>
        </w:rPr>
      </w:pPr>
      <w:r>
        <w:rPr>
          <w:rFonts w:hint="eastAsia" w:ascii="等线" w:hAnsi="等线" w:eastAsia="等线"/>
          <w:sz w:val="22"/>
          <w:szCs w:val="22"/>
        </w:rPr>
        <w:t>本技术标书中要求在投标时提供的其它资料。</w:t>
      </w:r>
    </w:p>
    <w:p>
      <w:pPr>
        <w:pStyle w:val="100"/>
        <w:keepNext w:val="0"/>
        <w:keepLines w:val="0"/>
        <w:numPr>
          <w:ilvl w:val="0"/>
          <w:numId w:val="17"/>
        </w:numPr>
        <w:tabs>
          <w:tab w:val="left" w:pos="624"/>
          <w:tab w:val="left" w:pos="1021"/>
          <w:tab w:val="clear" w:pos="864"/>
        </w:tabs>
        <w:adjustRightInd w:val="0"/>
        <w:snapToGrid w:val="0"/>
        <w:spacing w:before="0" w:after="0"/>
        <w:ind w:left="869" w:leftChars="2"/>
        <w:jc w:val="left"/>
        <w:textAlignment w:val="baseline"/>
        <w:outlineLvl w:val="9"/>
        <w:rPr>
          <w:rFonts w:ascii="等线" w:hAnsi="等线" w:eastAsia="等线"/>
          <w:sz w:val="22"/>
          <w:szCs w:val="22"/>
        </w:rPr>
      </w:pPr>
      <w:r>
        <w:rPr>
          <w:rFonts w:hint="eastAsia" w:ascii="等线" w:hAnsi="等线" w:eastAsia="等线"/>
          <w:sz w:val="22"/>
          <w:szCs w:val="22"/>
        </w:rPr>
        <w:t>验收大纲。</w:t>
      </w:r>
    </w:p>
    <w:p>
      <w:pPr>
        <w:pStyle w:val="5"/>
        <w:snapToGrid w:val="0"/>
        <w:spacing w:before="0" w:after="0" w:line="360" w:lineRule="auto"/>
        <w:rPr>
          <w:rFonts w:ascii="等线" w:hAnsi="等线" w:eastAsia="等线"/>
          <w:sz w:val="22"/>
          <w:szCs w:val="22"/>
        </w:rPr>
      </w:pPr>
      <w:bookmarkStart w:id="234" w:name="_Toc6109343"/>
      <w:bookmarkStart w:id="235" w:name="_Toc6028471"/>
      <w:bookmarkStart w:id="236" w:name="_Toc6028381"/>
      <w:bookmarkStart w:id="237" w:name="_Toc6026303"/>
      <w:bookmarkStart w:id="238" w:name="_Toc507820991"/>
      <w:bookmarkStart w:id="239" w:name="_Toc498228807"/>
      <w:bookmarkStart w:id="240" w:name="_Toc498227205"/>
      <w:r>
        <w:rPr>
          <w:rFonts w:hint="eastAsia" w:ascii="等线" w:hAnsi="等线" w:eastAsia="等线"/>
          <w:sz w:val="22"/>
          <w:szCs w:val="22"/>
        </w:rPr>
        <w:t>9.3签约后</w:t>
      </w:r>
      <w:bookmarkStart w:id="241" w:name="_Ref497571232"/>
      <w:r>
        <w:rPr>
          <w:rFonts w:hint="eastAsia" w:ascii="等线" w:hAnsi="等线" w:eastAsia="等线"/>
          <w:sz w:val="22"/>
          <w:szCs w:val="22"/>
        </w:rPr>
        <w:t>提交招标人审查资料</w:t>
      </w:r>
      <w:bookmarkEnd w:id="234"/>
      <w:bookmarkEnd w:id="235"/>
      <w:bookmarkEnd w:id="236"/>
      <w:bookmarkEnd w:id="237"/>
      <w:bookmarkEnd w:id="238"/>
      <w:bookmarkEnd w:id="239"/>
      <w:bookmarkEnd w:id="240"/>
      <w:bookmarkEnd w:id="241"/>
    </w:p>
    <w:p>
      <w:pPr>
        <w:snapToGrid w:val="0"/>
        <w:spacing w:line="360" w:lineRule="auto"/>
        <w:ind w:firstLine="440" w:firstLineChars="200"/>
        <w:rPr>
          <w:rFonts w:ascii="Cambria" w:hAnsi="Cambria" w:eastAsia="宋体"/>
          <w:sz w:val="22"/>
        </w:rPr>
      </w:pPr>
      <w:r>
        <w:rPr>
          <w:rFonts w:hint="eastAsia"/>
          <w:sz w:val="22"/>
        </w:rPr>
        <w:t>签约后所提供资料必须是中文或中英文对照本。</w:t>
      </w:r>
    </w:p>
    <w:p>
      <w:pPr>
        <w:snapToGrid w:val="0"/>
        <w:spacing w:line="360" w:lineRule="auto"/>
        <w:ind w:firstLine="440" w:firstLineChars="200"/>
        <w:rPr>
          <w:sz w:val="22"/>
        </w:rPr>
      </w:pPr>
      <w:r>
        <w:rPr>
          <w:rFonts w:hint="eastAsia"/>
          <w:sz w:val="22"/>
        </w:rPr>
        <w:t>买卖双方签订合同后，投标人必须提交所供设备和系统的设计、检验、安装、调试、操作及维修等方面的技术文件，文件数量应不少于三套，内容至少必须包括下列各项：</w:t>
      </w:r>
    </w:p>
    <w:p>
      <w:pPr>
        <w:pStyle w:val="100"/>
        <w:keepNext w:val="0"/>
        <w:keepLines w:val="0"/>
        <w:numPr>
          <w:ilvl w:val="0"/>
          <w:numId w:val="18"/>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按机械制图的要求绘制、说明设备的外形尺寸，各部件的安装位置及尺寸，主要技术参数，重量及对基础的荷载，各部件明细表及必要的说明。</w:t>
      </w:r>
    </w:p>
    <w:p>
      <w:pPr>
        <w:pStyle w:val="100"/>
        <w:keepNext w:val="0"/>
        <w:keepLines w:val="0"/>
        <w:numPr>
          <w:ilvl w:val="0"/>
          <w:numId w:val="18"/>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提交全部设备在设计、制造、检验中采用的技术规范和标准。</w:t>
      </w:r>
    </w:p>
    <w:p>
      <w:pPr>
        <w:pStyle w:val="100"/>
        <w:keepNext w:val="0"/>
        <w:keepLines w:val="0"/>
        <w:numPr>
          <w:ilvl w:val="0"/>
          <w:numId w:val="18"/>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本技术标书有关章节中提到的各种技术条件、图纸等产品技术资料。</w:t>
      </w:r>
    </w:p>
    <w:p>
      <w:pPr>
        <w:pStyle w:val="100"/>
        <w:keepNext w:val="0"/>
        <w:keepLines w:val="0"/>
        <w:numPr>
          <w:ilvl w:val="0"/>
          <w:numId w:val="18"/>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计算机、网络配置说明及软件配置说明。</w:t>
      </w:r>
    </w:p>
    <w:p>
      <w:pPr>
        <w:pStyle w:val="100"/>
        <w:keepNext w:val="0"/>
        <w:keepLines w:val="0"/>
        <w:numPr>
          <w:ilvl w:val="0"/>
          <w:numId w:val="18"/>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应用软件方案说明，数据库设计结构说明。</w:t>
      </w:r>
    </w:p>
    <w:p>
      <w:pPr>
        <w:pStyle w:val="100"/>
        <w:keepNext w:val="0"/>
        <w:keepLines w:val="0"/>
        <w:numPr>
          <w:ilvl w:val="0"/>
          <w:numId w:val="18"/>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控制系统方案说明。</w:t>
      </w:r>
    </w:p>
    <w:p>
      <w:pPr>
        <w:pStyle w:val="4"/>
        <w:numPr>
          <w:ilvl w:val="0"/>
          <w:numId w:val="10"/>
        </w:numPr>
        <w:snapToGrid w:val="0"/>
        <w:spacing w:line="360" w:lineRule="auto"/>
        <w:jc w:val="left"/>
        <w:rPr>
          <w:rFonts w:ascii="等线" w:hAnsi="等线" w:eastAsia="等线"/>
          <w:sz w:val="22"/>
          <w:szCs w:val="22"/>
        </w:rPr>
      </w:pPr>
      <w:bookmarkStart w:id="242" w:name="_Toc416254192"/>
      <w:bookmarkStart w:id="243" w:name="_Toc6109345"/>
      <w:bookmarkStart w:id="244" w:name="_Toc6028472"/>
      <w:bookmarkStart w:id="245" w:name="_Toc6028382"/>
      <w:bookmarkStart w:id="246" w:name="_Toc6026304"/>
      <w:bookmarkStart w:id="247" w:name="_Toc507820992"/>
      <w:bookmarkStart w:id="248" w:name="_Toc498228808"/>
      <w:bookmarkStart w:id="249" w:name="_Toc498227716"/>
      <w:bookmarkStart w:id="250" w:name="_Toc498227206"/>
      <w:r>
        <w:rPr>
          <w:rFonts w:hint="eastAsia" w:ascii="等线" w:hAnsi="等线" w:eastAsia="等线"/>
          <w:b w:val="0"/>
          <w:sz w:val="22"/>
          <w:szCs w:val="22"/>
        </w:rPr>
        <w:t>技术服务及人员培训</w:t>
      </w:r>
      <w:bookmarkEnd w:id="242"/>
      <w:bookmarkEnd w:id="243"/>
      <w:bookmarkEnd w:id="244"/>
      <w:bookmarkEnd w:id="245"/>
      <w:bookmarkEnd w:id="246"/>
      <w:bookmarkEnd w:id="247"/>
      <w:bookmarkEnd w:id="248"/>
      <w:bookmarkEnd w:id="249"/>
      <w:bookmarkEnd w:id="250"/>
    </w:p>
    <w:p>
      <w:pPr>
        <w:pStyle w:val="5"/>
        <w:snapToGrid w:val="0"/>
        <w:spacing w:before="0" w:after="0" w:line="360" w:lineRule="auto"/>
        <w:rPr>
          <w:rFonts w:ascii="等线" w:hAnsi="等线" w:eastAsia="等线"/>
          <w:sz w:val="22"/>
          <w:szCs w:val="22"/>
        </w:rPr>
      </w:pPr>
      <w:bookmarkStart w:id="251" w:name="_Toc6109346"/>
      <w:bookmarkStart w:id="252" w:name="_Toc6028473"/>
      <w:bookmarkStart w:id="253" w:name="_Toc6028383"/>
      <w:bookmarkStart w:id="254" w:name="_Toc6026305"/>
      <w:bookmarkStart w:id="255" w:name="_Toc507820993"/>
      <w:bookmarkStart w:id="256" w:name="_Toc498228809"/>
      <w:bookmarkStart w:id="257" w:name="_Toc498227207"/>
      <w:r>
        <w:rPr>
          <w:rFonts w:hint="eastAsia" w:ascii="等线" w:hAnsi="等线" w:eastAsia="等线"/>
          <w:sz w:val="22"/>
          <w:szCs w:val="22"/>
        </w:rPr>
        <w:t>10.1技术服务要求</w:t>
      </w:r>
      <w:bookmarkEnd w:id="251"/>
      <w:bookmarkEnd w:id="252"/>
      <w:bookmarkEnd w:id="253"/>
      <w:bookmarkEnd w:id="254"/>
      <w:bookmarkEnd w:id="255"/>
      <w:bookmarkEnd w:id="256"/>
      <w:bookmarkEnd w:id="257"/>
    </w:p>
    <w:p>
      <w:pPr>
        <w:pStyle w:val="100"/>
        <w:keepNext w:val="0"/>
        <w:keepLines w:val="0"/>
        <w:numPr>
          <w:ilvl w:val="0"/>
          <w:numId w:val="19"/>
        </w:numPr>
        <w:tabs>
          <w:tab w:val="left" w:pos="624"/>
          <w:tab w:val="left" w:pos="1021"/>
          <w:tab w:val="clear" w:pos="864"/>
        </w:tabs>
        <w:adjustRightInd w:val="0"/>
        <w:snapToGrid w:val="0"/>
        <w:spacing w:before="0" w:after="0"/>
        <w:ind w:left="840" w:leftChars="-10"/>
        <w:jc w:val="left"/>
        <w:textAlignment w:val="baseline"/>
        <w:outlineLvl w:val="9"/>
        <w:rPr>
          <w:rFonts w:ascii="等线" w:hAnsi="等线" w:eastAsia="等线"/>
          <w:sz w:val="22"/>
          <w:szCs w:val="22"/>
        </w:rPr>
      </w:pPr>
      <w:r>
        <w:rPr>
          <w:rFonts w:hint="eastAsia" w:ascii="等线" w:hAnsi="等线" w:eastAsia="等线"/>
          <w:sz w:val="22"/>
          <w:szCs w:val="22"/>
        </w:rPr>
        <w:t>投标人必须派遣技术熟练，身体健康，本专业5年以上工作经验的技术人员为招标人提供技术服务及人员培训，投标人必须提交派遣人员的简历、技术服务计划(包括人数、天数、内容)，由招标人确认同意。招标人有权要求更换不合适的派遣人员，在没有得到招标人允许前，投标人不能更换或撤走任何一个派遣人员。</w:t>
      </w:r>
    </w:p>
    <w:p>
      <w:pPr>
        <w:pStyle w:val="100"/>
        <w:keepNext w:val="0"/>
        <w:keepLines w:val="0"/>
        <w:numPr>
          <w:ilvl w:val="0"/>
          <w:numId w:val="19"/>
        </w:numPr>
        <w:tabs>
          <w:tab w:val="left" w:pos="624"/>
          <w:tab w:val="left" w:pos="1021"/>
          <w:tab w:val="clear" w:pos="864"/>
        </w:tabs>
        <w:adjustRightInd w:val="0"/>
        <w:snapToGrid w:val="0"/>
        <w:spacing w:before="0" w:after="0"/>
        <w:ind w:left="840" w:leftChars="-10"/>
        <w:jc w:val="left"/>
        <w:textAlignment w:val="baseline"/>
        <w:outlineLvl w:val="9"/>
        <w:rPr>
          <w:rFonts w:ascii="等线" w:hAnsi="等线" w:eastAsia="等线"/>
          <w:sz w:val="22"/>
          <w:szCs w:val="22"/>
        </w:rPr>
      </w:pPr>
      <w:r>
        <w:rPr>
          <w:rFonts w:hint="eastAsia" w:ascii="等线" w:hAnsi="等线" w:eastAsia="等线"/>
          <w:sz w:val="22"/>
          <w:szCs w:val="22"/>
        </w:rPr>
        <w:t>投标人必须对招标人的技术人员、维修人员和操作人员进行培训，培训为在现场的培训，所有培训必须使用中文培训。投标人必须在投标书中提出培训计划，包括培训项目、培训人数、培训时间、培训费用(每人每日的费用等)。招标人保留按此费用标准改动培训人员人数和天数的权利。</w:t>
      </w:r>
    </w:p>
    <w:p>
      <w:pPr>
        <w:pStyle w:val="5"/>
        <w:snapToGrid w:val="0"/>
        <w:spacing w:before="0" w:after="0" w:line="360" w:lineRule="auto"/>
        <w:rPr>
          <w:rFonts w:ascii="等线" w:hAnsi="等线" w:eastAsia="等线"/>
          <w:sz w:val="22"/>
          <w:szCs w:val="22"/>
        </w:rPr>
      </w:pPr>
      <w:bookmarkStart w:id="258" w:name="_Toc6109347"/>
      <w:bookmarkStart w:id="259" w:name="_Toc6028474"/>
      <w:bookmarkStart w:id="260" w:name="_Toc6028384"/>
      <w:bookmarkStart w:id="261" w:name="_Toc6026306"/>
      <w:bookmarkStart w:id="262" w:name="_Toc507820994"/>
      <w:bookmarkStart w:id="263" w:name="_Toc498228810"/>
      <w:bookmarkStart w:id="264" w:name="_Toc498227208"/>
      <w:r>
        <w:rPr>
          <w:rFonts w:hint="eastAsia" w:ascii="等线" w:hAnsi="等线" w:eastAsia="等线"/>
          <w:sz w:val="22"/>
          <w:szCs w:val="22"/>
        </w:rPr>
        <w:t>10.2投标人在现场的技术服务</w:t>
      </w:r>
      <w:bookmarkEnd w:id="258"/>
      <w:bookmarkEnd w:id="259"/>
      <w:bookmarkEnd w:id="260"/>
      <w:bookmarkEnd w:id="261"/>
      <w:bookmarkEnd w:id="262"/>
      <w:bookmarkEnd w:id="263"/>
      <w:bookmarkEnd w:id="264"/>
    </w:p>
    <w:p>
      <w:pPr>
        <w:pStyle w:val="100"/>
        <w:keepNext w:val="0"/>
        <w:keepLines w:val="0"/>
        <w:numPr>
          <w:ilvl w:val="0"/>
          <w:numId w:val="20"/>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投标人在现场的技术服务包括但不限于如下内容:设计审查、安装、调试、试运行、考核、培训，以及投标人必须提供的其它技术服务。</w:t>
      </w:r>
    </w:p>
    <w:p>
      <w:pPr>
        <w:pStyle w:val="100"/>
        <w:keepNext w:val="0"/>
        <w:keepLines w:val="0"/>
        <w:numPr>
          <w:ilvl w:val="0"/>
          <w:numId w:val="20"/>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投标人必须指派一名技术服务人员作为现场总代表，负责合同范围内的设备的总技术指导。</w:t>
      </w:r>
    </w:p>
    <w:p>
      <w:pPr>
        <w:pStyle w:val="100"/>
        <w:keepNext w:val="0"/>
        <w:keepLines w:val="0"/>
        <w:numPr>
          <w:ilvl w:val="0"/>
          <w:numId w:val="20"/>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在设备安装之前，投标人必须对设备安装处的土建基础尺寸进行检查，由于投标人变动安装条件引起的费用必须由投标人负担。</w:t>
      </w:r>
    </w:p>
    <w:p>
      <w:pPr>
        <w:pStyle w:val="100"/>
        <w:keepNext w:val="0"/>
        <w:keepLines w:val="0"/>
        <w:numPr>
          <w:ilvl w:val="0"/>
          <w:numId w:val="20"/>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投标人必须定期参加现场会议，积极配合招标人工作，圆满解决安装、调试、试运行中的所有问题。</w:t>
      </w:r>
    </w:p>
    <w:p>
      <w:pPr>
        <w:pStyle w:val="100"/>
        <w:keepNext w:val="0"/>
        <w:keepLines w:val="0"/>
        <w:numPr>
          <w:ilvl w:val="0"/>
          <w:numId w:val="20"/>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投标人的技术服务必须正确无误。由于投标人技术人员不正确的技术指导，而造成设备和材料的损失。投标人必须负责免费修理、更换和补充。</w:t>
      </w:r>
    </w:p>
    <w:p>
      <w:pPr>
        <w:pStyle w:val="100"/>
        <w:keepNext w:val="0"/>
        <w:keepLines w:val="0"/>
        <w:numPr>
          <w:ilvl w:val="0"/>
          <w:numId w:val="20"/>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投标人技术人员在现场必须填写工作日记，一式两份，由双方现场代表签字。</w:t>
      </w:r>
    </w:p>
    <w:p>
      <w:pPr>
        <w:pStyle w:val="100"/>
        <w:keepNext w:val="0"/>
        <w:keepLines w:val="0"/>
        <w:numPr>
          <w:ilvl w:val="0"/>
          <w:numId w:val="20"/>
        </w:numPr>
        <w:tabs>
          <w:tab w:val="left" w:pos="624"/>
          <w:tab w:val="left" w:pos="1021"/>
          <w:tab w:val="clear" w:pos="86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工作时间：投标人技术人员根据招标人的工程总体进度安排自己项目的工作计划。</w:t>
      </w:r>
    </w:p>
    <w:p>
      <w:pPr>
        <w:pStyle w:val="5"/>
        <w:snapToGrid w:val="0"/>
        <w:spacing w:before="0" w:after="0" w:line="360" w:lineRule="auto"/>
        <w:rPr>
          <w:rFonts w:ascii="等线" w:hAnsi="等线" w:eastAsia="等线"/>
          <w:sz w:val="22"/>
          <w:szCs w:val="22"/>
        </w:rPr>
      </w:pPr>
      <w:bookmarkStart w:id="265" w:name="_Toc6109349"/>
      <w:bookmarkStart w:id="266" w:name="_Toc6028476"/>
      <w:bookmarkStart w:id="267" w:name="_Toc6028386"/>
      <w:bookmarkStart w:id="268" w:name="_Toc6026308"/>
      <w:bookmarkStart w:id="269" w:name="_Toc507820996"/>
      <w:bookmarkStart w:id="270" w:name="_Toc498228812"/>
      <w:bookmarkStart w:id="271" w:name="_Toc498227210"/>
      <w:bookmarkStart w:id="272" w:name="_Ref497571539"/>
      <w:r>
        <w:rPr>
          <w:rFonts w:hint="eastAsia" w:ascii="等线" w:hAnsi="等线" w:eastAsia="等线"/>
          <w:sz w:val="22"/>
          <w:szCs w:val="22"/>
        </w:rPr>
        <w:t>10.3招标人操作人员在现场的培训</w:t>
      </w:r>
      <w:bookmarkEnd w:id="265"/>
      <w:bookmarkEnd w:id="266"/>
      <w:bookmarkEnd w:id="267"/>
      <w:bookmarkEnd w:id="268"/>
      <w:bookmarkEnd w:id="269"/>
      <w:bookmarkEnd w:id="270"/>
      <w:bookmarkEnd w:id="271"/>
      <w:bookmarkEnd w:id="272"/>
    </w:p>
    <w:p>
      <w:pPr>
        <w:adjustRightInd w:val="0"/>
        <w:snapToGrid w:val="0"/>
        <w:spacing w:line="440" w:lineRule="exact"/>
        <w:ind w:firstLine="440" w:firstLineChars="200"/>
        <w:rPr>
          <w:rFonts w:ascii="Cambria" w:hAnsi="Cambria" w:eastAsia="宋体"/>
          <w:sz w:val="22"/>
        </w:rPr>
      </w:pPr>
      <w:bookmarkStart w:id="273" w:name="_Toc6109350"/>
      <w:bookmarkStart w:id="274" w:name="_Toc6028477"/>
      <w:bookmarkStart w:id="275" w:name="_Toc6028387"/>
      <w:bookmarkStart w:id="276" w:name="_Toc6026309"/>
      <w:bookmarkStart w:id="277" w:name="_Toc507820997"/>
      <w:bookmarkStart w:id="278" w:name="_Toc498228813"/>
      <w:bookmarkStart w:id="279" w:name="_Toc498227211"/>
      <w:r>
        <w:rPr>
          <w:rFonts w:hint="eastAsia"/>
          <w:sz w:val="22"/>
        </w:rPr>
        <w:t>招标人操作人员在现场的培训</w:t>
      </w:r>
    </w:p>
    <w:p>
      <w:pPr>
        <w:adjustRightInd w:val="0"/>
        <w:snapToGrid w:val="0"/>
        <w:spacing w:line="440" w:lineRule="exact"/>
        <w:ind w:firstLine="440" w:firstLineChars="200"/>
        <w:rPr>
          <w:sz w:val="22"/>
        </w:rPr>
      </w:pPr>
      <w:r>
        <w:rPr>
          <w:sz w:val="22"/>
        </w:rPr>
        <w:t>1</w:t>
      </w:r>
      <w:r>
        <w:rPr>
          <w:rFonts w:hint="eastAsia"/>
          <w:sz w:val="22"/>
        </w:rPr>
        <w:t>）投标人还必须为招标人操作人员安排培训班进行培训，被培训的操作人员将实际操作安检系统设备。以上培训均为免费培训。</w:t>
      </w:r>
    </w:p>
    <w:p>
      <w:pPr>
        <w:adjustRightInd w:val="0"/>
        <w:snapToGrid w:val="0"/>
        <w:spacing w:line="440" w:lineRule="exact"/>
        <w:ind w:firstLine="440" w:firstLineChars="200"/>
        <w:rPr>
          <w:sz w:val="22"/>
        </w:rPr>
      </w:pPr>
      <w:r>
        <w:rPr>
          <w:sz w:val="22"/>
        </w:rPr>
        <w:t>2</w:t>
      </w:r>
      <w:r>
        <w:rPr>
          <w:rFonts w:hint="eastAsia"/>
          <w:sz w:val="22"/>
        </w:rPr>
        <w:t>）培训计划包括课堂教学和现场操作两部分。通过培训，应使招标人现场操作人员达到如下的目的：</w:t>
      </w:r>
    </w:p>
    <w:p>
      <w:pPr>
        <w:pStyle w:val="143"/>
        <w:numPr>
          <w:ilvl w:val="0"/>
          <w:numId w:val="21"/>
        </w:numPr>
        <w:spacing w:line="440" w:lineRule="exact"/>
        <w:ind w:left="480" w:hanging="60"/>
        <w:rPr>
          <w:rFonts w:ascii="等线" w:hAnsi="等线" w:eastAsia="等线"/>
          <w:sz w:val="22"/>
          <w:szCs w:val="22"/>
        </w:rPr>
      </w:pPr>
      <w:r>
        <w:rPr>
          <w:rFonts w:hint="eastAsia" w:ascii="等线" w:hAnsi="等线" w:eastAsia="等线"/>
          <w:sz w:val="22"/>
          <w:szCs w:val="22"/>
        </w:rPr>
        <w:t>了解本设备的功能和操作使用管理方法。</w:t>
      </w:r>
    </w:p>
    <w:p>
      <w:pPr>
        <w:pStyle w:val="143"/>
        <w:numPr>
          <w:ilvl w:val="0"/>
          <w:numId w:val="21"/>
        </w:numPr>
        <w:spacing w:line="440" w:lineRule="exact"/>
        <w:ind w:left="480" w:hanging="60"/>
        <w:rPr>
          <w:rFonts w:ascii="等线" w:hAnsi="等线" w:eastAsia="等线"/>
          <w:sz w:val="22"/>
          <w:szCs w:val="22"/>
        </w:rPr>
      </w:pPr>
      <w:r>
        <w:rPr>
          <w:rFonts w:hint="eastAsia" w:ascii="等线" w:hAnsi="等线" w:eastAsia="等线"/>
          <w:sz w:val="22"/>
          <w:szCs w:val="22"/>
        </w:rPr>
        <w:t>了解每台设备的性能和正确操作方法。</w:t>
      </w:r>
    </w:p>
    <w:p>
      <w:pPr>
        <w:pStyle w:val="143"/>
        <w:numPr>
          <w:ilvl w:val="0"/>
          <w:numId w:val="21"/>
        </w:numPr>
        <w:spacing w:line="440" w:lineRule="exact"/>
        <w:ind w:left="945" w:hanging="525"/>
        <w:rPr>
          <w:rFonts w:ascii="等线" w:hAnsi="等线" w:eastAsia="等线"/>
          <w:sz w:val="22"/>
          <w:szCs w:val="22"/>
        </w:rPr>
      </w:pPr>
      <w:r>
        <w:rPr>
          <w:rFonts w:hint="eastAsia" w:ascii="等线" w:hAnsi="等线" w:eastAsia="等线"/>
          <w:sz w:val="22"/>
          <w:szCs w:val="22"/>
        </w:rPr>
        <w:t>了解安全操作规程和使用时必须注意的事项。</w:t>
      </w:r>
    </w:p>
    <w:p>
      <w:pPr>
        <w:pStyle w:val="143"/>
        <w:numPr>
          <w:ilvl w:val="0"/>
          <w:numId w:val="21"/>
        </w:numPr>
        <w:spacing w:line="440" w:lineRule="exact"/>
        <w:rPr>
          <w:rFonts w:ascii="等线" w:hAnsi="等线" w:eastAsia="等线"/>
          <w:sz w:val="22"/>
          <w:szCs w:val="22"/>
        </w:rPr>
      </w:pPr>
      <w:r>
        <w:rPr>
          <w:rFonts w:hint="eastAsia" w:ascii="等线" w:hAnsi="等线" w:eastAsia="等线"/>
          <w:sz w:val="22"/>
          <w:szCs w:val="22"/>
        </w:rPr>
        <w:t>掌握常见故障发生的原因和排除方法。</w:t>
      </w:r>
    </w:p>
    <w:p>
      <w:pPr>
        <w:pStyle w:val="143"/>
        <w:numPr>
          <w:ilvl w:val="0"/>
          <w:numId w:val="21"/>
        </w:numPr>
        <w:spacing w:line="440" w:lineRule="exact"/>
        <w:rPr>
          <w:rFonts w:ascii="等线" w:hAnsi="等线" w:eastAsia="等线"/>
          <w:sz w:val="22"/>
          <w:szCs w:val="22"/>
        </w:rPr>
      </w:pPr>
      <w:r>
        <w:rPr>
          <w:rFonts w:hint="eastAsia" w:ascii="等线" w:hAnsi="等线" w:eastAsia="等线"/>
          <w:sz w:val="22"/>
          <w:szCs w:val="22"/>
        </w:rPr>
        <w:t>熟练掌握控制室、以及现场等的各种控制设备和装置、仪器、仪表、讯号等的用法。</w:t>
      </w:r>
    </w:p>
    <w:p>
      <w:pPr>
        <w:pStyle w:val="143"/>
        <w:numPr>
          <w:ilvl w:val="0"/>
          <w:numId w:val="21"/>
        </w:numPr>
        <w:spacing w:line="440" w:lineRule="exact"/>
        <w:rPr>
          <w:rFonts w:ascii="等线" w:hAnsi="等线" w:eastAsia="等线"/>
          <w:sz w:val="22"/>
          <w:szCs w:val="22"/>
        </w:rPr>
      </w:pPr>
      <w:r>
        <w:rPr>
          <w:rFonts w:hint="eastAsia" w:ascii="等线" w:hAnsi="等线" w:eastAsia="等线"/>
          <w:sz w:val="22"/>
          <w:szCs w:val="22"/>
        </w:rPr>
        <w:t>学会设备的保养知识。</w:t>
      </w:r>
    </w:p>
    <w:p>
      <w:pPr>
        <w:pStyle w:val="143"/>
        <w:numPr>
          <w:ilvl w:val="0"/>
          <w:numId w:val="22"/>
        </w:numPr>
        <w:spacing w:line="440" w:lineRule="exact"/>
        <w:ind w:left="900" w:hanging="480"/>
        <w:rPr>
          <w:rFonts w:ascii="等线" w:hAnsi="等线" w:eastAsia="等线"/>
          <w:sz w:val="22"/>
          <w:szCs w:val="22"/>
        </w:rPr>
      </w:pPr>
      <w:r>
        <w:rPr>
          <w:rFonts w:hint="eastAsia" w:ascii="等线" w:hAnsi="等线" w:eastAsia="等线"/>
          <w:sz w:val="22"/>
          <w:szCs w:val="22"/>
        </w:rPr>
        <w:t>了解设备的保护装置。</w:t>
      </w:r>
    </w:p>
    <w:p>
      <w:pPr>
        <w:pStyle w:val="5"/>
        <w:snapToGrid w:val="0"/>
        <w:spacing w:before="0" w:after="0" w:line="360" w:lineRule="auto"/>
        <w:rPr>
          <w:rFonts w:ascii="等线" w:hAnsi="等线" w:eastAsia="等线"/>
          <w:sz w:val="22"/>
          <w:szCs w:val="22"/>
        </w:rPr>
      </w:pPr>
      <w:r>
        <w:rPr>
          <w:rFonts w:hint="eastAsia" w:ascii="等线" w:hAnsi="等线" w:eastAsia="等线"/>
          <w:sz w:val="22"/>
          <w:szCs w:val="22"/>
        </w:rPr>
        <w:t>10.4培训计划与教材</w:t>
      </w:r>
      <w:bookmarkEnd w:id="273"/>
      <w:bookmarkEnd w:id="274"/>
      <w:bookmarkEnd w:id="275"/>
      <w:bookmarkEnd w:id="276"/>
      <w:bookmarkEnd w:id="277"/>
      <w:bookmarkEnd w:id="278"/>
      <w:bookmarkEnd w:id="279"/>
    </w:p>
    <w:p>
      <w:pPr>
        <w:pStyle w:val="100"/>
        <w:keepNext w:val="0"/>
        <w:keepLines w:val="0"/>
        <w:numPr>
          <w:ilvl w:val="0"/>
          <w:numId w:val="23"/>
        </w:numPr>
        <w:tabs>
          <w:tab w:val="left" w:pos="28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培训计划安排在试运行之前。在试运行之前三个月，投标人提供一份由招标人认可的课程大纲给招标人。</w:t>
      </w:r>
    </w:p>
    <w:p>
      <w:pPr>
        <w:pStyle w:val="100"/>
        <w:keepNext w:val="0"/>
        <w:keepLines w:val="0"/>
        <w:numPr>
          <w:ilvl w:val="0"/>
          <w:numId w:val="23"/>
        </w:numPr>
        <w:tabs>
          <w:tab w:val="left" w:pos="28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投标人准备的课程计划同样需要经招标人认可。</w:t>
      </w:r>
    </w:p>
    <w:p>
      <w:pPr>
        <w:pStyle w:val="100"/>
        <w:keepNext w:val="0"/>
        <w:keepLines w:val="0"/>
        <w:numPr>
          <w:ilvl w:val="0"/>
          <w:numId w:val="23"/>
        </w:numPr>
        <w:tabs>
          <w:tab w:val="left" w:pos="28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投标人必须提供一切需要的培训辅助设备(例如操作人员检查表、图表、图纸、彩色幻灯片、录像机或录音机、幻灯放影机等)。</w:t>
      </w:r>
    </w:p>
    <w:p>
      <w:pPr>
        <w:pStyle w:val="100"/>
        <w:keepNext w:val="0"/>
        <w:keepLines w:val="0"/>
        <w:numPr>
          <w:ilvl w:val="0"/>
          <w:numId w:val="23"/>
        </w:numPr>
        <w:tabs>
          <w:tab w:val="left" w:pos="284"/>
        </w:tabs>
        <w:adjustRightInd w:val="0"/>
        <w:snapToGrid w:val="0"/>
        <w:spacing w:before="0" w:after="0"/>
        <w:ind w:left="926" w:leftChars="26"/>
        <w:jc w:val="left"/>
        <w:textAlignment w:val="baseline"/>
        <w:outlineLvl w:val="9"/>
        <w:rPr>
          <w:rFonts w:ascii="等线" w:hAnsi="等线" w:eastAsia="等线"/>
          <w:sz w:val="22"/>
          <w:szCs w:val="22"/>
        </w:rPr>
      </w:pPr>
      <w:r>
        <w:rPr>
          <w:rFonts w:hint="eastAsia" w:ascii="等线" w:hAnsi="等线" w:eastAsia="等线"/>
          <w:sz w:val="22"/>
          <w:szCs w:val="22"/>
        </w:rPr>
        <w:t>投标人必须提供中文操作和维修手册，操作和维修手册作为基本的课程内容，因此，上述手册必须至少在培训前二个月内完成。</w:t>
      </w:r>
    </w:p>
    <w:p>
      <w:pPr>
        <w:pStyle w:val="4"/>
        <w:numPr>
          <w:ilvl w:val="0"/>
          <w:numId w:val="10"/>
        </w:numPr>
        <w:snapToGrid w:val="0"/>
        <w:spacing w:line="360" w:lineRule="auto"/>
        <w:rPr>
          <w:rFonts w:ascii="等线" w:hAnsi="等线" w:eastAsia="等线"/>
          <w:sz w:val="22"/>
          <w:szCs w:val="22"/>
        </w:rPr>
      </w:pPr>
      <w:bookmarkStart w:id="280" w:name="_Toc416254193"/>
      <w:bookmarkStart w:id="281" w:name="_Toc6109351"/>
      <w:bookmarkStart w:id="282" w:name="_Toc6028478"/>
      <w:bookmarkStart w:id="283" w:name="_Toc6028388"/>
      <w:bookmarkStart w:id="284" w:name="_Toc6026310"/>
      <w:bookmarkStart w:id="285" w:name="_Toc507820998"/>
      <w:bookmarkStart w:id="286" w:name="_Toc498228814"/>
      <w:bookmarkStart w:id="287" w:name="_Toc498227717"/>
      <w:bookmarkStart w:id="288" w:name="_Toc498227212"/>
      <w:r>
        <w:rPr>
          <w:rFonts w:hint="eastAsia" w:ascii="等线" w:hAnsi="等线" w:eastAsia="等线"/>
          <w:b w:val="0"/>
          <w:sz w:val="22"/>
          <w:szCs w:val="22"/>
        </w:rPr>
        <w:t>运输包装要求</w:t>
      </w:r>
      <w:bookmarkEnd w:id="280"/>
      <w:bookmarkEnd w:id="281"/>
      <w:bookmarkEnd w:id="282"/>
      <w:bookmarkEnd w:id="283"/>
      <w:bookmarkEnd w:id="284"/>
      <w:bookmarkEnd w:id="285"/>
      <w:bookmarkEnd w:id="286"/>
      <w:bookmarkEnd w:id="287"/>
      <w:bookmarkEnd w:id="288"/>
    </w:p>
    <w:p>
      <w:pPr>
        <w:pStyle w:val="100"/>
        <w:keepNext w:val="0"/>
        <w:keepLines w:val="0"/>
        <w:numPr>
          <w:ilvl w:val="0"/>
          <w:numId w:val="24"/>
        </w:numPr>
        <w:tabs>
          <w:tab w:val="left" w:pos="624"/>
          <w:tab w:val="left" w:pos="1021"/>
          <w:tab w:val="clear" w:pos="864"/>
        </w:tabs>
        <w:adjustRightInd w:val="0"/>
        <w:snapToGrid w:val="0"/>
        <w:spacing w:before="0" w:after="0"/>
        <w:ind w:left="1109" w:leftChars="102"/>
        <w:jc w:val="left"/>
        <w:textAlignment w:val="baseline"/>
        <w:outlineLvl w:val="9"/>
        <w:rPr>
          <w:rFonts w:ascii="等线" w:hAnsi="等线" w:eastAsia="等线"/>
          <w:sz w:val="22"/>
          <w:szCs w:val="22"/>
        </w:rPr>
      </w:pPr>
      <w:r>
        <w:rPr>
          <w:rFonts w:hint="eastAsia" w:ascii="等线" w:hAnsi="等线" w:eastAsia="等线"/>
          <w:sz w:val="22"/>
          <w:szCs w:val="22"/>
        </w:rPr>
        <w:t>设备从起运地点运到招标人指定的到货港口这段时间内，投标人必须对所有设备进行保险。</w:t>
      </w:r>
    </w:p>
    <w:p>
      <w:pPr>
        <w:pStyle w:val="100"/>
        <w:keepNext w:val="0"/>
        <w:keepLines w:val="0"/>
        <w:numPr>
          <w:ilvl w:val="0"/>
          <w:numId w:val="24"/>
        </w:numPr>
        <w:tabs>
          <w:tab w:val="left" w:pos="624"/>
          <w:tab w:val="left" w:pos="1021"/>
          <w:tab w:val="clear" w:pos="864"/>
        </w:tabs>
        <w:adjustRightInd w:val="0"/>
        <w:snapToGrid w:val="0"/>
        <w:spacing w:before="0" w:after="0"/>
        <w:ind w:left="1109" w:leftChars="102"/>
        <w:jc w:val="left"/>
        <w:textAlignment w:val="baseline"/>
        <w:outlineLvl w:val="9"/>
        <w:rPr>
          <w:rFonts w:ascii="等线" w:hAnsi="等线" w:eastAsia="等线"/>
          <w:sz w:val="22"/>
          <w:szCs w:val="22"/>
        </w:rPr>
      </w:pPr>
      <w:r>
        <w:rPr>
          <w:rFonts w:hint="eastAsia" w:ascii="等线" w:hAnsi="等线" w:eastAsia="等线"/>
          <w:sz w:val="22"/>
          <w:szCs w:val="22"/>
        </w:rPr>
        <w:t>依照合同规定的时间，将所有设备及零配件运抵安装地点（包括装卸），所需之一切安装工具，运输设备均投标人自备。</w:t>
      </w:r>
    </w:p>
    <w:p>
      <w:pPr>
        <w:pStyle w:val="100"/>
        <w:keepNext w:val="0"/>
        <w:keepLines w:val="0"/>
        <w:numPr>
          <w:ilvl w:val="0"/>
          <w:numId w:val="24"/>
        </w:numPr>
        <w:tabs>
          <w:tab w:val="left" w:pos="624"/>
          <w:tab w:val="left" w:pos="1021"/>
          <w:tab w:val="clear" w:pos="864"/>
        </w:tabs>
        <w:adjustRightInd w:val="0"/>
        <w:snapToGrid w:val="0"/>
        <w:spacing w:before="0" w:after="0"/>
        <w:ind w:left="1109" w:leftChars="102"/>
        <w:jc w:val="left"/>
        <w:textAlignment w:val="baseline"/>
        <w:outlineLvl w:val="9"/>
        <w:rPr>
          <w:rFonts w:ascii="等线" w:hAnsi="等线" w:eastAsia="等线"/>
          <w:sz w:val="22"/>
          <w:szCs w:val="22"/>
        </w:rPr>
      </w:pPr>
      <w:r>
        <w:rPr>
          <w:rFonts w:hint="eastAsia" w:ascii="等线" w:hAnsi="等线" w:eastAsia="等线"/>
          <w:sz w:val="22"/>
          <w:szCs w:val="22"/>
        </w:rPr>
        <w:t>设备、零件运抵现场后，投标人应提供设备清单，在安装前由业主对进场货物进行质量检查。</w:t>
      </w:r>
    </w:p>
    <w:p>
      <w:pPr>
        <w:pStyle w:val="100"/>
        <w:keepNext w:val="0"/>
        <w:keepLines w:val="0"/>
        <w:numPr>
          <w:ilvl w:val="0"/>
          <w:numId w:val="24"/>
        </w:numPr>
        <w:tabs>
          <w:tab w:val="left" w:pos="624"/>
          <w:tab w:val="left" w:pos="1021"/>
          <w:tab w:val="clear" w:pos="864"/>
        </w:tabs>
        <w:adjustRightInd w:val="0"/>
        <w:snapToGrid w:val="0"/>
        <w:spacing w:before="0" w:after="0"/>
        <w:ind w:left="1109" w:leftChars="102"/>
        <w:jc w:val="left"/>
        <w:textAlignment w:val="baseline"/>
        <w:outlineLvl w:val="9"/>
        <w:rPr>
          <w:rFonts w:ascii="等线" w:hAnsi="等线" w:eastAsia="等线"/>
          <w:sz w:val="22"/>
          <w:szCs w:val="22"/>
        </w:rPr>
      </w:pPr>
      <w:r>
        <w:rPr>
          <w:rFonts w:hint="eastAsia" w:ascii="等线" w:hAnsi="等线" w:eastAsia="等线"/>
          <w:sz w:val="22"/>
          <w:szCs w:val="22"/>
        </w:rPr>
        <w:t>备件和检测维修工具应与设备分开包装。箱盒应适于储存，储存年限应在包装上予以说明。所有备件应加上标签，以使它们可以被快速辨认出来。对有特殊仓储要求的设备、附件，投标人应提出仓储保管要领书，一式二份，最迟必须在设备到港前二周将有关文件快递至杭州萧山国际机场有限公司。</w:t>
      </w:r>
    </w:p>
    <w:p>
      <w:pPr>
        <w:pStyle w:val="100"/>
        <w:keepNext w:val="0"/>
        <w:keepLines w:val="0"/>
        <w:numPr>
          <w:ilvl w:val="0"/>
          <w:numId w:val="24"/>
        </w:numPr>
        <w:tabs>
          <w:tab w:val="left" w:pos="624"/>
          <w:tab w:val="left" w:pos="1021"/>
          <w:tab w:val="clear" w:pos="864"/>
        </w:tabs>
        <w:adjustRightInd w:val="0"/>
        <w:snapToGrid w:val="0"/>
        <w:spacing w:before="0" w:after="0"/>
        <w:ind w:left="1109" w:leftChars="102"/>
        <w:jc w:val="left"/>
        <w:textAlignment w:val="baseline"/>
        <w:outlineLvl w:val="9"/>
        <w:rPr>
          <w:rFonts w:ascii="等线" w:hAnsi="等线" w:eastAsia="等线"/>
          <w:sz w:val="22"/>
          <w:szCs w:val="22"/>
        </w:rPr>
      </w:pPr>
      <w:r>
        <w:rPr>
          <w:rFonts w:hint="eastAsia" w:ascii="等线" w:hAnsi="等线" w:eastAsia="等线"/>
          <w:sz w:val="22"/>
          <w:szCs w:val="22"/>
        </w:rPr>
        <w:t>安检系统的设备必须单机分开包装，包装箱应能保护设备免遭外界的损坏并作好防潮和防水包装，包装箱上应清楚注明设备名称、设备型号、设备规格、发货单位、接受单位、接受地址、毛重、体积、运输条件等。</w:t>
      </w:r>
    </w:p>
    <w:p>
      <w:pPr>
        <w:pStyle w:val="100"/>
        <w:keepNext w:val="0"/>
        <w:keepLines w:val="0"/>
        <w:numPr>
          <w:ilvl w:val="0"/>
          <w:numId w:val="24"/>
        </w:numPr>
        <w:tabs>
          <w:tab w:val="left" w:pos="624"/>
          <w:tab w:val="left" w:pos="1021"/>
          <w:tab w:val="clear" w:pos="864"/>
        </w:tabs>
        <w:adjustRightInd w:val="0"/>
        <w:snapToGrid w:val="0"/>
        <w:spacing w:before="0" w:after="0"/>
        <w:ind w:left="1109" w:leftChars="102"/>
        <w:jc w:val="left"/>
        <w:textAlignment w:val="baseline"/>
        <w:outlineLvl w:val="9"/>
        <w:rPr>
          <w:rFonts w:ascii="等线" w:hAnsi="等线" w:eastAsia="等线"/>
          <w:sz w:val="22"/>
          <w:szCs w:val="22"/>
        </w:rPr>
      </w:pPr>
      <w:r>
        <w:rPr>
          <w:rFonts w:hint="eastAsia" w:ascii="等线" w:hAnsi="等线" w:eastAsia="等线"/>
          <w:sz w:val="22"/>
          <w:szCs w:val="22"/>
        </w:rPr>
        <w:t>由于运输和包装不当导致的设备损坏由投标人负责。</w:t>
      </w:r>
    </w:p>
    <w:p>
      <w:pPr>
        <w:pStyle w:val="100"/>
        <w:keepNext w:val="0"/>
        <w:keepLines w:val="0"/>
        <w:numPr>
          <w:ilvl w:val="0"/>
          <w:numId w:val="24"/>
        </w:numPr>
        <w:tabs>
          <w:tab w:val="left" w:pos="624"/>
          <w:tab w:val="left" w:pos="1021"/>
          <w:tab w:val="clear" w:pos="864"/>
        </w:tabs>
        <w:adjustRightInd w:val="0"/>
        <w:snapToGrid w:val="0"/>
        <w:spacing w:before="0" w:after="0"/>
        <w:ind w:left="1109" w:leftChars="102"/>
        <w:jc w:val="left"/>
        <w:textAlignment w:val="baseline"/>
        <w:outlineLvl w:val="9"/>
        <w:rPr>
          <w:rFonts w:ascii="等线" w:hAnsi="等线" w:eastAsia="等线"/>
          <w:sz w:val="22"/>
          <w:szCs w:val="22"/>
        </w:rPr>
      </w:pPr>
      <w:r>
        <w:rPr>
          <w:rFonts w:hint="eastAsia" w:ascii="等线" w:hAnsi="等线" w:eastAsia="等线"/>
          <w:sz w:val="22"/>
          <w:szCs w:val="22"/>
        </w:rPr>
        <w:t>投标人应根据总进度计划负责设备的仓储工作，投标时列出场地费和人工费，并计入投标总价。安装时招标人将在工地现场提供适当临时堆放场地及用水、用电设施，现场保护由投标人自己负责。</w:t>
      </w:r>
    </w:p>
    <w:p>
      <w:pPr>
        <w:pStyle w:val="3"/>
        <w:numPr>
          <w:ilvl w:val="0"/>
          <w:numId w:val="9"/>
        </w:numPr>
        <w:snapToGrid w:val="0"/>
        <w:spacing w:before="0" w:after="0"/>
        <w:rPr>
          <w:rFonts w:ascii="等线" w:hAnsi="等线" w:eastAsia="等线"/>
          <w:sz w:val="32"/>
        </w:rPr>
      </w:pPr>
      <w:bookmarkStart w:id="289" w:name="_Toc416254195"/>
      <w:bookmarkStart w:id="290" w:name="_Toc6109352"/>
      <w:bookmarkStart w:id="291" w:name="_Toc6028479"/>
      <w:bookmarkStart w:id="292" w:name="_Toc6028389"/>
      <w:bookmarkStart w:id="293" w:name="_Toc6026311"/>
      <w:bookmarkStart w:id="294" w:name="_Toc507820999"/>
      <w:bookmarkStart w:id="295" w:name="_Toc498228815"/>
      <w:bookmarkStart w:id="296" w:name="_Toc498227718"/>
      <w:bookmarkStart w:id="297" w:name="_Toc498227213"/>
      <w:r>
        <w:rPr>
          <w:rFonts w:hint="eastAsia" w:ascii="等线" w:hAnsi="等线" w:eastAsia="等线"/>
          <w:sz w:val="32"/>
        </w:rPr>
        <w:t>工程实施要求</w:t>
      </w:r>
      <w:bookmarkEnd w:id="289"/>
      <w:bookmarkEnd w:id="290"/>
      <w:bookmarkEnd w:id="291"/>
      <w:bookmarkEnd w:id="292"/>
      <w:bookmarkEnd w:id="293"/>
      <w:bookmarkEnd w:id="294"/>
      <w:bookmarkEnd w:id="295"/>
      <w:bookmarkEnd w:id="296"/>
      <w:bookmarkEnd w:id="297"/>
    </w:p>
    <w:p>
      <w:pPr>
        <w:pStyle w:val="4"/>
        <w:numPr>
          <w:ilvl w:val="0"/>
          <w:numId w:val="0"/>
        </w:numPr>
        <w:tabs>
          <w:tab w:val="left" w:pos="420"/>
        </w:tabs>
        <w:snapToGrid w:val="0"/>
        <w:spacing w:line="360" w:lineRule="auto"/>
        <w:rPr>
          <w:rFonts w:ascii="等线" w:hAnsi="等线" w:eastAsia="等线"/>
          <w:sz w:val="22"/>
          <w:szCs w:val="22"/>
        </w:rPr>
      </w:pPr>
      <w:bookmarkStart w:id="298" w:name="_Toc416254196"/>
      <w:bookmarkStart w:id="299" w:name="_Toc6109353"/>
      <w:bookmarkStart w:id="300" w:name="_Toc6028480"/>
      <w:bookmarkStart w:id="301" w:name="_Toc6028390"/>
      <w:bookmarkStart w:id="302" w:name="_Toc6026312"/>
      <w:bookmarkStart w:id="303" w:name="_Toc507821000"/>
      <w:bookmarkStart w:id="304" w:name="_Toc498228816"/>
      <w:bookmarkStart w:id="305" w:name="_Toc498227719"/>
      <w:bookmarkStart w:id="306" w:name="_Toc498227214"/>
      <w:r>
        <w:rPr>
          <w:rFonts w:hint="eastAsia" w:ascii="等线" w:hAnsi="等线" w:eastAsia="等线"/>
          <w:b w:val="0"/>
          <w:sz w:val="22"/>
          <w:szCs w:val="22"/>
        </w:rPr>
        <w:t>1、安装</w:t>
      </w:r>
      <w:bookmarkEnd w:id="298"/>
      <w:bookmarkEnd w:id="299"/>
      <w:bookmarkEnd w:id="300"/>
      <w:bookmarkEnd w:id="301"/>
      <w:bookmarkEnd w:id="302"/>
      <w:bookmarkEnd w:id="303"/>
      <w:bookmarkEnd w:id="304"/>
      <w:bookmarkEnd w:id="305"/>
      <w:bookmarkEnd w:id="306"/>
    </w:p>
    <w:p>
      <w:pPr>
        <w:pStyle w:val="100"/>
        <w:keepNext w:val="0"/>
        <w:keepLines w:val="0"/>
        <w:numPr>
          <w:ilvl w:val="0"/>
          <w:numId w:val="25"/>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投标人应负责中标系统和设备安装,并负责调试及试运行等工作，直至系统和设备以及整个工程验收合格。</w:t>
      </w:r>
    </w:p>
    <w:p>
      <w:pPr>
        <w:pStyle w:val="100"/>
        <w:keepNext w:val="0"/>
        <w:keepLines w:val="0"/>
        <w:numPr>
          <w:ilvl w:val="0"/>
          <w:numId w:val="25"/>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投标人应在中标后15天内，按要求提供基础预埋件图纸、开槽、开孔、通道要求及有关说明，并提供特殊零件部件，供土建施工单位预埋，与一般混凝土一起建造。</w:t>
      </w:r>
    </w:p>
    <w:p>
      <w:pPr>
        <w:pStyle w:val="100"/>
        <w:keepNext w:val="0"/>
        <w:keepLines w:val="0"/>
        <w:numPr>
          <w:ilvl w:val="0"/>
          <w:numId w:val="25"/>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设备的每个部分须考虑防火、防过压、防潮、耐用、防漏电、容易清洁及日常维修，并且以符合本文件所提供规范为原则。</w:t>
      </w:r>
    </w:p>
    <w:p>
      <w:pPr>
        <w:pStyle w:val="100"/>
        <w:keepNext w:val="0"/>
        <w:keepLines w:val="0"/>
        <w:numPr>
          <w:ilvl w:val="0"/>
          <w:numId w:val="25"/>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土建结构建造完成后，任何在土建结构内的挖掘、开槽、开孔，必须在施工图上标出，并交招标人批准。</w:t>
      </w:r>
    </w:p>
    <w:p>
      <w:pPr>
        <w:pStyle w:val="100"/>
        <w:keepNext w:val="0"/>
        <w:keepLines w:val="0"/>
        <w:numPr>
          <w:ilvl w:val="0"/>
          <w:numId w:val="25"/>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在设备安装前,投标人应对设备安装处的土建基础尺寸进行检查,由于投标人变动安装条件引起的费用应由投标人负担。</w:t>
      </w:r>
    </w:p>
    <w:p>
      <w:pPr>
        <w:pStyle w:val="100"/>
        <w:keepNext w:val="0"/>
        <w:keepLines w:val="0"/>
        <w:numPr>
          <w:ilvl w:val="0"/>
          <w:numId w:val="25"/>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投标人必须定期参加现场会议,配合招标人工作,圆满解决安装、调试、试运行中的所有问题。</w:t>
      </w:r>
    </w:p>
    <w:p>
      <w:pPr>
        <w:pStyle w:val="100"/>
        <w:keepNext w:val="0"/>
        <w:keepLines w:val="0"/>
        <w:numPr>
          <w:ilvl w:val="0"/>
          <w:numId w:val="25"/>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投标人必须负责提供安装过程中所需的专用工具。</w:t>
      </w:r>
    </w:p>
    <w:p>
      <w:pPr>
        <w:pStyle w:val="4"/>
        <w:numPr>
          <w:ilvl w:val="0"/>
          <w:numId w:val="26"/>
        </w:numPr>
        <w:snapToGrid w:val="0"/>
        <w:spacing w:line="360" w:lineRule="auto"/>
        <w:ind w:left="-1574" w:leftChars="-656"/>
        <w:rPr>
          <w:rFonts w:ascii="等线" w:hAnsi="等线" w:eastAsia="等线"/>
          <w:sz w:val="22"/>
          <w:szCs w:val="22"/>
        </w:rPr>
      </w:pPr>
      <w:bookmarkStart w:id="307" w:name="_Toc6028481"/>
      <w:bookmarkStart w:id="308" w:name="_Toc6028391"/>
      <w:bookmarkStart w:id="309" w:name="_Toc6026313"/>
      <w:bookmarkStart w:id="310" w:name="_Toc507821001"/>
      <w:bookmarkStart w:id="311" w:name="_Toc498228817"/>
      <w:bookmarkStart w:id="312" w:name="_Toc498227720"/>
      <w:bookmarkStart w:id="313" w:name="_Toc498227215"/>
      <w:bookmarkStart w:id="314" w:name="_Toc416254197"/>
      <w:bookmarkStart w:id="315" w:name="_Toc6109354"/>
      <w:r>
        <w:rPr>
          <w:rFonts w:hint="eastAsia" w:ascii="等线" w:hAnsi="等线" w:eastAsia="等线"/>
          <w:b w:val="0"/>
          <w:sz w:val="22"/>
          <w:szCs w:val="22"/>
        </w:rPr>
        <w:t xml:space="preserve">              2、调试和试运行</w:t>
      </w:r>
      <w:bookmarkEnd w:id="307"/>
      <w:bookmarkEnd w:id="308"/>
      <w:bookmarkEnd w:id="309"/>
      <w:bookmarkEnd w:id="310"/>
      <w:bookmarkEnd w:id="311"/>
      <w:bookmarkEnd w:id="312"/>
      <w:bookmarkEnd w:id="313"/>
      <w:bookmarkEnd w:id="314"/>
      <w:bookmarkEnd w:id="315"/>
    </w:p>
    <w:p>
      <w:pPr>
        <w:pStyle w:val="100"/>
        <w:keepNext w:val="0"/>
        <w:keepLines w:val="0"/>
        <w:numPr>
          <w:ilvl w:val="0"/>
          <w:numId w:val="27"/>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应在现场负责对中标系统设备进行调试和试运行，以检验其设计制作、操作性和功能等方面的情况。担任调试和试运行任务的是由投标人派出的有五年以上工作经验工程师。招标人认为不合格者，可要求更换。在没有得到招标人允许前,投标人不能更换或撤走任何一个人员。</w:t>
      </w:r>
    </w:p>
    <w:p>
      <w:pPr>
        <w:pStyle w:val="100"/>
        <w:keepNext w:val="0"/>
        <w:keepLines w:val="0"/>
        <w:numPr>
          <w:ilvl w:val="0"/>
          <w:numId w:val="27"/>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设备在安装过程或安装结束后，必须经过调试，可根据情况进行部分调试和全面调试。</w:t>
      </w:r>
    </w:p>
    <w:p>
      <w:pPr>
        <w:pStyle w:val="100"/>
        <w:keepNext w:val="0"/>
        <w:keepLines w:val="0"/>
        <w:numPr>
          <w:ilvl w:val="0"/>
          <w:numId w:val="27"/>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投标人根据本技术标书中的要求，在设备安装完工的前6周,提出调试、试运行、验收大纲、项目和数据，以及工作进度计划，经招标人批准。</w:t>
      </w:r>
    </w:p>
    <w:p>
      <w:pPr>
        <w:pStyle w:val="100"/>
        <w:keepNext w:val="0"/>
        <w:keepLines w:val="0"/>
        <w:numPr>
          <w:ilvl w:val="0"/>
          <w:numId w:val="27"/>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系统和设备经过调试，投标人现场代表确认合格以后，在投标人技术人员指导下，由招标人组织各种试运行。</w:t>
      </w:r>
    </w:p>
    <w:p>
      <w:pPr>
        <w:pStyle w:val="100"/>
        <w:keepNext w:val="0"/>
        <w:keepLines w:val="0"/>
        <w:numPr>
          <w:ilvl w:val="0"/>
          <w:numId w:val="27"/>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各项设备试运行的大纲、项目、数据由投标人制成表格发给参加试运行的双方工作人员，以便将每次试运行做出记录。</w:t>
      </w:r>
    </w:p>
    <w:p>
      <w:pPr>
        <w:pStyle w:val="100"/>
        <w:keepNext w:val="0"/>
        <w:keepLines w:val="0"/>
        <w:numPr>
          <w:ilvl w:val="0"/>
          <w:numId w:val="27"/>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参加试运行的双方工作人员，都应该认真做好记录和工作日记。投标人必须在任何一个测试项目完成后的14日内，将检验证书和报告提交招标人。</w:t>
      </w:r>
    </w:p>
    <w:p>
      <w:pPr>
        <w:pStyle w:val="100"/>
        <w:keepNext w:val="0"/>
        <w:keepLines w:val="0"/>
        <w:numPr>
          <w:ilvl w:val="0"/>
          <w:numId w:val="27"/>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试运行所需的工具、材料、仪器及劳务均由投标人负责准备，配合安装、调试、试运行所需费用单独列出，并纳入总报价。</w:t>
      </w:r>
    </w:p>
    <w:p>
      <w:pPr>
        <w:pStyle w:val="4"/>
        <w:numPr>
          <w:ilvl w:val="0"/>
          <w:numId w:val="26"/>
        </w:numPr>
        <w:snapToGrid w:val="0"/>
        <w:spacing w:line="360" w:lineRule="auto"/>
        <w:rPr>
          <w:rFonts w:ascii="等线" w:hAnsi="等线" w:eastAsia="等线"/>
          <w:sz w:val="22"/>
          <w:szCs w:val="22"/>
        </w:rPr>
      </w:pPr>
      <w:bookmarkStart w:id="316" w:name="_Toc498227721"/>
      <w:bookmarkStart w:id="317" w:name="_Toc498227216"/>
      <w:bookmarkStart w:id="318" w:name="_Toc416254198"/>
      <w:bookmarkStart w:id="319" w:name="_Toc6109355"/>
      <w:bookmarkStart w:id="320" w:name="_Toc6028482"/>
      <w:bookmarkStart w:id="321" w:name="_Toc6028392"/>
      <w:bookmarkStart w:id="322" w:name="_Toc6026314"/>
      <w:bookmarkStart w:id="323" w:name="_Toc507821002"/>
      <w:bookmarkStart w:id="324" w:name="_Toc498228818"/>
      <w:r>
        <w:rPr>
          <w:rFonts w:hint="eastAsia" w:ascii="等线" w:hAnsi="等线" w:eastAsia="等线"/>
          <w:b w:val="0"/>
          <w:sz w:val="22"/>
          <w:szCs w:val="22"/>
        </w:rPr>
        <w:t>验收</w:t>
      </w:r>
      <w:bookmarkEnd w:id="316"/>
      <w:bookmarkEnd w:id="317"/>
      <w:bookmarkEnd w:id="318"/>
      <w:bookmarkEnd w:id="319"/>
      <w:bookmarkEnd w:id="320"/>
      <w:bookmarkEnd w:id="321"/>
      <w:bookmarkEnd w:id="322"/>
      <w:bookmarkEnd w:id="323"/>
      <w:bookmarkEnd w:id="324"/>
    </w:p>
    <w:p>
      <w:pPr>
        <w:pStyle w:val="100"/>
        <w:keepNext w:val="0"/>
        <w:keepLines w:val="0"/>
        <w:tabs>
          <w:tab w:val="left" w:pos="1021"/>
        </w:tabs>
        <w:adjustRightInd w:val="0"/>
        <w:snapToGrid w:val="0"/>
        <w:spacing w:before="0" w:after="0"/>
        <w:ind w:left="120" w:leftChars="50" w:firstLine="330" w:firstLineChars="150"/>
        <w:jc w:val="left"/>
        <w:textAlignment w:val="baseline"/>
        <w:outlineLvl w:val="9"/>
        <w:rPr>
          <w:rFonts w:ascii="等线" w:hAnsi="等线" w:eastAsia="等线"/>
          <w:sz w:val="22"/>
          <w:szCs w:val="22"/>
        </w:rPr>
      </w:pPr>
      <w:r>
        <w:rPr>
          <w:rFonts w:hint="eastAsia" w:ascii="等线" w:hAnsi="等线" w:eastAsia="等线"/>
          <w:b/>
          <w:sz w:val="22"/>
          <w:szCs w:val="22"/>
        </w:rPr>
        <w:t xml:space="preserve">1) </w:t>
      </w:r>
      <w:r>
        <w:rPr>
          <w:rFonts w:hint="eastAsia" w:ascii="等线" w:hAnsi="等线" w:eastAsia="等线"/>
          <w:sz w:val="22"/>
          <w:szCs w:val="22"/>
        </w:rPr>
        <w:t>招标范围内的设备在最终验收前须取得民航局颁发的使用验收合格证。所需费用由中标方承担。</w:t>
      </w:r>
    </w:p>
    <w:p>
      <w:pPr>
        <w:pStyle w:val="32"/>
        <w:snapToGrid w:val="0"/>
        <w:spacing w:after="0" w:line="360" w:lineRule="auto"/>
        <w:ind w:left="0" w:leftChars="0" w:firstLine="440" w:firstLineChars="200"/>
        <w:rPr>
          <w:rFonts w:ascii="等线" w:hAnsi="等线" w:eastAsia="等线"/>
          <w:sz w:val="22"/>
          <w:szCs w:val="22"/>
        </w:rPr>
      </w:pPr>
      <w:r>
        <w:rPr>
          <w:rFonts w:hint="eastAsia" w:ascii="等线" w:hAnsi="等线" w:eastAsia="等线"/>
          <w:b/>
          <w:sz w:val="22"/>
          <w:szCs w:val="22"/>
        </w:rPr>
        <w:t xml:space="preserve">2) </w:t>
      </w:r>
      <w:r>
        <w:rPr>
          <w:rFonts w:hint="eastAsia" w:ascii="等线" w:hAnsi="等线" w:eastAsia="等线"/>
          <w:sz w:val="22"/>
          <w:szCs w:val="22"/>
        </w:rPr>
        <w:t>安装调试完成后，投标人须负责对已完成项目进行自验，自验结束，写出书面申请报告提交招标人，由招标人会同有关部门进行初验。最终的验收以杭州萧山机场有关职能部门验收合格为准。</w:t>
      </w:r>
    </w:p>
    <w:p>
      <w:pPr>
        <w:pStyle w:val="5"/>
        <w:snapToGrid w:val="0"/>
        <w:spacing w:before="0" w:after="0" w:line="360" w:lineRule="auto"/>
        <w:rPr>
          <w:rFonts w:ascii="等线" w:hAnsi="等线" w:eastAsia="等线"/>
          <w:sz w:val="22"/>
          <w:szCs w:val="22"/>
        </w:rPr>
      </w:pPr>
      <w:bookmarkStart w:id="325" w:name="_Toc6109356"/>
      <w:bookmarkStart w:id="326" w:name="_Toc6028483"/>
      <w:bookmarkStart w:id="327" w:name="_Toc6028393"/>
      <w:bookmarkStart w:id="328" w:name="_Toc6026315"/>
      <w:bookmarkStart w:id="329" w:name="_Toc507821003"/>
      <w:bookmarkStart w:id="330" w:name="_Toc498228819"/>
      <w:bookmarkStart w:id="331" w:name="_Toc498227217"/>
      <w:r>
        <w:rPr>
          <w:rFonts w:hint="eastAsia" w:ascii="等线" w:hAnsi="等线" w:eastAsia="等线"/>
          <w:sz w:val="22"/>
          <w:szCs w:val="22"/>
        </w:rPr>
        <w:t>3.1验收条件</w:t>
      </w:r>
      <w:bookmarkEnd w:id="325"/>
      <w:bookmarkEnd w:id="326"/>
      <w:bookmarkEnd w:id="327"/>
      <w:bookmarkEnd w:id="328"/>
      <w:bookmarkEnd w:id="329"/>
      <w:bookmarkEnd w:id="330"/>
      <w:bookmarkEnd w:id="331"/>
    </w:p>
    <w:p>
      <w:pPr>
        <w:pStyle w:val="14"/>
        <w:ind w:firstLine="220"/>
        <w:rPr>
          <w:rFonts w:ascii="等线" w:hAnsi="等线" w:eastAsia="等线"/>
          <w:sz w:val="22"/>
          <w:szCs w:val="22"/>
        </w:rPr>
      </w:pPr>
      <w:r>
        <w:rPr>
          <w:rFonts w:hint="eastAsia" w:ascii="等线" w:hAnsi="等线" w:eastAsia="等线"/>
          <w:sz w:val="22"/>
          <w:szCs w:val="22"/>
        </w:rPr>
        <w:t>投标人在验收前应负责做好下列工作,只有具备下列条件,招标人才进行验收工作。</w:t>
      </w:r>
    </w:p>
    <w:p>
      <w:pPr>
        <w:pStyle w:val="100"/>
        <w:keepNext w:val="0"/>
        <w:keepLines w:val="0"/>
        <w:numPr>
          <w:ilvl w:val="0"/>
          <w:numId w:val="28"/>
        </w:numPr>
        <w:tabs>
          <w:tab w:val="left" w:pos="624"/>
          <w:tab w:val="left" w:pos="1021"/>
          <w:tab w:val="clear" w:pos="864"/>
        </w:tabs>
        <w:adjustRightInd w:val="0"/>
        <w:snapToGrid w:val="0"/>
        <w:spacing w:before="0" w:after="0"/>
        <w:ind w:left="1298" w:leftChars="181"/>
        <w:jc w:val="left"/>
        <w:textAlignment w:val="baseline"/>
        <w:outlineLvl w:val="9"/>
        <w:rPr>
          <w:rFonts w:ascii="等线" w:hAnsi="等线" w:eastAsia="等线"/>
          <w:sz w:val="22"/>
          <w:szCs w:val="22"/>
        </w:rPr>
      </w:pPr>
      <w:r>
        <w:rPr>
          <w:rFonts w:hint="eastAsia" w:ascii="等线" w:hAnsi="等线" w:eastAsia="等线"/>
          <w:sz w:val="22"/>
          <w:szCs w:val="22"/>
        </w:rPr>
        <w:t>系统设备安装调试完成准备就绪。</w:t>
      </w:r>
    </w:p>
    <w:p>
      <w:pPr>
        <w:pStyle w:val="100"/>
        <w:keepNext w:val="0"/>
        <w:keepLines w:val="0"/>
        <w:numPr>
          <w:ilvl w:val="0"/>
          <w:numId w:val="28"/>
        </w:numPr>
        <w:tabs>
          <w:tab w:val="left" w:pos="624"/>
          <w:tab w:val="left" w:pos="1021"/>
          <w:tab w:val="clear" w:pos="864"/>
        </w:tabs>
        <w:adjustRightInd w:val="0"/>
        <w:snapToGrid w:val="0"/>
        <w:spacing w:before="0" w:after="0"/>
        <w:ind w:left="1298" w:leftChars="181"/>
        <w:jc w:val="left"/>
        <w:textAlignment w:val="baseline"/>
        <w:outlineLvl w:val="9"/>
        <w:rPr>
          <w:rFonts w:ascii="等线" w:hAnsi="等线" w:eastAsia="等线"/>
          <w:sz w:val="22"/>
          <w:szCs w:val="22"/>
        </w:rPr>
      </w:pPr>
      <w:r>
        <w:rPr>
          <w:rFonts w:hint="eastAsia" w:ascii="等线" w:hAnsi="等线" w:eastAsia="等线"/>
          <w:sz w:val="22"/>
          <w:szCs w:val="22"/>
        </w:rPr>
        <w:t>准备好验收技术检测所需的工具器材。</w:t>
      </w:r>
    </w:p>
    <w:p>
      <w:pPr>
        <w:pStyle w:val="100"/>
        <w:keepNext w:val="0"/>
        <w:keepLines w:val="0"/>
        <w:numPr>
          <w:ilvl w:val="0"/>
          <w:numId w:val="28"/>
        </w:numPr>
        <w:tabs>
          <w:tab w:val="left" w:pos="624"/>
          <w:tab w:val="left" w:pos="1021"/>
          <w:tab w:val="clear" w:pos="864"/>
        </w:tabs>
        <w:adjustRightInd w:val="0"/>
        <w:snapToGrid w:val="0"/>
        <w:spacing w:before="0" w:after="0"/>
        <w:ind w:left="1298" w:leftChars="181"/>
        <w:jc w:val="left"/>
        <w:textAlignment w:val="baseline"/>
        <w:outlineLvl w:val="9"/>
        <w:rPr>
          <w:rFonts w:ascii="等线" w:hAnsi="等线" w:eastAsia="等线"/>
          <w:sz w:val="22"/>
          <w:szCs w:val="22"/>
        </w:rPr>
      </w:pPr>
      <w:r>
        <w:rPr>
          <w:rFonts w:hint="eastAsia" w:ascii="等线" w:hAnsi="等线" w:eastAsia="等线"/>
          <w:sz w:val="22"/>
          <w:szCs w:val="22"/>
        </w:rPr>
        <w:t>提交相关的安装调试资料及验收资料。</w:t>
      </w:r>
    </w:p>
    <w:p>
      <w:pPr>
        <w:pStyle w:val="5"/>
        <w:snapToGrid w:val="0"/>
        <w:spacing w:before="0" w:after="0" w:line="360" w:lineRule="auto"/>
        <w:rPr>
          <w:rFonts w:ascii="等线" w:hAnsi="等线" w:eastAsia="等线"/>
          <w:sz w:val="22"/>
          <w:szCs w:val="22"/>
        </w:rPr>
      </w:pPr>
      <w:bookmarkStart w:id="332" w:name="_Toc6109357"/>
      <w:bookmarkStart w:id="333" w:name="_Toc6028484"/>
      <w:bookmarkStart w:id="334" w:name="_Toc6028394"/>
      <w:bookmarkStart w:id="335" w:name="_Toc6026316"/>
      <w:bookmarkStart w:id="336" w:name="_Toc507821004"/>
      <w:bookmarkStart w:id="337" w:name="_Toc498228820"/>
      <w:bookmarkStart w:id="338" w:name="_Toc498227218"/>
      <w:r>
        <w:rPr>
          <w:rFonts w:hint="eastAsia" w:ascii="等线" w:hAnsi="等线" w:eastAsia="等线"/>
          <w:sz w:val="22"/>
          <w:szCs w:val="22"/>
        </w:rPr>
        <w:t>3.2验收合格条件</w:t>
      </w:r>
      <w:bookmarkEnd w:id="332"/>
      <w:bookmarkEnd w:id="333"/>
      <w:bookmarkEnd w:id="334"/>
      <w:bookmarkEnd w:id="335"/>
      <w:bookmarkEnd w:id="336"/>
      <w:bookmarkEnd w:id="337"/>
      <w:bookmarkEnd w:id="338"/>
    </w:p>
    <w:p>
      <w:pPr>
        <w:pStyle w:val="100"/>
        <w:keepNext w:val="0"/>
        <w:keepLines w:val="0"/>
        <w:numPr>
          <w:ilvl w:val="0"/>
          <w:numId w:val="29"/>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投标人按合同编制系统设备验收大纲，系统设备验收大纲在验收前一个月提交业主审定，业主批准后实施。</w:t>
      </w:r>
    </w:p>
    <w:p>
      <w:pPr>
        <w:pStyle w:val="100"/>
        <w:keepNext w:val="0"/>
        <w:keepLines w:val="0"/>
        <w:numPr>
          <w:ilvl w:val="0"/>
          <w:numId w:val="29"/>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满足设备验收大纲的要求。</w:t>
      </w:r>
    </w:p>
    <w:p>
      <w:pPr>
        <w:pStyle w:val="100"/>
        <w:keepNext w:val="0"/>
        <w:keepLines w:val="0"/>
        <w:numPr>
          <w:ilvl w:val="0"/>
          <w:numId w:val="29"/>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各机构运转正常，操作、控制、管理、系统工作正常。</w:t>
      </w:r>
    </w:p>
    <w:p>
      <w:pPr>
        <w:pStyle w:val="100"/>
        <w:keepNext w:val="0"/>
        <w:keepLines w:val="0"/>
        <w:numPr>
          <w:ilvl w:val="0"/>
          <w:numId w:val="29"/>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输送机无打滑、跑偏和抖动。</w:t>
      </w:r>
    </w:p>
    <w:p>
      <w:pPr>
        <w:pStyle w:val="100"/>
        <w:keepNext w:val="0"/>
        <w:keepLines w:val="0"/>
        <w:numPr>
          <w:ilvl w:val="0"/>
          <w:numId w:val="29"/>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系统设备功能及试运行满足设计要求。</w:t>
      </w:r>
    </w:p>
    <w:p>
      <w:pPr>
        <w:pStyle w:val="100"/>
        <w:keepNext w:val="0"/>
        <w:keepLines w:val="0"/>
        <w:numPr>
          <w:ilvl w:val="0"/>
          <w:numId w:val="29"/>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性能测试和试运行时出现的问题已被解决，满足招标技术条件。</w:t>
      </w:r>
    </w:p>
    <w:p>
      <w:pPr>
        <w:pStyle w:val="100"/>
        <w:keepNext w:val="0"/>
        <w:keepLines w:val="0"/>
        <w:numPr>
          <w:ilvl w:val="0"/>
          <w:numId w:val="29"/>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根据要求提供了全部设备和满足招标人当地各级档案管理要求的全部资料。</w:t>
      </w:r>
    </w:p>
    <w:p>
      <w:pPr>
        <w:pStyle w:val="4"/>
        <w:numPr>
          <w:ilvl w:val="0"/>
          <w:numId w:val="26"/>
        </w:numPr>
        <w:snapToGrid w:val="0"/>
        <w:spacing w:line="360" w:lineRule="auto"/>
        <w:rPr>
          <w:rFonts w:ascii="等线" w:hAnsi="等线" w:eastAsia="等线"/>
          <w:sz w:val="22"/>
          <w:szCs w:val="22"/>
        </w:rPr>
      </w:pPr>
      <w:bookmarkStart w:id="339" w:name="_Toc6026317"/>
      <w:bookmarkStart w:id="340" w:name="_Toc416254199"/>
      <w:bookmarkStart w:id="341" w:name="_Toc6109358"/>
      <w:bookmarkStart w:id="342" w:name="_Toc6028485"/>
      <w:bookmarkStart w:id="343" w:name="_Toc498228821"/>
      <w:bookmarkStart w:id="344" w:name="_Toc498227219"/>
      <w:bookmarkStart w:id="345" w:name="_Toc507821005"/>
      <w:bookmarkStart w:id="346" w:name="_Toc6028395"/>
      <w:bookmarkStart w:id="347" w:name="_Toc498227722"/>
      <w:r>
        <w:rPr>
          <w:rFonts w:hint="eastAsia" w:ascii="等线" w:hAnsi="等线" w:eastAsia="等线"/>
          <w:b w:val="0"/>
          <w:sz w:val="22"/>
          <w:szCs w:val="22"/>
        </w:rPr>
        <w:t>售后服务</w:t>
      </w:r>
      <w:bookmarkEnd w:id="339"/>
      <w:bookmarkEnd w:id="340"/>
      <w:bookmarkEnd w:id="341"/>
      <w:bookmarkEnd w:id="342"/>
      <w:bookmarkEnd w:id="343"/>
      <w:bookmarkEnd w:id="344"/>
      <w:bookmarkEnd w:id="345"/>
      <w:bookmarkEnd w:id="346"/>
      <w:bookmarkEnd w:id="347"/>
    </w:p>
    <w:p>
      <w:pPr>
        <w:pStyle w:val="32"/>
        <w:snapToGrid w:val="0"/>
        <w:spacing w:after="0" w:line="360" w:lineRule="auto"/>
        <w:ind w:left="0" w:leftChars="0" w:firstLine="440" w:firstLineChars="200"/>
        <w:rPr>
          <w:rFonts w:ascii="等线" w:hAnsi="等线" w:eastAsia="等线"/>
          <w:sz w:val="22"/>
          <w:szCs w:val="22"/>
        </w:rPr>
      </w:pPr>
      <w:r>
        <w:rPr>
          <w:rFonts w:hint="eastAsia" w:ascii="等线" w:hAnsi="等线" w:eastAsia="等线"/>
          <w:sz w:val="22"/>
          <w:szCs w:val="22"/>
        </w:rPr>
        <w:t>投标人设备在现场经试运转合格，通过验收之日起，为进入交付招标人使用期。投标人需要提供免费保修，保修期自最终验收之日起计算，时间不少于3年。质保期内所需的维修和维护零部件由卖方负责免费提供。内容如下：</w:t>
      </w:r>
    </w:p>
    <w:p>
      <w:pPr>
        <w:pStyle w:val="100"/>
        <w:keepNext w:val="0"/>
        <w:keepLines w:val="0"/>
        <w:numPr>
          <w:ilvl w:val="0"/>
          <w:numId w:val="30"/>
        </w:numPr>
        <w:tabs>
          <w:tab w:val="left" w:pos="624"/>
          <w:tab w:val="left" w:pos="1021"/>
          <w:tab w:val="clear" w:pos="864"/>
        </w:tabs>
        <w:adjustRightInd w:val="0"/>
        <w:snapToGrid w:val="0"/>
        <w:spacing w:before="0" w:after="0"/>
        <w:ind w:left="1058" w:leftChars="81"/>
        <w:jc w:val="left"/>
        <w:textAlignment w:val="baseline"/>
        <w:outlineLvl w:val="9"/>
        <w:rPr>
          <w:rFonts w:ascii="等线" w:hAnsi="等线" w:eastAsia="等线"/>
          <w:sz w:val="22"/>
          <w:szCs w:val="22"/>
        </w:rPr>
      </w:pPr>
      <w:r>
        <w:rPr>
          <w:rFonts w:hint="eastAsia" w:ascii="等线" w:hAnsi="等线" w:eastAsia="等线"/>
          <w:sz w:val="22"/>
          <w:szCs w:val="22"/>
          <w:highlight w:val="yellow"/>
        </w:rPr>
        <w:t>设备生产商应在杭州地区设立有维修机构，24小时提供维修服务，2小时内赶到杭州机场，3小时内赶到义乌机场，直至设备完全恢复正常使用为止。该维修机构须在本场备有足够的零备件，以满足保修期内的维修需要。</w:t>
      </w:r>
    </w:p>
    <w:p>
      <w:pPr>
        <w:pStyle w:val="100"/>
        <w:keepNext w:val="0"/>
        <w:keepLines w:val="0"/>
        <w:numPr>
          <w:ilvl w:val="0"/>
          <w:numId w:val="30"/>
        </w:numPr>
        <w:tabs>
          <w:tab w:val="left" w:pos="624"/>
          <w:tab w:val="left" w:pos="1021"/>
          <w:tab w:val="clear" w:pos="864"/>
        </w:tabs>
        <w:adjustRightInd w:val="0"/>
        <w:snapToGrid w:val="0"/>
        <w:spacing w:before="0" w:after="0"/>
        <w:ind w:left="1058" w:leftChars="81"/>
        <w:jc w:val="left"/>
        <w:textAlignment w:val="baseline"/>
        <w:outlineLvl w:val="9"/>
        <w:rPr>
          <w:rFonts w:ascii="等线" w:hAnsi="等线" w:eastAsia="等线"/>
          <w:sz w:val="22"/>
          <w:szCs w:val="22"/>
        </w:rPr>
      </w:pPr>
      <w:r>
        <w:rPr>
          <w:rFonts w:hint="eastAsia" w:ascii="等线" w:hAnsi="等线" w:eastAsia="等线"/>
          <w:sz w:val="22"/>
          <w:szCs w:val="22"/>
        </w:rPr>
        <w:t>保修期内，每季度对设备进行检查、保养、调校和润滑。</w:t>
      </w:r>
    </w:p>
    <w:p>
      <w:pPr>
        <w:pStyle w:val="100"/>
        <w:keepNext w:val="0"/>
        <w:keepLines w:val="0"/>
        <w:numPr>
          <w:ilvl w:val="0"/>
          <w:numId w:val="30"/>
        </w:numPr>
        <w:tabs>
          <w:tab w:val="left" w:pos="624"/>
          <w:tab w:val="left" w:pos="1021"/>
          <w:tab w:val="clear" w:pos="864"/>
        </w:tabs>
        <w:adjustRightInd w:val="0"/>
        <w:snapToGrid w:val="0"/>
        <w:spacing w:before="0" w:after="0"/>
        <w:ind w:left="1058" w:leftChars="81"/>
        <w:jc w:val="left"/>
        <w:textAlignment w:val="baseline"/>
        <w:outlineLvl w:val="9"/>
        <w:rPr>
          <w:rFonts w:ascii="等线" w:hAnsi="等线" w:eastAsia="等线"/>
          <w:sz w:val="22"/>
          <w:szCs w:val="22"/>
        </w:rPr>
      </w:pPr>
      <w:r>
        <w:rPr>
          <w:rFonts w:hint="eastAsia" w:ascii="等线" w:hAnsi="等线" w:eastAsia="等线"/>
          <w:sz w:val="22"/>
          <w:szCs w:val="22"/>
        </w:rPr>
        <w:t>当由于设备设计和制造质量原因造成的任何损伤或损坏，投标人除负责修理或更换外，所作更换的材料和零件必须是原厂生产的标准材料和零件。</w:t>
      </w:r>
    </w:p>
    <w:p>
      <w:pPr>
        <w:pStyle w:val="100"/>
        <w:keepNext w:val="0"/>
        <w:keepLines w:val="0"/>
        <w:numPr>
          <w:ilvl w:val="0"/>
          <w:numId w:val="30"/>
        </w:numPr>
        <w:tabs>
          <w:tab w:val="left" w:pos="624"/>
          <w:tab w:val="left" w:pos="1021"/>
          <w:tab w:val="clear" w:pos="864"/>
        </w:tabs>
        <w:adjustRightInd w:val="0"/>
        <w:snapToGrid w:val="0"/>
        <w:spacing w:before="0" w:after="0"/>
        <w:ind w:left="1058" w:leftChars="81"/>
        <w:jc w:val="left"/>
        <w:textAlignment w:val="baseline"/>
        <w:outlineLvl w:val="9"/>
        <w:rPr>
          <w:rFonts w:ascii="等线" w:hAnsi="等线" w:eastAsia="等线"/>
          <w:sz w:val="22"/>
          <w:szCs w:val="22"/>
        </w:rPr>
      </w:pPr>
      <w:r>
        <w:rPr>
          <w:rFonts w:hint="eastAsia" w:ascii="等线" w:hAnsi="等线" w:eastAsia="等线"/>
          <w:sz w:val="22"/>
          <w:szCs w:val="22"/>
        </w:rPr>
        <w:t>在保修期结束时，须由专业工程师对整套设备进行一次全面检查，任何缺陷必须由投标人自费修理。在修理之后，投标人必须将成因、补救措施、完成修理及恢复正常的时间和日期等报告给招标人。报告一式两份。</w:t>
      </w:r>
    </w:p>
    <w:p>
      <w:pPr>
        <w:pStyle w:val="4"/>
        <w:numPr>
          <w:ilvl w:val="0"/>
          <w:numId w:val="26"/>
        </w:numPr>
        <w:snapToGrid w:val="0"/>
        <w:spacing w:line="360" w:lineRule="auto"/>
        <w:rPr>
          <w:rFonts w:ascii="等线" w:hAnsi="等线" w:eastAsia="等线"/>
          <w:sz w:val="22"/>
          <w:szCs w:val="22"/>
        </w:rPr>
      </w:pPr>
      <w:bookmarkStart w:id="348" w:name="_Toc416254200"/>
      <w:bookmarkStart w:id="349" w:name="_Toc6109359"/>
      <w:bookmarkStart w:id="350" w:name="_Toc6028486"/>
      <w:bookmarkStart w:id="351" w:name="_Toc6028396"/>
      <w:bookmarkStart w:id="352" w:name="_Toc6026318"/>
      <w:bookmarkStart w:id="353" w:name="_Toc507821006"/>
      <w:bookmarkStart w:id="354" w:name="_Toc498228822"/>
      <w:bookmarkStart w:id="355" w:name="_Toc498227723"/>
      <w:bookmarkStart w:id="356" w:name="_Toc498227220"/>
      <w:r>
        <w:rPr>
          <w:rFonts w:hint="eastAsia" w:ascii="等线" w:hAnsi="等线" w:eastAsia="等线"/>
          <w:b w:val="0"/>
          <w:sz w:val="22"/>
          <w:szCs w:val="22"/>
        </w:rPr>
        <w:t>备件供应</w:t>
      </w:r>
      <w:bookmarkEnd w:id="348"/>
      <w:bookmarkEnd w:id="349"/>
      <w:bookmarkEnd w:id="350"/>
      <w:bookmarkEnd w:id="351"/>
      <w:bookmarkEnd w:id="352"/>
      <w:bookmarkEnd w:id="353"/>
      <w:bookmarkEnd w:id="354"/>
      <w:bookmarkEnd w:id="355"/>
      <w:bookmarkEnd w:id="356"/>
    </w:p>
    <w:p>
      <w:pPr>
        <w:pStyle w:val="100"/>
        <w:keepNext w:val="0"/>
        <w:keepLines w:val="0"/>
        <w:numPr>
          <w:ilvl w:val="0"/>
          <w:numId w:val="31"/>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投标人应承诺在设备寿命期内以优惠价格供应备件。</w:t>
      </w:r>
    </w:p>
    <w:p>
      <w:pPr>
        <w:pStyle w:val="100"/>
        <w:keepNext w:val="0"/>
        <w:keepLines w:val="0"/>
        <w:numPr>
          <w:ilvl w:val="0"/>
          <w:numId w:val="31"/>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必须在投标时，提供系统设备在保修期满后，足够2年使用的备件清单。清单中必须说明备件名称、规格、型号、数量、价格、保存环境要求，外购件还必须注明制造厂及其型号。备件单列清单，单独报价，费用不计入总报价，招标人有权选购。</w:t>
      </w:r>
    </w:p>
    <w:p>
      <w:pPr>
        <w:pStyle w:val="100"/>
        <w:keepNext w:val="0"/>
        <w:keepLines w:val="0"/>
        <w:numPr>
          <w:ilvl w:val="0"/>
          <w:numId w:val="31"/>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各种备件必须单独包装、单独装箱，包装箱外面必须写明“备件”字样，并说明属于何种设备的备件，箱内必须有所装备件的详细清单。备件发送至招标人指定的地方。投标人会同招标人一起开箱、验收、交货。若有损坏、短缺、误发货，投标人必须负责更换、补齐，所发生的一切费用必须由投标人负责。</w:t>
      </w:r>
    </w:p>
    <w:p>
      <w:pPr>
        <w:pStyle w:val="100"/>
        <w:keepNext w:val="0"/>
        <w:keepLines w:val="0"/>
        <w:numPr>
          <w:ilvl w:val="0"/>
          <w:numId w:val="31"/>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需提供备件更换安装的图示及说明共四套，必须详细说明更换、拆卸及安装的工序，操作要求及专用工具。</w:t>
      </w:r>
    </w:p>
    <w:p>
      <w:pPr>
        <w:pStyle w:val="100"/>
        <w:keepNext w:val="0"/>
        <w:keepLines w:val="0"/>
        <w:numPr>
          <w:ilvl w:val="0"/>
          <w:numId w:val="31"/>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投标人须保证在设备使用寿命期(不低于10年)内，免费提供为保证设备正常运行的软件程序的加载、灌装、升级及更新。</w:t>
      </w:r>
    </w:p>
    <w:p>
      <w:pPr>
        <w:pStyle w:val="4"/>
        <w:numPr>
          <w:ilvl w:val="0"/>
          <w:numId w:val="26"/>
        </w:numPr>
        <w:snapToGrid w:val="0"/>
        <w:spacing w:line="360" w:lineRule="auto"/>
        <w:rPr>
          <w:rFonts w:ascii="等线" w:hAnsi="等线" w:eastAsia="等线"/>
          <w:sz w:val="22"/>
          <w:szCs w:val="22"/>
        </w:rPr>
      </w:pPr>
      <w:bookmarkStart w:id="357" w:name="_Toc416254201"/>
      <w:bookmarkStart w:id="358" w:name="_Toc6109360"/>
      <w:bookmarkStart w:id="359" w:name="_Toc6028487"/>
      <w:bookmarkStart w:id="360" w:name="_Toc6028397"/>
      <w:bookmarkStart w:id="361" w:name="_Toc6026319"/>
      <w:bookmarkStart w:id="362" w:name="_Toc507821007"/>
      <w:bookmarkStart w:id="363" w:name="_Toc498228823"/>
      <w:bookmarkStart w:id="364" w:name="_Toc498227724"/>
      <w:bookmarkStart w:id="365" w:name="_Toc498227221"/>
      <w:r>
        <w:rPr>
          <w:rFonts w:hint="eastAsia" w:ascii="等线" w:hAnsi="等线" w:eastAsia="等线"/>
          <w:b w:val="0"/>
          <w:sz w:val="22"/>
          <w:szCs w:val="22"/>
        </w:rPr>
        <w:t>检测、维修工具</w:t>
      </w:r>
      <w:bookmarkEnd w:id="357"/>
      <w:bookmarkEnd w:id="358"/>
      <w:bookmarkEnd w:id="359"/>
      <w:bookmarkEnd w:id="360"/>
      <w:bookmarkEnd w:id="361"/>
      <w:bookmarkEnd w:id="362"/>
      <w:bookmarkEnd w:id="363"/>
      <w:bookmarkEnd w:id="364"/>
      <w:bookmarkEnd w:id="365"/>
    </w:p>
    <w:p>
      <w:pPr>
        <w:pStyle w:val="100"/>
        <w:keepNext w:val="0"/>
        <w:keepLines w:val="0"/>
        <w:numPr>
          <w:ilvl w:val="0"/>
          <w:numId w:val="32"/>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检测、维修工具是指用于设备的安装、拆卸、调整、检测、维修等所必须的，包括设备在安装、拆卸时的各种特殊属具和附件。</w:t>
      </w:r>
    </w:p>
    <w:p>
      <w:pPr>
        <w:pStyle w:val="100"/>
        <w:keepNext w:val="0"/>
        <w:keepLines w:val="0"/>
        <w:numPr>
          <w:ilvl w:val="0"/>
          <w:numId w:val="32"/>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检测、维修工具由投标人按不同类型的设备分别列出详细清单，包括名称、规格、数量、价格、用途、制造厂等，用于安装与维修的工具要分列清单，招标人审查同意后，由投标人提供。价格单独列出，不纳入总报价中，招标人有选择的权利。</w:t>
      </w:r>
    </w:p>
    <w:p>
      <w:pPr>
        <w:pStyle w:val="100"/>
        <w:keepNext w:val="0"/>
        <w:keepLines w:val="0"/>
        <w:numPr>
          <w:ilvl w:val="0"/>
          <w:numId w:val="32"/>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投标人提供的检测、维修工具必须有使用说明书和维修手册。</w:t>
      </w:r>
    </w:p>
    <w:p>
      <w:pPr>
        <w:pStyle w:val="100"/>
        <w:keepNext w:val="0"/>
        <w:keepLines w:val="0"/>
        <w:numPr>
          <w:ilvl w:val="0"/>
          <w:numId w:val="32"/>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投标人必须在设备安装完工之前三个月，提供一套新的上述检测、维修工具给招标人。如果投标人递交的上述检测、维修工具已有损坏，投标人必须立即负责更换。</w:t>
      </w:r>
    </w:p>
    <w:p>
      <w:pPr>
        <w:pStyle w:val="4"/>
        <w:numPr>
          <w:ilvl w:val="0"/>
          <w:numId w:val="26"/>
        </w:numPr>
        <w:snapToGrid w:val="0"/>
        <w:spacing w:line="360" w:lineRule="auto"/>
        <w:ind w:left="0" w:firstLine="0"/>
        <w:rPr>
          <w:rFonts w:ascii="等线" w:hAnsi="等线" w:eastAsia="等线"/>
          <w:sz w:val="22"/>
          <w:szCs w:val="22"/>
        </w:rPr>
      </w:pPr>
      <w:bookmarkStart w:id="366" w:name="_Toc416254202"/>
      <w:bookmarkStart w:id="367" w:name="_Toc6109361"/>
      <w:bookmarkStart w:id="368" w:name="_Toc6028488"/>
      <w:bookmarkStart w:id="369" w:name="_Toc6028398"/>
      <w:bookmarkStart w:id="370" w:name="_Toc6026320"/>
      <w:bookmarkStart w:id="371" w:name="_Toc507821008"/>
      <w:bookmarkStart w:id="372" w:name="_Toc498228824"/>
      <w:bookmarkStart w:id="373" w:name="_Toc498227725"/>
      <w:bookmarkStart w:id="374" w:name="_Toc498227222"/>
      <w:bookmarkStart w:id="375" w:name="_Toc416254203"/>
      <w:bookmarkStart w:id="376" w:name="_Toc507821058"/>
      <w:bookmarkStart w:id="377" w:name="_Toc498915294"/>
      <w:bookmarkStart w:id="378" w:name="_Toc497539595"/>
      <w:bookmarkStart w:id="379" w:name="_Toc408322874"/>
      <w:r>
        <w:rPr>
          <w:rFonts w:hint="eastAsia" w:ascii="等线" w:hAnsi="等线" w:eastAsia="等线"/>
          <w:b w:val="0"/>
          <w:sz w:val="22"/>
          <w:szCs w:val="22"/>
        </w:rPr>
        <w:t>铭牌及各类标记</w:t>
      </w:r>
      <w:bookmarkEnd w:id="366"/>
      <w:bookmarkEnd w:id="367"/>
      <w:bookmarkEnd w:id="368"/>
      <w:bookmarkEnd w:id="369"/>
      <w:bookmarkEnd w:id="370"/>
      <w:bookmarkEnd w:id="371"/>
      <w:bookmarkEnd w:id="372"/>
      <w:bookmarkEnd w:id="373"/>
      <w:bookmarkEnd w:id="374"/>
    </w:p>
    <w:p>
      <w:pPr>
        <w:pStyle w:val="5"/>
        <w:snapToGrid w:val="0"/>
        <w:spacing w:before="0" w:after="0" w:line="360" w:lineRule="auto"/>
        <w:rPr>
          <w:rFonts w:ascii="等线" w:hAnsi="等线" w:eastAsia="等线"/>
          <w:sz w:val="22"/>
          <w:szCs w:val="22"/>
        </w:rPr>
      </w:pPr>
      <w:bookmarkStart w:id="380" w:name="_Toc6109362"/>
      <w:bookmarkStart w:id="381" w:name="_Toc6028489"/>
      <w:bookmarkStart w:id="382" w:name="_Toc6028399"/>
      <w:bookmarkStart w:id="383" w:name="_Toc6026321"/>
      <w:bookmarkStart w:id="384" w:name="_Toc507821009"/>
      <w:bookmarkStart w:id="385" w:name="_Toc498228825"/>
      <w:bookmarkStart w:id="386" w:name="_Toc498227223"/>
      <w:r>
        <w:rPr>
          <w:rFonts w:hint="eastAsia" w:ascii="等线" w:hAnsi="等线" w:eastAsia="等线"/>
          <w:sz w:val="22"/>
          <w:szCs w:val="22"/>
        </w:rPr>
        <w:t>7.1设备铭牌</w:t>
      </w:r>
      <w:bookmarkEnd w:id="380"/>
      <w:bookmarkEnd w:id="381"/>
      <w:bookmarkEnd w:id="382"/>
      <w:bookmarkEnd w:id="383"/>
      <w:bookmarkEnd w:id="384"/>
      <w:bookmarkEnd w:id="385"/>
      <w:bookmarkEnd w:id="386"/>
    </w:p>
    <w:p>
      <w:pPr>
        <w:pStyle w:val="32"/>
        <w:snapToGrid w:val="0"/>
        <w:spacing w:after="0" w:line="360" w:lineRule="auto"/>
        <w:ind w:left="0" w:leftChars="0" w:firstLine="440" w:firstLineChars="200"/>
        <w:rPr>
          <w:rFonts w:ascii="等线" w:hAnsi="等线" w:eastAsia="等线"/>
          <w:sz w:val="22"/>
          <w:szCs w:val="22"/>
        </w:rPr>
      </w:pPr>
      <w:r>
        <w:rPr>
          <w:rFonts w:hint="eastAsia" w:ascii="等线" w:hAnsi="等线" w:eastAsia="等线"/>
          <w:sz w:val="22"/>
          <w:szCs w:val="22"/>
        </w:rPr>
        <w:t>设备至少必须设置以下各种永久性的不易腐蚀的金属标牌</w:t>
      </w:r>
    </w:p>
    <w:p>
      <w:pPr>
        <w:pStyle w:val="100"/>
        <w:keepNext w:val="0"/>
        <w:keepLines w:val="0"/>
        <w:numPr>
          <w:ilvl w:val="0"/>
          <w:numId w:val="33"/>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设备必须在适当醒目方便察看的位置上设置铭牌，标明设备名称、型号、主要规格、编号、以及制造厂名称和制造日期等。</w:t>
      </w:r>
    </w:p>
    <w:p>
      <w:pPr>
        <w:pStyle w:val="100"/>
        <w:keepNext w:val="0"/>
        <w:keepLines w:val="0"/>
        <w:numPr>
          <w:ilvl w:val="0"/>
          <w:numId w:val="33"/>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操作控制部分，必须在适当位置放置操作按钮等的操作使用说明牌和指示牌。</w:t>
      </w:r>
    </w:p>
    <w:p>
      <w:pPr>
        <w:pStyle w:val="100"/>
        <w:keepNext w:val="0"/>
        <w:keepLines w:val="0"/>
        <w:numPr>
          <w:ilvl w:val="0"/>
          <w:numId w:val="33"/>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为了安全生产，必须在醒目的位置设置清晰标准的禁止、危险等警示标牌。</w:t>
      </w:r>
    </w:p>
    <w:p>
      <w:pPr>
        <w:pStyle w:val="100"/>
        <w:keepNext w:val="0"/>
        <w:keepLines w:val="0"/>
        <w:numPr>
          <w:ilvl w:val="0"/>
          <w:numId w:val="33"/>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在合适的位置上，设置需经常润滑的各部位润滑的说明牌。</w:t>
      </w:r>
    </w:p>
    <w:p>
      <w:pPr>
        <w:pStyle w:val="5"/>
        <w:snapToGrid w:val="0"/>
        <w:spacing w:before="0" w:after="0" w:line="360" w:lineRule="auto"/>
        <w:rPr>
          <w:rFonts w:ascii="等线" w:hAnsi="等线" w:eastAsia="等线"/>
          <w:sz w:val="22"/>
          <w:szCs w:val="22"/>
        </w:rPr>
      </w:pPr>
      <w:bookmarkStart w:id="387" w:name="_Toc6109363"/>
      <w:bookmarkStart w:id="388" w:name="_Toc6028490"/>
      <w:bookmarkStart w:id="389" w:name="_Toc6028400"/>
      <w:bookmarkStart w:id="390" w:name="_Toc6026322"/>
      <w:bookmarkStart w:id="391" w:name="_Toc507821010"/>
      <w:bookmarkStart w:id="392" w:name="_Toc498228826"/>
      <w:bookmarkStart w:id="393" w:name="_Toc498227224"/>
      <w:r>
        <w:rPr>
          <w:rFonts w:hint="eastAsia" w:ascii="等线" w:hAnsi="等线" w:eastAsia="等线"/>
          <w:sz w:val="22"/>
          <w:szCs w:val="22"/>
        </w:rPr>
        <w:t>7.2标记和标签</w:t>
      </w:r>
      <w:bookmarkEnd w:id="387"/>
      <w:bookmarkEnd w:id="388"/>
      <w:bookmarkEnd w:id="389"/>
      <w:bookmarkEnd w:id="390"/>
      <w:bookmarkEnd w:id="391"/>
      <w:bookmarkEnd w:id="392"/>
      <w:bookmarkEnd w:id="393"/>
    </w:p>
    <w:p>
      <w:pPr>
        <w:pStyle w:val="100"/>
        <w:keepNext w:val="0"/>
        <w:keepLines w:val="0"/>
        <w:numPr>
          <w:ilvl w:val="0"/>
          <w:numId w:val="34"/>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每个开关箱、控制柜中的部件都要有一个标明该部件在装置中用途、目的的标签。</w:t>
      </w:r>
    </w:p>
    <w:p>
      <w:pPr>
        <w:pStyle w:val="100"/>
        <w:keepNext w:val="0"/>
        <w:keepLines w:val="0"/>
        <w:numPr>
          <w:ilvl w:val="0"/>
          <w:numId w:val="34"/>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所有印刷线路板都必须有型号标记，电子元件柜必须标明各线路板的品名，以利辨认原理图中的线路板。</w:t>
      </w:r>
    </w:p>
    <w:p>
      <w:pPr>
        <w:pStyle w:val="100"/>
        <w:keepNext w:val="0"/>
        <w:keepLines w:val="0"/>
        <w:numPr>
          <w:ilvl w:val="0"/>
          <w:numId w:val="34"/>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所有电气设备或部件的接线端都必须清楚地打上永久标记，所有要连接在一起的标记号必须相同，标记号码印在短套管或类似套管物上，然后套进线头，不允许用纸带。</w:t>
      </w:r>
    </w:p>
    <w:p>
      <w:pPr>
        <w:pStyle w:val="100"/>
        <w:keepNext w:val="0"/>
        <w:keepLines w:val="0"/>
        <w:numPr>
          <w:ilvl w:val="0"/>
          <w:numId w:val="34"/>
        </w:numPr>
        <w:tabs>
          <w:tab w:val="left" w:pos="624"/>
          <w:tab w:val="left" w:pos="1021"/>
          <w:tab w:val="clear" w:pos="864"/>
        </w:tabs>
        <w:adjustRightInd w:val="0"/>
        <w:snapToGrid w:val="0"/>
        <w:spacing w:before="0" w:after="0"/>
        <w:ind w:left="1104" w:leftChars="100"/>
        <w:jc w:val="left"/>
        <w:textAlignment w:val="baseline"/>
        <w:outlineLvl w:val="9"/>
        <w:rPr>
          <w:rFonts w:ascii="等线" w:hAnsi="等线" w:eastAsia="等线"/>
          <w:sz w:val="22"/>
          <w:szCs w:val="22"/>
        </w:rPr>
      </w:pPr>
      <w:r>
        <w:rPr>
          <w:rFonts w:hint="eastAsia" w:ascii="等线" w:hAnsi="等线" w:eastAsia="等线"/>
          <w:sz w:val="22"/>
          <w:szCs w:val="22"/>
        </w:rPr>
        <w:t>电缆及电缆芯的两端都要有标记。</w:t>
      </w:r>
    </w:p>
    <w:p>
      <w:pPr>
        <w:pStyle w:val="5"/>
        <w:snapToGrid w:val="0"/>
        <w:spacing w:before="0" w:after="0" w:line="360" w:lineRule="auto"/>
        <w:rPr>
          <w:rFonts w:ascii="等线" w:hAnsi="等线" w:eastAsia="等线"/>
          <w:sz w:val="22"/>
          <w:szCs w:val="22"/>
        </w:rPr>
      </w:pPr>
      <w:bookmarkStart w:id="394" w:name="_Toc6109364"/>
      <w:bookmarkStart w:id="395" w:name="_Toc6028491"/>
      <w:bookmarkStart w:id="396" w:name="_Toc6028401"/>
      <w:bookmarkStart w:id="397" w:name="_Toc6026323"/>
      <w:bookmarkStart w:id="398" w:name="_Toc507821011"/>
      <w:bookmarkStart w:id="399" w:name="_Toc498228827"/>
      <w:bookmarkStart w:id="400" w:name="_Toc498227225"/>
      <w:r>
        <w:rPr>
          <w:rFonts w:hint="eastAsia" w:ascii="等线" w:hAnsi="等线" w:eastAsia="等线"/>
          <w:sz w:val="22"/>
          <w:szCs w:val="22"/>
        </w:rPr>
        <w:t>7.3铭牌文字</w:t>
      </w:r>
    </w:p>
    <w:p>
      <w:pPr>
        <w:pStyle w:val="32"/>
        <w:snapToGrid w:val="0"/>
        <w:spacing w:after="0" w:line="360" w:lineRule="auto"/>
        <w:ind w:left="0" w:leftChars="0" w:firstLine="440" w:firstLineChars="200"/>
        <w:rPr>
          <w:rFonts w:ascii="等线" w:hAnsi="等线" w:eastAsia="等线"/>
          <w:sz w:val="22"/>
          <w:szCs w:val="22"/>
        </w:rPr>
      </w:pPr>
      <w:r>
        <w:rPr>
          <w:rFonts w:hint="eastAsia" w:ascii="等线" w:hAnsi="等线" w:eastAsia="等线"/>
          <w:sz w:val="22"/>
          <w:szCs w:val="22"/>
        </w:rPr>
        <w:t>设备铭牌上除设备型号、制造厂名称、设备铭牌上的其它内容可用中文或英文书写外，各种说明牌、指示牌、标签和标记均用中文或中英文对照书写。</w:t>
      </w:r>
    </w:p>
    <w:bookmarkEnd w:id="394"/>
    <w:bookmarkEnd w:id="395"/>
    <w:bookmarkEnd w:id="396"/>
    <w:bookmarkEnd w:id="397"/>
    <w:bookmarkEnd w:id="398"/>
    <w:bookmarkEnd w:id="399"/>
    <w:bookmarkEnd w:id="400"/>
    <w:p>
      <w:pPr>
        <w:rPr>
          <w:rFonts w:ascii="Cambria" w:hAnsi="Cambria" w:eastAsia="宋体"/>
          <w:sz w:val="22"/>
        </w:rPr>
      </w:pPr>
    </w:p>
    <w:p>
      <w:pPr>
        <w:pStyle w:val="3"/>
        <w:snapToGrid w:val="0"/>
        <w:spacing w:before="0" w:after="0"/>
        <w:rPr>
          <w:rFonts w:ascii="等线" w:hAnsi="等线" w:eastAsia="等线"/>
          <w:sz w:val="32"/>
        </w:rPr>
      </w:pPr>
      <w:r>
        <w:rPr>
          <w:rFonts w:hint="eastAsia" w:ascii="等线" w:hAnsi="等线" w:eastAsia="等线"/>
          <w:sz w:val="32"/>
        </w:rPr>
        <w:t>四、设备技术规格和要求</w:t>
      </w:r>
      <w:bookmarkEnd w:id="375"/>
    </w:p>
    <w:bookmarkEnd w:id="376"/>
    <w:bookmarkEnd w:id="377"/>
    <w:bookmarkEnd w:id="378"/>
    <w:bookmarkEnd w:id="379"/>
    <w:p>
      <w:pPr>
        <w:adjustRightInd w:val="0"/>
        <w:snapToGrid w:val="0"/>
        <w:spacing w:line="440" w:lineRule="exact"/>
        <w:rPr>
          <w:rFonts w:ascii="Cambria" w:hAnsi="Cambria" w:eastAsia="宋体"/>
          <w:b/>
          <w:color w:val="000000"/>
          <w:sz w:val="22"/>
        </w:rPr>
      </w:pPr>
      <w:bookmarkStart w:id="401" w:name="_Toc384904408"/>
      <w:r>
        <w:rPr>
          <w:b/>
          <w:color w:val="000000"/>
          <w:sz w:val="22"/>
        </w:rPr>
        <w:t>1</w:t>
      </w:r>
      <w:r>
        <w:rPr>
          <w:rFonts w:hint="eastAsia"/>
          <w:b/>
          <w:color w:val="000000"/>
          <w:sz w:val="22"/>
        </w:rPr>
        <w:t>、双视角手提行李</w:t>
      </w:r>
      <w:r>
        <w:rPr>
          <w:b/>
          <w:color w:val="000000"/>
          <w:sz w:val="22"/>
        </w:rPr>
        <w:t>X</w:t>
      </w:r>
      <w:r>
        <w:rPr>
          <w:rFonts w:hint="eastAsia"/>
          <w:b/>
          <w:color w:val="000000"/>
          <w:sz w:val="22"/>
        </w:rPr>
        <w:t>射线机</w:t>
      </w:r>
      <w:bookmarkEnd w:id="401"/>
      <w:r>
        <w:rPr>
          <w:rFonts w:hint="eastAsia"/>
          <w:b/>
          <w:color w:val="000000"/>
          <w:sz w:val="22"/>
        </w:rPr>
        <w:t>，超规行李双视角X射线机</w:t>
      </w:r>
    </w:p>
    <w:p>
      <w:pPr>
        <w:adjustRightInd w:val="0"/>
        <w:snapToGrid w:val="0"/>
        <w:spacing w:line="440" w:lineRule="exact"/>
        <w:ind w:firstLine="440" w:firstLineChars="200"/>
        <w:rPr>
          <w:color w:val="000000"/>
          <w:sz w:val="22"/>
        </w:rPr>
      </w:pPr>
      <w:r>
        <w:rPr>
          <w:color w:val="000000"/>
          <w:sz w:val="22"/>
        </w:rPr>
        <w:t>1.1 X</w:t>
      </w:r>
      <w:r>
        <w:rPr>
          <w:rFonts w:hint="eastAsia"/>
          <w:color w:val="000000"/>
          <w:sz w:val="22"/>
        </w:rPr>
        <w:t>光机的技术要求</w:t>
      </w:r>
    </w:p>
    <w:p>
      <w:pPr>
        <w:adjustRightInd w:val="0"/>
        <w:snapToGrid w:val="0"/>
        <w:spacing w:line="440" w:lineRule="exact"/>
        <w:ind w:firstLine="440" w:firstLineChars="200"/>
        <w:rPr>
          <w:color w:val="000000"/>
          <w:sz w:val="22"/>
        </w:rPr>
      </w:pPr>
      <w:r>
        <w:rPr>
          <w:rFonts w:hint="eastAsia"/>
          <w:color w:val="000000"/>
          <w:sz w:val="22"/>
        </w:rPr>
        <w:t>用</w:t>
      </w:r>
      <w:r>
        <w:rPr>
          <w:color w:val="000000"/>
          <w:sz w:val="22"/>
        </w:rPr>
        <w:t xml:space="preserve">    </w:t>
      </w:r>
      <w:r>
        <w:rPr>
          <w:rFonts w:hint="eastAsia"/>
          <w:color w:val="000000"/>
          <w:sz w:val="22"/>
        </w:rPr>
        <w:t>途：旅客行李的安全检查</w:t>
      </w:r>
    </w:p>
    <w:p>
      <w:pPr>
        <w:adjustRightInd w:val="0"/>
        <w:snapToGrid w:val="0"/>
        <w:spacing w:line="440" w:lineRule="exact"/>
        <w:ind w:firstLine="440" w:firstLineChars="200"/>
        <w:rPr>
          <w:color w:val="000000"/>
          <w:sz w:val="22"/>
        </w:rPr>
      </w:pPr>
      <w:r>
        <w:rPr>
          <w:rFonts w:hint="eastAsia"/>
          <w:color w:val="000000"/>
          <w:sz w:val="22"/>
        </w:rPr>
        <w:t>使用场所：室内</w:t>
      </w:r>
    </w:p>
    <w:p>
      <w:pPr>
        <w:adjustRightInd w:val="0"/>
        <w:snapToGrid w:val="0"/>
        <w:spacing w:line="440" w:lineRule="exact"/>
        <w:ind w:firstLine="440" w:firstLineChars="200"/>
        <w:rPr>
          <w:color w:val="000000"/>
          <w:sz w:val="22"/>
        </w:rPr>
      </w:pPr>
      <w:r>
        <w:rPr>
          <w:rFonts w:hint="eastAsia"/>
          <w:color w:val="000000"/>
          <w:sz w:val="22"/>
        </w:rPr>
        <w:t>规</w:t>
      </w:r>
      <w:r>
        <w:rPr>
          <w:color w:val="000000"/>
          <w:sz w:val="22"/>
        </w:rPr>
        <w:t xml:space="preserve">    </w:t>
      </w:r>
      <w:r>
        <w:rPr>
          <w:rFonts w:hint="eastAsia"/>
          <w:color w:val="000000"/>
          <w:sz w:val="22"/>
        </w:rPr>
        <w:t>格：通道扫描尺寸≥</w:t>
      </w:r>
      <w:r>
        <w:rPr>
          <w:color w:val="000000"/>
          <w:sz w:val="22"/>
        </w:rPr>
        <w:t>650</w:t>
      </w:r>
      <w:r>
        <w:rPr>
          <w:rFonts w:ascii="µÈÏß Western" w:hAnsi="µÈÏß Western"/>
          <w:color w:val="000000"/>
          <w:sz w:val="22"/>
        </w:rPr>
        <w:t>mm×</w:t>
      </w:r>
      <w:r>
        <w:rPr>
          <w:color w:val="000000"/>
          <w:sz w:val="22"/>
        </w:rPr>
        <w:t>500mm</w:t>
      </w:r>
    </w:p>
    <w:p>
      <w:pPr>
        <w:adjustRightInd w:val="0"/>
        <w:snapToGrid w:val="0"/>
        <w:spacing w:line="440" w:lineRule="exact"/>
        <w:ind w:firstLine="440" w:firstLineChars="200"/>
        <w:rPr>
          <w:color w:val="000000"/>
          <w:sz w:val="22"/>
        </w:rPr>
      </w:pPr>
      <w:r>
        <w:rPr>
          <w:rFonts w:hint="eastAsia"/>
          <w:color w:val="000000"/>
          <w:sz w:val="22"/>
        </w:rPr>
        <w:t>传送带速度：</w:t>
      </w:r>
      <w:r>
        <w:rPr>
          <w:color w:val="000000"/>
          <w:sz w:val="22"/>
        </w:rPr>
        <w:t>0.19-0.23m/s</w:t>
      </w:r>
    </w:p>
    <w:p>
      <w:pPr>
        <w:adjustRightInd w:val="0"/>
        <w:snapToGrid w:val="0"/>
        <w:spacing w:line="440" w:lineRule="exact"/>
        <w:ind w:firstLine="440" w:firstLineChars="200"/>
        <w:rPr>
          <w:color w:val="000000"/>
          <w:sz w:val="22"/>
        </w:rPr>
      </w:pPr>
      <w:r>
        <w:rPr>
          <w:rFonts w:hint="eastAsia"/>
          <w:color w:val="000000"/>
          <w:sz w:val="22"/>
        </w:rPr>
        <w:t>传送带承重：≥</w:t>
      </w:r>
      <w:r>
        <w:rPr>
          <w:color w:val="000000"/>
          <w:sz w:val="22"/>
        </w:rPr>
        <w:t>150KG</w:t>
      </w:r>
    </w:p>
    <w:p>
      <w:pPr>
        <w:adjustRightInd w:val="0"/>
        <w:snapToGrid w:val="0"/>
        <w:spacing w:line="440" w:lineRule="exact"/>
        <w:ind w:firstLine="440" w:firstLineChars="200"/>
        <w:rPr>
          <w:color w:val="000000"/>
          <w:sz w:val="22"/>
        </w:rPr>
      </w:pPr>
      <w:r>
        <w:rPr>
          <w:color w:val="000000"/>
          <w:sz w:val="22"/>
        </w:rPr>
        <w:t>*</w:t>
      </w:r>
      <w:r>
        <w:rPr>
          <w:rFonts w:hint="eastAsia"/>
          <w:color w:val="000000"/>
          <w:sz w:val="22"/>
        </w:rPr>
        <w:t>穿透力：</w:t>
      </w:r>
      <w:r>
        <w:rPr>
          <w:color w:val="000000"/>
          <w:sz w:val="22"/>
        </w:rPr>
        <w:t xml:space="preserve">    </w:t>
      </w:r>
      <w:r>
        <w:rPr>
          <w:rFonts w:hint="eastAsia"/>
          <w:color w:val="000000"/>
          <w:sz w:val="22"/>
        </w:rPr>
        <w:t>≥</w:t>
      </w:r>
      <w:r>
        <w:rPr>
          <w:color w:val="000000"/>
          <w:sz w:val="22"/>
        </w:rPr>
        <w:t>30</w:t>
      </w:r>
      <w:r>
        <w:rPr>
          <w:rFonts w:hint="eastAsia"/>
          <w:color w:val="000000"/>
          <w:sz w:val="22"/>
        </w:rPr>
        <w:t>毫米钢板</w:t>
      </w:r>
    </w:p>
    <w:p>
      <w:pPr>
        <w:adjustRightInd w:val="0"/>
        <w:snapToGrid w:val="0"/>
        <w:spacing w:line="440" w:lineRule="exact"/>
        <w:ind w:firstLine="440" w:firstLineChars="200"/>
        <w:rPr>
          <w:color w:val="000000"/>
          <w:sz w:val="22"/>
        </w:rPr>
      </w:pPr>
      <w:r>
        <w:rPr>
          <w:color w:val="000000"/>
          <w:sz w:val="22"/>
        </w:rPr>
        <w:t>*</w:t>
      </w:r>
      <w:r>
        <w:rPr>
          <w:rFonts w:hint="eastAsia"/>
          <w:color w:val="000000"/>
          <w:sz w:val="22"/>
        </w:rPr>
        <w:t>穿透分辨力：</w:t>
      </w:r>
      <w:r>
        <w:rPr>
          <w:color w:val="000000"/>
          <w:sz w:val="22"/>
        </w:rPr>
        <w:t xml:space="preserve"> </w:t>
      </w:r>
      <w:r>
        <w:rPr>
          <w:rFonts w:hint="eastAsia"/>
          <w:color w:val="000000"/>
          <w:sz w:val="22"/>
        </w:rPr>
        <w:t>不小于</w:t>
      </w:r>
      <w:r>
        <w:rPr>
          <w:color w:val="000000"/>
          <w:sz w:val="22"/>
        </w:rPr>
        <w:t>AWG30</w:t>
      </w:r>
    </w:p>
    <w:p>
      <w:pPr>
        <w:adjustRightInd w:val="0"/>
        <w:snapToGrid w:val="0"/>
        <w:spacing w:line="440" w:lineRule="exact"/>
        <w:ind w:firstLine="440" w:firstLineChars="200"/>
        <w:rPr>
          <w:color w:val="000000"/>
          <w:sz w:val="22"/>
        </w:rPr>
      </w:pPr>
      <w:r>
        <w:rPr>
          <w:color w:val="000000"/>
          <w:sz w:val="22"/>
        </w:rPr>
        <w:t>*</w:t>
      </w:r>
      <w:r>
        <w:rPr>
          <w:rFonts w:hint="eastAsia"/>
          <w:color w:val="000000"/>
          <w:sz w:val="22"/>
        </w:rPr>
        <w:t>线分辨力：</w:t>
      </w:r>
      <w:r>
        <w:rPr>
          <w:color w:val="000000"/>
          <w:sz w:val="22"/>
        </w:rPr>
        <w:t xml:space="preserve">  </w:t>
      </w:r>
      <w:r>
        <w:rPr>
          <w:rFonts w:hint="eastAsia"/>
          <w:color w:val="000000"/>
          <w:sz w:val="22"/>
        </w:rPr>
        <w:t>不小于</w:t>
      </w:r>
      <w:r>
        <w:rPr>
          <w:color w:val="000000"/>
          <w:sz w:val="22"/>
        </w:rPr>
        <w:t>AWG38</w:t>
      </w:r>
    </w:p>
    <w:p>
      <w:pPr>
        <w:adjustRightInd w:val="0"/>
        <w:snapToGrid w:val="0"/>
        <w:spacing w:line="440" w:lineRule="exact"/>
        <w:ind w:firstLine="440" w:firstLineChars="200"/>
        <w:rPr>
          <w:color w:val="000000"/>
          <w:sz w:val="22"/>
        </w:rPr>
      </w:pPr>
      <w:r>
        <w:rPr>
          <w:color w:val="000000"/>
          <w:sz w:val="22"/>
        </w:rPr>
        <w:t>*</w:t>
      </w:r>
      <w:r>
        <w:rPr>
          <w:rFonts w:hint="eastAsia"/>
          <w:color w:val="000000"/>
          <w:sz w:val="22"/>
        </w:rPr>
        <w:t>空间分辨力</w:t>
      </w:r>
      <w:r>
        <w:rPr>
          <w:color w:val="000000"/>
          <w:sz w:val="22"/>
        </w:rPr>
        <w:t xml:space="preserve">: </w:t>
      </w:r>
      <w:r>
        <w:rPr>
          <w:rFonts w:hint="eastAsia"/>
          <w:color w:val="000000"/>
          <w:sz w:val="22"/>
        </w:rPr>
        <w:t>不大于</w:t>
      </w:r>
      <w:r>
        <w:rPr>
          <w:color w:val="000000"/>
          <w:sz w:val="22"/>
        </w:rPr>
        <w:t>1.3mm</w:t>
      </w:r>
      <w:r>
        <w:rPr>
          <w:rFonts w:hint="eastAsia"/>
          <w:color w:val="000000"/>
          <w:sz w:val="22"/>
        </w:rPr>
        <w:t>实芯镀锡铜线对</w:t>
      </w:r>
    </w:p>
    <w:p>
      <w:pPr>
        <w:adjustRightInd w:val="0"/>
        <w:snapToGrid w:val="0"/>
        <w:spacing w:line="440" w:lineRule="exact"/>
        <w:ind w:firstLine="440" w:firstLineChars="200"/>
        <w:rPr>
          <w:color w:val="000000"/>
          <w:sz w:val="22"/>
        </w:rPr>
      </w:pPr>
      <w:r>
        <w:rPr>
          <w:rFonts w:hint="eastAsia"/>
          <w:color w:val="000000"/>
          <w:sz w:val="22"/>
        </w:rPr>
        <w:t>灰度分辨要求</w:t>
      </w:r>
      <w:r>
        <w:rPr>
          <w:color w:val="000000"/>
          <w:sz w:val="22"/>
        </w:rPr>
        <w:t>:</w:t>
      </w:r>
      <w:r>
        <w:rPr>
          <w:rFonts w:hint="eastAsia"/>
          <w:color w:val="000000"/>
          <w:sz w:val="22"/>
        </w:rPr>
        <w:t>厚度为</w:t>
      </w:r>
      <w:r>
        <w:rPr>
          <w:color w:val="000000"/>
          <w:sz w:val="22"/>
        </w:rPr>
        <w:t>1mm</w:t>
      </w:r>
      <w:r>
        <w:rPr>
          <w:rFonts w:hint="eastAsia"/>
          <w:color w:val="000000"/>
          <w:sz w:val="22"/>
        </w:rPr>
        <w:t>～</w:t>
      </w:r>
      <w:r>
        <w:rPr>
          <w:color w:val="000000"/>
          <w:sz w:val="22"/>
        </w:rPr>
        <w:t>60mm,</w:t>
      </w:r>
      <w:r>
        <w:rPr>
          <w:rFonts w:hint="eastAsia"/>
          <w:color w:val="000000"/>
          <w:sz w:val="22"/>
        </w:rPr>
        <w:t>厚度差为</w:t>
      </w:r>
      <w:r>
        <w:rPr>
          <w:color w:val="000000"/>
          <w:sz w:val="22"/>
        </w:rPr>
        <w:t>1mm</w:t>
      </w:r>
      <w:r>
        <w:rPr>
          <w:rFonts w:hint="eastAsia"/>
          <w:color w:val="000000"/>
          <w:sz w:val="22"/>
        </w:rPr>
        <w:t>的铝阶梯</w:t>
      </w:r>
    </w:p>
    <w:p>
      <w:pPr>
        <w:adjustRightInd w:val="0"/>
        <w:snapToGrid w:val="0"/>
        <w:spacing w:line="440" w:lineRule="exact"/>
        <w:ind w:firstLine="440" w:firstLineChars="200"/>
        <w:rPr>
          <w:color w:val="000000"/>
          <w:sz w:val="22"/>
        </w:rPr>
      </w:pPr>
      <w:r>
        <w:rPr>
          <w:rFonts w:hint="eastAsia"/>
          <w:color w:val="000000"/>
          <w:sz w:val="22"/>
        </w:rPr>
        <w:t>有机物分辨</w:t>
      </w:r>
      <w:r>
        <w:rPr>
          <w:color w:val="000000"/>
          <w:sz w:val="22"/>
        </w:rPr>
        <w:t>:</w:t>
      </w:r>
      <w:r>
        <w:rPr>
          <w:rFonts w:hint="eastAsia"/>
          <w:color w:val="000000"/>
          <w:sz w:val="22"/>
        </w:rPr>
        <w:t>分辨厚度为</w:t>
      </w:r>
      <w:r>
        <w:rPr>
          <w:color w:val="000000"/>
          <w:sz w:val="22"/>
        </w:rPr>
        <w:t>1mm</w:t>
      </w:r>
      <w:r>
        <w:rPr>
          <w:rFonts w:hint="eastAsia"/>
          <w:color w:val="000000"/>
          <w:sz w:val="22"/>
        </w:rPr>
        <w:t>～</w:t>
      </w:r>
      <w:r>
        <w:rPr>
          <w:color w:val="000000"/>
          <w:sz w:val="22"/>
        </w:rPr>
        <w:t>120mm</w:t>
      </w:r>
      <w:r>
        <w:rPr>
          <w:rFonts w:hint="eastAsia"/>
          <w:color w:val="000000"/>
          <w:sz w:val="22"/>
        </w:rPr>
        <w:t>材料为聚甲基丙烯酸甲酯的有机玻璃</w:t>
      </w:r>
      <w:r>
        <w:rPr>
          <w:color w:val="000000"/>
          <w:sz w:val="22"/>
        </w:rPr>
        <w:t>,</w:t>
      </w:r>
      <w:r>
        <w:rPr>
          <w:rFonts w:hint="eastAsia"/>
          <w:color w:val="000000"/>
          <w:sz w:val="22"/>
        </w:rPr>
        <w:t>并赋予不同饱和度的橙色</w:t>
      </w:r>
    </w:p>
    <w:p>
      <w:pPr>
        <w:adjustRightInd w:val="0"/>
        <w:snapToGrid w:val="0"/>
        <w:spacing w:line="440" w:lineRule="exact"/>
        <w:ind w:firstLine="440" w:firstLineChars="200"/>
        <w:rPr>
          <w:color w:val="000000"/>
          <w:sz w:val="22"/>
        </w:rPr>
      </w:pPr>
      <w:r>
        <w:rPr>
          <w:rFonts w:hint="eastAsia"/>
          <w:color w:val="000000"/>
          <w:sz w:val="22"/>
        </w:rPr>
        <w:t>无机物分辨</w:t>
      </w:r>
      <w:r>
        <w:rPr>
          <w:color w:val="000000"/>
          <w:sz w:val="22"/>
        </w:rPr>
        <w:t>:</w:t>
      </w:r>
      <w:r>
        <w:rPr>
          <w:rFonts w:hint="eastAsia"/>
          <w:color w:val="000000"/>
          <w:sz w:val="22"/>
        </w:rPr>
        <w:t>分辨厚度为</w:t>
      </w:r>
      <w:r>
        <w:rPr>
          <w:color w:val="000000"/>
          <w:sz w:val="22"/>
        </w:rPr>
        <w:t>0.2mm</w:t>
      </w:r>
      <w:r>
        <w:rPr>
          <w:rFonts w:hint="eastAsia"/>
          <w:color w:val="000000"/>
          <w:sz w:val="22"/>
        </w:rPr>
        <w:t>～</w:t>
      </w:r>
      <w:r>
        <w:rPr>
          <w:color w:val="000000"/>
          <w:sz w:val="22"/>
        </w:rPr>
        <w:t>14mm</w:t>
      </w:r>
      <w:r>
        <w:rPr>
          <w:rFonts w:hint="eastAsia"/>
          <w:color w:val="000000"/>
          <w:sz w:val="22"/>
        </w:rPr>
        <w:t>的钢板</w:t>
      </w:r>
      <w:r>
        <w:rPr>
          <w:color w:val="000000"/>
          <w:sz w:val="22"/>
        </w:rPr>
        <w:t>,</w:t>
      </w:r>
      <w:r>
        <w:rPr>
          <w:rFonts w:hint="eastAsia"/>
          <w:color w:val="000000"/>
          <w:sz w:val="22"/>
        </w:rPr>
        <w:t>并赋予不同饱和度的蓝色</w:t>
      </w:r>
    </w:p>
    <w:p>
      <w:pPr>
        <w:adjustRightInd w:val="0"/>
        <w:snapToGrid w:val="0"/>
        <w:spacing w:line="440" w:lineRule="exact"/>
        <w:ind w:firstLine="440" w:firstLineChars="200"/>
        <w:rPr>
          <w:color w:val="000000"/>
          <w:sz w:val="22"/>
        </w:rPr>
      </w:pPr>
      <w:r>
        <w:rPr>
          <w:rFonts w:hint="eastAsia"/>
          <w:color w:val="000000"/>
          <w:sz w:val="22"/>
        </w:rPr>
        <w:t>混合物分辨</w:t>
      </w:r>
      <w:r>
        <w:rPr>
          <w:color w:val="000000"/>
          <w:sz w:val="22"/>
        </w:rPr>
        <w:t>:</w:t>
      </w:r>
      <w:r>
        <w:rPr>
          <w:rFonts w:hint="eastAsia"/>
          <w:color w:val="000000"/>
          <w:sz w:val="22"/>
        </w:rPr>
        <w:t>厚度为</w:t>
      </w:r>
      <w:r>
        <w:rPr>
          <w:color w:val="000000"/>
          <w:sz w:val="22"/>
        </w:rPr>
        <w:t>1mm</w:t>
      </w:r>
      <w:r>
        <w:rPr>
          <w:rFonts w:hint="eastAsia"/>
          <w:color w:val="000000"/>
          <w:sz w:val="22"/>
        </w:rPr>
        <w:t>～</w:t>
      </w:r>
      <w:r>
        <w:rPr>
          <w:color w:val="000000"/>
          <w:sz w:val="22"/>
        </w:rPr>
        <w:t>60mm</w:t>
      </w:r>
      <w:r>
        <w:rPr>
          <w:rFonts w:hint="eastAsia"/>
          <w:color w:val="000000"/>
          <w:sz w:val="22"/>
        </w:rPr>
        <w:t>的铝板</w:t>
      </w:r>
      <w:r>
        <w:rPr>
          <w:color w:val="000000"/>
          <w:sz w:val="22"/>
        </w:rPr>
        <w:t>,</w:t>
      </w:r>
      <w:r>
        <w:rPr>
          <w:rFonts w:hint="eastAsia"/>
          <w:color w:val="000000"/>
          <w:sz w:val="22"/>
        </w:rPr>
        <w:t>并赋予不同饱和度的绿色</w:t>
      </w:r>
    </w:p>
    <w:p>
      <w:pPr>
        <w:adjustRightInd w:val="0"/>
        <w:snapToGrid w:val="0"/>
        <w:spacing w:line="440" w:lineRule="exact"/>
        <w:ind w:firstLine="440" w:firstLineChars="200"/>
        <w:rPr>
          <w:color w:val="000000"/>
          <w:sz w:val="22"/>
        </w:rPr>
      </w:pPr>
      <w:r>
        <w:rPr>
          <w:rFonts w:hint="eastAsia"/>
          <w:color w:val="000000"/>
          <w:sz w:val="22"/>
        </w:rPr>
        <w:t>射线产生器冷却方式：密封式油冷</w:t>
      </w:r>
    </w:p>
    <w:p>
      <w:pPr>
        <w:adjustRightInd w:val="0"/>
        <w:snapToGrid w:val="0"/>
        <w:spacing w:line="440" w:lineRule="exact"/>
        <w:ind w:firstLine="440" w:firstLineChars="200"/>
        <w:rPr>
          <w:color w:val="000000"/>
          <w:sz w:val="22"/>
        </w:rPr>
      </w:pPr>
      <w:r>
        <w:rPr>
          <w:rFonts w:hint="eastAsia"/>
          <w:color w:val="000000"/>
          <w:sz w:val="22"/>
        </w:rPr>
        <w:t>阳极电源：</w:t>
      </w:r>
      <w:r>
        <w:rPr>
          <w:color w:val="000000"/>
          <w:sz w:val="22"/>
        </w:rPr>
        <w:t>160KV  CP</w:t>
      </w:r>
    </w:p>
    <w:p>
      <w:pPr>
        <w:adjustRightInd w:val="0"/>
        <w:snapToGrid w:val="0"/>
        <w:spacing w:line="440" w:lineRule="exact"/>
        <w:ind w:firstLine="440" w:firstLineChars="200"/>
        <w:rPr>
          <w:color w:val="000000"/>
          <w:sz w:val="22"/>
        </w:rPr>
      </w:pPr>
      <w:r>
        <w:rPr>
          <w:rFonts w:hint="eastAsia"/>
          <w:color w:val="000000"/>
          <w:sz w:val="22"/>
        </w:rPr>
        <w:t>射线方向：底部向上和侧照式射线源</w:t>
      </w:r>
    </w:p>
    <w:p>
      <w:pPr>
        <w:adjustRightInd w:val="0"/>
        <w:snapToGrid w:val="0"/>
        <w:spacing w:line="440" w:lineRule="exact"/>
        <w:ind w:firstLine="442" w:firstLineChars="200"/>
        <w:rPr>
          <w:b/>
          <w:color w:val="000000"/>
          <w:sz w:val="22"/>
          <w:u w:val="single"/>
        </w:rPr>
      </w:pPr>
      <w:r>
        <w:rPr>
          <w:b/>
          <w:color w:val="000000"/>
          <w:sz w:val="22"/>
          <w:u w:val="single"/>
        </w:rPr>
        <w:t>*</w:t>
      </w:r>
      <w:r>
        <w:rPr>
          <w:rFonts w:hint="eastAsia"/>
          <w:b/>
          <w:color w:val="000000"/>
          <w:sz w:val="22"/>
          <w:u w:val="single"/>
        </w:rPr>
        <w:t>射线源数量：</w:t>
      </w:r>
      <w:r>
        <w:rPr>
          <w:b/>
          <w:color w:val="000000"/>
          <w:sz w:val="22"/>
          <w:u w:val="single"/>
        </w:rPr>
        <w:t>2</w:t>
      </w:r>
      <w:r>
        <w:rPr>
          <w:rFonts w:hint="eastAsia"/>
          <w:b/>
          <w:color w:val="000000"/>
          <w:sz w:val="22"/>
          <w:u w:val="single"/>
        </w:rPr>
        <w:t>个</w:t>
      </w:r>
    </w:p>
    <w:p>
      <w:pPr>
        <w:adjustRightInd w:val="0"/>
        <w:snapToGrid w:val="0"/>
        <w:spacing w:line="440" w:lineRule="exact"/>
        <w:ind w:firstLine="440" w:firstLineChars="200"/>
        <w:rPr>
          <w:sz w:val="22"/>
        </w:rPr>
      </w:pPr>
      <w:r>
        <w:rPr>
          <w:rFonts w:hint="eastAsia"/>
          <w:sz w:val="22"/>
        </w:rPr>
        <w:t>电</w:t>
      </w:r>
      <w:r>
        <w:rPr>
          <w:sz w:val="22"/>
        </w:rPr>
        <w:t xml:space="preserve">    </w:t>
      </w:r>
      <w:r>
        <w:rPr>
          <w:rFonts w:hint="eastAsia"/>
          <w:sz w:val="22"/>
        </w:rPr>
        <w:t>源：</w:t>
      </w:r>
      <w:r>
        <w:rPr>
          <w:sz w:val="22"/>
        </w:rPr>
        <w:t>220V</w:t>
      </w:r>
      <w:r>
        <w:rPr>
          <w:rFonts w:hint="eastAsia"/>
          <w:sz w:val="22"/>
        </w:rPr>
        <w:t>交流电±</w:t>
      </w:r>
      <w:r>
        <w:rPr>
          <w:sz w:val="22"/>
        </w:rPr>
        <w:t>10%</w:t>
      </w:r>
      <w:r>
        <w:rPr>
          <w:rFonts w:hint="eastAsia"/>
          <w:sz w:val="22"/>
        </w:rPr>
        <w:t>　</w:t>
      </w:r>
      <w:r>
        <w:rPr>
          <w:sz w:val="22"/>
        </w:rPr>
        <w:t>50</w:t>
      </w:r>
      <w:r>
        <w:rPr>
          <w:rFonts w:hint="eastAsia"/>
          <w:sz w:val="22"/>
        </w:rPr>
        <w:t>±</w:t>
      </w:r>
      <w:r>
        <w:rPr>
          <w:sz w:val="22"/>
        </w:rPr>
        <w:t>3HZ</w:t>
      </w:r>
    </w:p>
    <w:p>
      <w:pPr>
        <w:adjustRightInd w:val="0"/>
        <w:snapToGrid w:val="0"/>
        <w:spacing w:line="440" w:lineRule="exact"/>
        <w:ind w:firstLine="440" w:firstLineChars="200"/>
        <w:rPr>
          <w:sz w:val="22"/>
        </w:rPr>
      </w:pPr>
      <w:r>
        <w:rPr>
          <w:rFonts w:hint="eastAsia"/>
          <w:sz w:val="22"/>
        </w:rPr>
        <w:t>噪</w:t>
      </w:r>
      <w:r>
        <w:rPr>
          <w:sz w:val="22"/>
        </w:rPr>
        <w:t xml:space="preserve">    </w:t>
      </w:r>
      <w:r>
        <w:rPr>
          <w:rFonts w:hint="eastAsia"/>
          <w:sz w:val="22"/>
        </w:rPr>
        <w:t>声：低于</w:t>
      </w:r>
      <w:r>
        <w:rPr>
          <w:sz w:val="22"/>
        </w:rPr>
        <w:t>65dB</w:t>
      </w:r>
    </w:p>
    <w:p>
      <w:pPr>
        <w:ind w:right="-468" w:rightChars="-195"/>
        <w:textAlignment w:val="top"/>
        <w:rPr>
          <w:sz w:val="22"/>
        </w:rPr>
      </w:pPr>
      <w:r>
        <w:rPr>
          <w:rFonts w:hint="eastAsia"/>
          <w:sz w:val="22"/>
        </w:rPr>
        <w:t>注</w:t>
      </w:r>
      <w:r>
        <w:rPr>
          <w:sz w:val="22"/>
        </w:rPr>
        <w:t>:</w:t>
      </w:r>
      <w:r>
        <w:rPr>
          <w:b/>
          <w:color w:val="000000"/>
          <w:sz w:val="22"/>
          <w:u w:val="single"/>
        </w:rPr>
        <w:t>*</w:t>
      </w:r>
      <w:r>
        <w:rPr>
          <w:rFonts w:hint="eastAsia"/>
          <w:b/>
          <w:color w:val="000000"/>
          <w:sz w:val="22"/>
          <w:u w:val="single"/>
        </w:rPr>
        <w:t>上述指标以民航局出具的鉴定报告中应用值的最低为准，须在《技术偏离表》中两个视角分别填写。</w:t>
      </w:r>
    </w:p>
    <w:p>
      <w:pPr>
        <w:adjustRightInd w:val="0"/>
        <w:snapToGrid w:val="0"/>
        <w:spacing w:line="440" w:lineRule="exact"/>
        <w:ind w:firstLine="440" w:firstLineChars="200"/>
        <w:rPr>
          <w:sz w:val="22"/>
        </w:rPr>
      </w:pPr>
      <w:r>
        <w:rPr>
          <w:sz w:val="22"/>
        </w:rPr>
        <w:t>1.2</w:t>
      </w:r>
      <w:r>
        <w:rPr>
          <w:rFonts w:hint="eastAsia"/>
          <w:sz w:val="22"/>
        </w:rPr>
        <w:t>　</w:t>
      </w:r>
      <w:r>
        <w:rPr>
          <w:sz w:val="22"/>
        </w:rPr>
        <w:t>X</w:t>
      </w:r>
      <w:r>
        <w:rPr>
          <w:rFonts w:hint="eastAsia"/>
          <w:sz w:val="22"/>
        </w:rPr>
        <w:t>射线安全检查设备功能要求</w:t>
      </w:r>
    </w:p>
    <w:p>
      <w:pPr>
        <w:adjustRightInd w:val="0"/>
        <w:snapToGrid w:val="0"/>
        <w:spacing w:line="440" w:lineRule="exact"/>
        <w:ind w:firstLine="440" w:firstLineChars="200"/>
        <w:rPr>
          <w:sz w:val="22"/>
        </w:rPr>
      </w:pPr>
      <w:r>
        <w:rPr>
          <w:sz w:val="22"/>
        </w:rPr>
        <w:t>1.2.1</w:t>
      </w:r>
      <w:r>
        <w:rPr>
          <w:rFonts w:hint="eastAsia"/>
          <w:sz w:val="22"/>
        </w:rPr>
        <w:t>图像处理：</w:t>
      </w:r>
      <w:r>
        <w:rPr>
          <w:sz w:val="22"/>
        </w:rPr>
        <w:t>24bit</w:t>
      </w:r>
      <w:r>
        <w:rPr>
          <w:rFonts w:hint="eastAsia"/>
          <w:sz w:val="22"/>
        </w:rPr>
        <w:t>实时。</w:t>
      </w:r>
    </w:p>
    <w:p>
      <w:pPr>
        <w:adjustRightInd w:val="0"/>
        <w:snapToGrid w:val="0"/>
        <w:spacing w:line="440" w:lineRule="exact"/>
        <w:ind w:firstLine="440" w:firstLineChars="200"/>
        <w:rPr>
          <w:sz w:val="22"/>
        </w:rPr>
      </w:pPr>
      <w:r>
        <w:rPr>
          <w:sz w:val="22"/>
        </w:rPr>
        <w:t>1.2.2</w:t>
      </w:r>
      <w:r>
        <w:rPr>
          <w:rFonts w:hint="eastAsia"/>
          <w:sz w:val="22"/>
        </w:rPr>
        <w:t>图象选区放大：</w:t>
      </w:r>
      <w:r>
        <w:rPr>
          <w:sz w:val="22"/>
        </w:rPr>
        <w:t>2</w:t>
      </w:r>
      <w:r>
        <w:rPr>
          <w:rFonts w:hint="eastAsia"/>
          <w:sz w:val="22"/>
        </w:rPr>
        <w:t>，</w:t>
      </w:r>
      <w:r>
        <w:rPr>
          <w:sz w:val="22"/>
        </w:rPr>
        <w:t>3</w:t>
      </w:r>
      <w:r>
        <w:rPr>
          <w:rFonts w:hint="eastAsia"/>
          <w:sz w:val="22"/>
        </w:rPr>
        <w:t>，</w:t>
      </w:r>
      <w:r>
        <w:rPr>
          <w:sz w:val="22"/>
        </w:rPr>
        <w:t>4</w:t>
      </w:r>
      <w:r>
        <w:rPr>
          <w:rFonts w:hint="eastAsia"/>
          <w:sz w:val="22"/>
        </w:rPr>
        <w:t>～</w:t>
      </w:r>
      <w:r>
        <w:rPr>
          <w:sz w:val="22"/>
        </w:rPr>
        <w:t>16</w:t>
      </w:r>
      <w:r>
        <w:rPr>
          <w:rFonts w:hint="eastAsia"/>
          <w:sz w:val="22"/>
        </w:rPr>
        <w:t>倍，任意选区放大；放大后选区可漫游。</w:t>
      </w:r>
    </w:p>
    <w:p>
      <w:pPr>
        <w:adjustRightInd w:val="0"/>
        <w:snapToGrid w:val="0"/>
        <w:spacing w:line="440" w:lineRule="exact"/>
        <w:ind w:firstLine="440" w:firstLineChars="200"/>
        <w:rPr>
          <w:sz w:val="22"/>
        </w:rPr>
      </w:pPr>
      <w:r>
        <w:rPr>
          <w:sz w:val="22"/>
        </w:rPr>
        <w:t xml:space="preserve">1.2.3 </w:t>
      </w:r>
      <w:r>
        <w:rPr>
          <w:rFonts w:hint="eastAsia"/>
          <w:sz w:val="22"/>
        </w:rPr>
        <w:t>图象处理功能：图像反转、有机物剔除、无机物剔除、黑白图像、图像超级增强、穿透增强、可变多能量、灰度扫描、边缘增强、高密度报警、炸药毒品辅助探测、图像局部穿透增强、图像存储、违禁物品插入、单机培训等。</w:t>
      </w:r>
    </w:p>
    <w:p>
      <w:pPr>
        <w:adjustRightInd w:val="0"/>
        <w:snapToGrid w:val="0"/>
        <w:spacing w:line="440" w:lineRule="exact"/>
        <w:ind w:firstLine="440" w:firstLineChars="200"/>
        <w:rPr>
          <w:sz w:val="22"/>
        </w:rPr>
      </w:pPr>
      <w:r>
        <w:rPr>
          <w:sz w:val="22"/>
        </w:rPr>
        <w:t xml:space="preserve">1.2.4 </w:t>
      </w:r>
      <w:r>
        <w:rPr>
          <w:rFonts w:hint="eastAsia"/>
          <w:sz w:val="22"/>
        </w:rPr>
        <w:t>图像最高分辨率：≥</w:t>
      </w:r>
      <w:r>
        <w:rPr>
          <w:sz w:val="22"/>
        </w:rPr>
        <w:t>1280*1024</w:t>
      </w:r>
      <w:r>
        <w:rPr>
          <w:rFonts w:hint="eastAsia"/>
          <w:sz w:val="22"/>
        </w:rPr>
        <w:t>像素。</w:t>
      </w:r>
    </w:p>
    <w:p>
      <w:pPr>
        <w:adjustRightInd w:val="0"/>
        <w:snapToGrid w:val="0"/>
        <w:spacing w:line="440" w:lineRule="exact"/>
        <w:ind w:firstLine="440" w:firstLineChars="200"/>
        <w:rPr>
          <w:sz w:val="22"/>
        </w:rPr>
      </w:pPr>
      <w:r>
        <w:rPr>
          <w:sz w:val="22"/>
        </w:rPr>
        <w:t xml:space="preserve">1.2.5 </w:t>
      </w:r>
      <w:r>
        <w:rPr>
          <w:rFonts w:hint="eastAsia"/>
          <w:sz w:val="22"/>
        </w:rPr>
        <w:t>图像灰度级：</w:t>
      </w:r>
      <w:r>
        <w:rPr>
          <w:sz w:val="22"/>
        </w:rPr>
        <w:t>16bit</w:t>
      </w:r>
      <w:r>
        <w:rPr>
          <w:rFonts w:hint="eastAsia"/>
          <w:sz w:val="22"/>
        </w:rPr>
        <w:t>。</w:t>
      </w:r>
    </w:p>
    <w:p>
      <w:pPr>
        <w:adjustRightInd w:val="0"/>
        <w:snapToGrid w:val="0"/>
        <w:spacing w:line="440" w:lineRule="exact"/>
        <w:ind w:firstLine="440" w:firstLineChars="200"/>
        <w:rPr>
          <w:sz w:val="22"/>
        </w:rPr>
      </w:pPr>
      <w:r>
        <w:rPr>
          <w:sz w:val="22"/>
        </w:rPr>
        <w:t xml:space="preserve">1.2.6 </w:t>
      </w:r>
      <w:r>
        <w:rPr>
          <w:rFonts w:hint="eastAsia"/>
          <w:sz w:val="22"/>
        </w:rPr>
        <w:t>图像回拉：</w:t>
      </w:r>
      <w:r>
        <w:rPr>
          <w:sz w:val="22"/>
        </w:rPr>
        <w:t>50</w:t>
      </w:r>
      <w:r>
        <w:rPr>
          <w:rFonts w:hint="eastAsia"/>
          <w:sz w:val="22"/>
        </w:rPr>
        <w:t>幅。</w:t>
      </w:r>
    </w:p>
    <w:p>
      <w:pPr>
        <w:adjustRightInd w:val="0"/>
        <w:snapToGrid w:val="0"/>
        <w:spacing w:line="440" w:lineRule="exact"/>
        <w:ind w:firstLine="440" w:firstLineChars="200"/>
        <w:rPr>
          <w:sz w:val="22"/>
        </w:rPr>
      </w:pPr>
      <w:r>
        <w:rPr>
          <w:sz w:val="22"/>
        </w:rPr>
        <w:t>1.2.7</w:t>
      </w:r>
      <w:r>
        <w:rPr>
          <w:rFonts w:hint="eastAsia"/>
          <w:sz w:val="22"/>
        </w:rPr>
        <w:t>设备附加功能：</w:t>
      </w:r>
    </w:p>
    <w:p>
      <w:pPr>
        <w:adjustRightInd w:val="0"/>
        <w:snapToGrid w:val="0"/>
        <w:spacing w:line="440" w:lineRule="exact"/>
        <w:ind w:firstLine="440" w:firstLineChars="200"/>
        <w:rPr>
          <w:sz w:val="22"/>
        </w:rPr>
      </w:pPr>
      <w:r>
        <w:rPr>
          <w:sz w:val="22"/>
        </w:rPr>
        <w:t>1)</w:t>
      </w:r>
      <w:r>
        <w:rPr>
          <w:rFonts w:hint="eastAsia"/>
          <w:sz w:val="22"/>
        </w:rPr>
        <w:t>日期</w:t>
      </w:r>
      <w:r>
        <w:rPr>
          <w:sz w:val="22"/>
        </w:rPr>
        <w:t>/</w:t>
      </w:r>
      <w:r>
        <w:rPr>
          <w:rFonts w:hint="eastAsia"/>
          <w:sz w:val="22"/>
        </w:rPr>
        <w:t>时间显示</w:t>
      </w:r>
    </w:p>
    <w:p>
      <w:pPr>
        <w:adjustRightInd w:val="0"/>
        <w:snapToGrid w:val="0"/>
        <w:spacing w:line="440" w:lineRule="exact"/>
        <w:ind w:firstLine="440" w:firstLineChars="200"/>
        <w:rPr>
          <w:sz w:val="22"/>
        </w:rPr>
      </w:pPr>
      <w:r>
        <w:rPr>
          <w:sz w:val="22"/>
        </w:rPr>
        <w:t>2)</w:t>
      </w:r>
      <w:r>
        <w:rPr>
          <w:rFonts w:hint="eastAsia"/>
          <w:sz w:val="22"/>
        </w:rPr>
        <w:t>行李数量计数器</w:t>
      </w:r>
    </w:p>
    <w:p>
      <w:pPr>
        <w:adjustRightInd w:val="0"/>
        <w:snapToGrid w:val="0"/>
        <w:spacing w:line="440" w:lineRule="exact"/>
        <w:ind w:firstLine="440" w:firstLineChars="200"/>
        <w:rPr>
          <w:sz w:val="22"/>
        </w:rPr>
      </w:pPr>
      <w:r>
        <w:rPr>
          <w:sz w:val="22"/>
        </w:rPr>
        <w:t>3)</w:t>
      </w:r>
      <w:r>
        <w:rPr>
          <w:rFonts w:hint="eastAsia"/>
          <w:sz w:val="22"/>
        </w:rPr>
        <w:t>操作员识别码</w:t>
      </w:r>
    </w:p>
    <w:p>
      <w:pPr>
        <w:adjustRightInd w:val="0"/>
        <w:snapToGrid w:val="0"/>
        <w:spacing w:line="440" w:lineRule="exact"/>
        <w:ind w:firstLine="440" w:firstLineChars="200"/>
        <w:rPr>
          <w:sz w:val="22"/>
        </w:rPr>
      </w:pPr>
      <w:r>
        <w:rPr>
          <w:sz w:val="22"/>
        </w:rPr>
        <w:t>4)</w:t>
      </w:r>
      <w:r>
        <w:rPr>
          <w:rFonts w:hint="eastAsia"/>
          <w:sz w:val="22"/>
        </w:rPr>
        <w:t>对先前图象可重新调阅</w:t>
      </w:r>
    </w:p>
    <w:p>
      <w:pPr>
        <w:adjustRightInd w:val="0"/>
        <w:snapToGrid w:val="0"/>
        <w:spacing w:line="440" w:lineRule="exact"/>
        <w:ind w:firstLine="440" w:firstLineChars="200"/>
        <w:rPr>
          <w:sz w:val="22"/>
        </w:rPr>
      </w:pPr>
      <w:r>
        <w:rPr>
          <w:sz w:val="22"/>
        </w:rPr>
        <w:t xml:space="preserve">1.2.8 </w:t>
      </w:r>
      <w:r>
        <w:rPr>
          <w:rFonts w:hint="eastAsia"/>
          <w:sz w:val="22"/>
        </w:rPr>
        <w:t>单机键盘按键功能可自由定义。</w:t>
      </w:r>
    </w:p>
    <w:p>
      <w:pPr>
        <w:adjustRightInd w:val="0"/>
        <w:snapToGrid w:val="0"/>
        <w:spacing w:line="440" w:lineRule="exact"/>
        <w:ind w:firstLine="440" w:firstLineChars="200"/>
        <w:rPr>
          <w:sz w:val="22"/>
        </w:rPr>
      </w:pPr>
      <w:r>
        <w:rPr>
          <w:sz w:val="22"/>
        </w:rPr>
        <w:t>1.2.9</w:t>
      </w:r>
      <w:r>
        <w:rPr>
          <w:rFonts w:hint="eastAsia"/>
          <w:sz w:val="22"/>
        </w:rPr>
        <w:t>用户管理：具备登录控制功能，对不同人员单独授权。</w:t>
      </w:r>
    </w:p>
    <w:p>
      <w:pPr>
        <w:adjustRightInd w:val="0"/>
        <w:snapToGrid w:val="0"/>
        <w:spacing w:line="440" w:lineRule="exact"/>
        <w:ind w:firstLine="440" w:firstLineChars="200"/>
        <w:rPr>
          <w:sz w:val="22"/>
        </w:rPr>
      </w:pPr>
      <w:r>
        <w:rPr>
          <w:sz w:val="22"/>
        </w:rPr>
        <w:t>1.2.10</w:t>
      </w:r>
      <w:r>
        <w:rPr>
          <w:rFonts w:hint="eastAsia"/>
          <w:sz w:val="22"/>
        </w:rPr>
        <w:t>系统监控：自动生成设备运行报告，记录登录信息。</w:t>
      </w:r>
    </w:p>
    <w:p>
      <w:pPr>
        <w:adjustRightInd w:val="0"/>
        <w:snapToGrid w:val="0"/>
        <w:spacing w:line="440" w:lineRule="exact"/>
        <w:ind w:firstLine="440" w:firstLineChars="200"/>
        <w:rPr>
          <w:sz w:val="22"/>
        </w:rPr>
      </w:pPr>
      <w:r>
        <w:rPr>
          <w:sz w:val="22"/>
        </w:rPr>
        <w:t xml:space="preserve">1.3 </w:t>
      </w:r>
      <w:r>
        <w:rPr>
          <w:rFonts w:hint="eastAsia"/>
          <w:sz w:val="22"/>
        </w:rPr>
        <w:t>对</w:t>
      </w:r>
      <w:r>
        <w:rPr>
          <w:sz w:val="22"/>
        </w:rPr>
        <w:t>X</w:t>
      </w:r>
      <w:r>
        <w:rPr>
          <w:rFonts w:hint="eastAsia"/>
          <w:sz w:val="22"/>
        </w:rPr>
        <w:t>射线安全检查设备的设备要求</w:t>
      </w:r>
    </w:p>
    <w:p>
      <w:pPr>
        <w:adjustRightInd w:val="0"/>
        <w:snapToGrid w:val="0"/>
        <w:spacing w:line="440" w:lineRule="exact"/>
        <w:ind w:firstLine="440" w:firstLineChars="200"/>
        <w:rPr>
          <w:sz w:val="22"/>
        </w:rPr>
      </w:pPr>
      <w:r>
        <w:rPr>
          <w:sz w:val="22"/>
        </w:rPr>
        <w:t>1.3.1 X</w:t>
      </w:r>
      <w:r>
        <w:rPr>
          <w:rFonts w:hint="eastAsia"/>
          <w:sz w:val="22"/>
        </w:rPr>
        <w:t>光机完成对正常的行李进行安全检查的工作。</w:t>
      </w:r>
    </w:p>
    <w:p>
      <w:pPr>
        <w:adjustRightInd w:val="0"/>
        <w:snapToGrid w:val="0"/>
        <w:spacing w:line="440" w:lineRule="exact"/>
        <w:ind w:firstLine="440" w:firstLineChars="200"/>
        <w:rPr>
          <w:sz w:val="22"/>
        </w:rPr>
      </w:pPr>
      <w:r>
        <w:rPr>
          <w:sz w:val="22"/>
        </w:rPr>
        <w:t>1.3.2  X</w:t>
      </w:r>
      <w:r>
        <w:rPr>
          <w:rFonts w:hint="eastAsia"/>
          <w:sz w:val="22"/>
        </w:rPr>
        <w:t>光机是由</w:t>
      </w:r>
      <w:r>
        <w:rPr>
          <w:sz w:val="22"/>
        </w:rPr>
        <w:t>X</w:t>
      </w:r>
      <w:r>
        <w:rPr>
          <w:rFonts w:hint="eastAsia"/>
          <w:sz w:val="22"/>
        </w:rPr>
        <w:t>射线系统、显示系统、操作员键盘或控制台等组成。</w:t>
      </w:r>
    </w:p>
    <w:p>
      <w:pPr>
        <w:adjustRightInd w:val="0"/>
        <w:snapToGrid w:val="0"/>
        <w:spacing w:line="440" w:lineRule="exact"/>
        <w:ind w:firstLine="440" w:firstLineChars="200"/>
        <w:rPr>
          <w:sz w:val="22"/>
        </w:rPr>
      </w:pPr>
      <w:r>
        <w:rPr>
          <w:sz w:val="22"/>
        </w:rPr>
        <w:t>1.3.3 X</w:t>
      </w:r>
      <w:r>
        <w:rPr>
          <w:rFonts w:hint="eastAsia"/>
          <w:sz w:val="22"/>
        </w:rPr>
        <w:t>光机单次检查剂量应不大于</w:t>
      </w:r>
      <w:r>
        <w:rPr>
          <w:sz w:val="22"/>
        </w:rPr>
        <w:t>5</w:t>
      </w:r>
      <w:r>
        <w:rPr>
          <w:rFonts w:hint="eastAsia"/>
          <w:sz w:val="22"/>
        </w:rPr>
        <w:t>μ</w:t>
      </w:r>
      <w:r>
        <w:rPr>
          <w:sz w:val="22"/>
        </w:rPr>
        <w:t>Gy/h</w:t>
      </w:r>
      <w:r>
        <w:rPr>
          <w:rFonts w:hint="eastAsia"/>
          <w:sz w:val="22"/>
        </w:rPr>
        <w:t>。</w:t>
      </w:r>
    </w:p>
    <w:p>
      <w:pPr>
        <w:adjustRightInd w:val="0"/>
        <w:snapToGrid w:val="0"/>
        <w:spacing w:line="440" w:lineRule="exact"/>
        <w:ind w:firstLine="440" w:firstLineChars="200"/>
        <w:rPr>
          <w:sz w:val="22"/>
        </w:rPr>
      </w:pPr>
      <w:r>
        <w:rPr>
          <w:sz w:val="22"/>
        </w:rPr>
        <w:t>1.3.4 X</w:t>
      </w:r>
      <w:r>
        <w:rPr>
          <w:rFonts w:hint="eastAsia"/>
          <w:sz w:val="22"/>
        </w:rPr>
        <w:t>光机标准泄漏剂量（在距设备框架外</w:t>
      </w:r>
      <w:r>
        <w:rPr>
          <w:sz w:val="22"/>
        </w:rPr>
        <w:t>5</w:t>
      </w:r>
      <w:r>
        <w:rPr>
          <w:rFonts w:hint="eastAsia"/>
          <w:sz w:val="22"/>
        </w:rPr>
        <w:t>厘米处）低于</w:t>
      </w:r>
      <w:r>
        <w:rPr>
          <w:sz w:val="22"/>
        </w:rPr>
        <w:t>3</w:t>
      </w:r>
      <w:r>
        <w:rPr>
          <w:rFonts w:hint="eastAsia"/>
          <w:sz w:val="22"/>
        </w:rPr>
        <w:t>μ</w:t>
      </w:r>
      <w:r>
        <w:rPr>
          <w:sz w:val="22"/>
        </w:rPr>
        <w:t>Gy/h</w:t>
      </w:r>
      <w:r>
        <w:rPr>
          <w:rFonts w:hint="eastAsia"/>
          <w:sz w:val="22"/>
        </w:rPr>
        <w:t>，应能满足所有</w:t>
      </w:r>
      <w:r>
        <w:rPr>
          <w:sz w:val="22"/>
        </w:rPr>
        <w:t>X</w:t>
      </w:r>
      <w:r>
        <w:rPr>
          <w:rFonts w:hint="eastAsia"/>
          <w:sz w:val="22"/>
        </w:rPr>
        <w:t>射线安全标准的要求。</w:t>
      </w:r>
    </w:p>
    <w:p>
      <w:pPr>
        <w:adjustRightInd w:val="0"/>
        <w:snapToGrid w:val="0"/>
        <w:spacing w:line="440" w:lineRule="exact"/>
        <w:ind w:firstLine="440" w:firstLineChars="200"/>
        <w:rPr>
          <w:sz w:val="22"/>
        </w:rPr>
      </w:pPr>
      <w:r>
        <w:rPr>
          <w:sz w:val="22"/>
        </w:rPr>
        <w:t>1.3.5</w:t>
      </w:r>
      <w:r>
        <w:rPr>
          <w:rFonts w:hint="eastAsia"/>
          <w:sz w:val="22"/>
        </w:rPr>
        <w:t>感光材料、食品、药品及磁带均不受影响，甚至多次照射也无妨。</w:t>
      </w:r>
    </w:p>
    <w:p>
      <w:pPr>
        <w:adjustRightInd w:val="0"/>
        <w:snapToGrid w:val="0"/>
        <w:spacing w:line="440" w:lineRule="exact"/>
        <w:ind w:firstLine="440" w:firstLineChars="200"/>
        <w:rPr>
          <w:sz w:val="22"/>
        </w:rPr>
      </w:pPr>
      <w:r>
        <w:rPr>
          <w:sz w:val="22"/>
        </w:rPr>
        <w:t>1.3.6</w:t>
      </w:r>
      <w:r>
        <w:rPr>
          <w:rFonts w:hint="eastAsia"/>
          <w:sz w:val="22"/>
        </w:rPr>
        <w:t>连锁电路接收用于</w:t>
      </w:r>
      <w:r>
        <w:rPr>
          <w:sz w:val="22"/>
        </w:rPr>
        <w:t>X</w:t>
      </w:r>
      <w:r>
        <w:rPr>
          <w:rFonts w:hint="eastAsia"/>
          <w:sz w:val="22"/>
        </w:rPr>
        <w:t>射线屏蔽的连锁开关的信号。如果任一个连锁开关断开，</w:t>
      </w:r>
      <w:r>
        <w:rPr>
          <w:sz w:val="22"/>
        </w:rPr>
        <w:t>X</w:t>
      </w:r>
      <w:r>
        <w:rPr>
          <w:rFonts w:hint="eastAsia"/>
          <w:sz w:val="22"/>
        </w:rPr>
        <w:t>射线将自动关断。</w:t>
      </w:r>
    </w:p>
    <w:p>
      <w:pPr>
        <w:adjustRightInd w:val="0"/>
        <w:snapToGrid w:val="0"/>
        <w:spacing w:line="440" w:lineRule="exact"/>
        <w:ind w:firstLine="440" w:firstLineChars="200"/>
        <w:rPr>
          <w:sz w:val="22"/>
        </w:rPr>
      </w:pPr>
      <w:r>
        <w:rPr>
          <w:sz w:val="22"/>
        </w:rPr>
        <w:t>1.3.7</w:t>
      </w:r>
      <w:r>
        <w:rPr>
          <w:rFonts w:hint="eastAsia"/>
          <w:sz w:val="22"/>
        </w:rPr>
        <w:t>工作周期：</w:t>
      </w:r>
      <w:r>
        <w:rPr>
          <w:sz w:val="22"/>
        </w:rPr>
        <w:t>100%</w:t>
      </w:r>
      <w:r>
        <w:rPr>
          <w:rFonts w:hint="eastAsia"/>
          <w:sz w:val="22"/>
        </w:rPr>
        <w:t>连续，无需预热。</w:t>
      </w:r>
    </w:p>
    <w:p>
      <w:pPr>
        <w:adjustRightInd w:val="0"/>
        <w:snapToGrid w:val="0"/>
        <w:spacing w:line="440" w:lineRule="exact"/>
        <w:ind w:firstLine="440" w:firstLineChars="200"/>
        <w:rPr>
          <w:sz w:val="22"/>
        </w:rPr>
      </w:pPr>
      <w:r>
        <w:rPr>
          <w:sz w:val="22"/>
        </w:rPr>
        <w:t>1.3.8</w:t>
      </w:r>
      <w:r>
        <w:rPr>
          <w:rFonts w:hint="eastAsia"/>
          <w:sz w:val="22"/>
        </w:rPr>
        <w:t>胶卷安全性：对</w:t>
      </w:r>
      <w:r>
        <w:rPr>
          <w:sz w:val="22"/>
        </w:rPr>
        <w:t>IS01600(33DIN)</w:t>
      </w:r>
      <w:r>
        <w:rPr>
          <w:rFonts w:hint="eastAsia"/>
          <w:sz w:val="22"/>
        </w:rPr>
        <w:t>胶卷保证安全。</w:t>
      </w:r>
    </w:p>
    <w:p>
      <w:pPr>
        <w:adjustRightInd w:val="0"/>
        <w:snapToGrid w:val="0"/>
        <w:spacing w:line="440" w:lineRule="exact"/>
        <w:ind w:firstLine="440" w:firstLineChars="200"/>
        <w:rPr>
          <w:sz w:val="22"/>
        </w:rPr>
      </w:pPr>
      <w:r>
        <w:rPr>
          <w:sz w:val="22"/>
        </w:rPr>
        <w:t>1.3.9</w:t>
      </w:r>
      <w:r>
        <w:rPr>
          <w:rFonts w:hint="eastAsia"/>
          <w:sz w:val="22"/>
        </w:rPr>
        <w:t>显示器：符合设备整体使用性能。</w:t>
      </w:r>
    </w:p>
    <w:p>
      <w:pPr>
        <w:adjustRightInd w:val="0"/>
        <w:snapToGrid w:val="0"/>
        <w:spacing w:line="440" w:lineRule="exact"/>
        <w:ind w:firstLine="440" w:firstLineChars="200"/>
        <w:rPr>
          <w:sz w:val="22"/>
        </w:rPr>
      </w:pPr>
      <w:r>
        <w:rPr>
          <w:sz w:val="22"/>
        </w:rPr>
        <w:t>1.3.10</w:t>
      </w:r>
      <w:r>
        <w:rPr>
          <w:rFonts w:hint="eastAsia"/>
          <w:sz w:val="22"/>
        </w:rPr>
        <w:t>机械结构：钢架结构及钢板外壳，设备带滚轮。</w:t>
      </w:r>
    </w:p>
    <w:p>
      <w:pPr>
        <w:adjustRightInd w:val="0"/>
        <w:snapToGrid w:val="0"/>
        <w:spacing w:line="440" w:lineRule="exact"/>
        <w:ind w:firstLine="440" w:firstLineChars="200"/>
        <w:rPr>
          <w:sz w:val="22"/>
        </w:rPr>
      </w:pPr>
      <w:r>
        <w:rPr>
          <w:sz w:val="22"/>
        </w:rPr>
        <w:t>1.3.11</w:t>
      </w:r>
      <w:r>
        <w:rPr>
          <w:rFonts w:hint="eastAsia"/>
          <w:sz w:val="22"/>
        </w:rPr>
        <w:t>单机操作键盘必须防水，等级不小于</w:t>
      </w:r>
      <w:r>
        <w:rPr>
          <w:sz w:val="22"/>
        </w:rPr>
        <w:t>IP22</w:t>
      </w:r>
      <w:r>
        <w:rPr>
          <w:rFonts w:hint="eastAsia"/>
          <w:sz w:val="22"/>
        </w:rPr>
        <w:t>。</w:t>
      </w:r>
    </w:p>
    <w:p>
      <w:pPr>
        <w:adjustRightInd w:val="0"/>
        <w:snapToGrid w:val="0"/>
        <w:spacing w:line="440" w:lineRule="exact"/>
        <w:ind w:firstLine="440" w:firstLineChars="200"/>
        <w:rPr>
          <w:sz w:val="22"/>
        </w:rPr>
      </w:pPr>
      <w:r>
        <w:rPr>
          <w:sz w:val="22"/>
        </w:rPr>
        <w:t>1.3.12</w:t>
      </w:r>
      <w:r>
        <w:rPr>
          <w:rFonts w:hint="eastAsia"/>
          <w:sz w:val="22"/>
        </w:rPr>
        <w:t>设备颜色：定合同时商定。</w:t>
      </w:r>
    </w:p>
    <w:p>
      <w:pPr>
        <w:adjustRightInd w:val="0"/>
        <w:snapToGrid w:val="0"/>
        <w:spacing w:line="440" w:lineRule="exact"/>
        <w:ind w:firstLine="440" w:firstLineChars="200"/>
        <w:rPr>
          <w:sz w:val="22"/>
        </w:rPr>
      </w:pPr>
      <w:r>
        <w:rPr>
          <w:sz w:val="22"/>
        </w:rPr>
        <w:t>1.3.13*</w:t>
      </w:r>
      <w:r>
        <w:rPr>
          <w:rFonts w:hint="eastAsia"/>
          <w:sz w:val="22"/>
        </w:rPr>
        <w:t>经单机系统设置后可直接接入现有安检分层管理系统并正常使用。</w:t>
      </w:r>
    </w:p>
    <w:p>
      <w:pPr>
        <w:adjustRightInd w:val="0"/>
        <w:snapToGrid w:val="0"/>
        <w:spacing w:line="440" w:lineRule="exact"/>
        <w:rPr>
          <w:sz w:val="22"/>
        </w:rPr>
      </w:pPr>
      <w:r>
        <w:rPr>
          <w:rFonts w:hint="eastAsia"/>
          <w:sz w:val="22"/>
        </w:rPr>
        <w:t>注：</w:t>
      </w:r>
      <w:r>
        <w:rPr>
          <w:sz w:val="22"/>
          <w:u w:val="single"/>
        </w:rPr>
        <w:t>*</w:t>
      </w:r>
      <w:r>
        <w:rPr>
          <w:rFonts w:hint="eastAsia"/>
          <w:bCs/>
          <w:sz w:val="22"/>
          <w:u w:val="single"/>
        </w:rPr>
        <w:t>设备具有中国民航使用许可证</w:t>
      </w:r>
    </w:p>
    <w:p>
      <w:bookmarkStart w:id="402" w:name="_Toc321925454"/>
    </w:p>
    <w:p>
      <w:pPr>
        <w:adjustRightInd w:val="0"/>
        <w:snapToGrid w:val="0"/>
        <w:spacing w:line="440" w:lineRule="exact"/>
        <w:rPr>
          <w:b/>
          <w:color w:val="000000"/>
          <w:sz w:val="22"/>
        </w:rPr>
      </w:pPr>
      <w:r>
        <w:rPr>
          <w:rFonts w:hint="eastAsia"/>
          <w:b/>
          <w:color w:val="000000"/>
          <w:sz w:val="22"/>
        </w:rPr>
        <w:t>2、货运双视角</w:t>
      </w:r>
      <w:r>
        <w:rPr>
          <w:b/>
          <w:color w:val="000000"/>
          <w:sz w:val="22"/>
        </w:rPr>
        <w:t>X</w:t>
      </w:r>
      <w:r>
        <w:rPr>
          <w:rFonts w:hint="eastAsia"/>
          <w:b/>
          <w:color w:val="000000"/>
          <w:sz w:val="22"/>
        </w:rPr>
        <w:t>光机</w:t>
      </w:r>
    </w:p>
    <w:p>
      <w:pPr>
        <w:adjustRightInd w:val="0"/>
        <w:snapToGrid w:val="0"/>
        <w:spacing w:line="440" w:lineRule="exact"/>
        <w:ind w:firstLine="440" w:firstLineChars="200"/>
        <w:rPr>
          <w:color w:val="000000"/>
          <w:sz w:val="22"/>
        </w:rPr>
      </w:pPr>
      <w:r>
        <w:rPr>
          <w:rFonts w:hint="eastAsia"/>
          <w:color w:val="000000"/>
          <w:sz w:val="22"/>
        </w:rPr>
        <w:t>2</w:t>
      </w:r>
      <w:r>
        <w:rPr>
          <w:color w:val="000000"/>
          <w:sz w:val="22"/>
        </w:rPr>
        <w:t>.1 X</w:t>
      </w:r>
      <w:r>
        <w:rPr>
          <w:rFonts w:hint="eastAsia"/>
          <w:color w:val="000000"/>
          <w:sz w:val="22"/>
        </w:rPr>
        <w:t>光机的技术要求</w:t>
      </w:r>
    </w:p>
    <w:p>
      <w:pPr>
        <w:adjustRightInd w:val="0"/>
        <w:snapToGrid w:val="0"/>
        <w:spacing w:line="440" w:lineRule="exact"/>
        <w:ind w:firstLine="440" w:firstLineChars="200"/>
        <w:rPr>
          <w:color w:val="000000"/>
          <w:sz w:val="22"/>
        </w:rPr>
      </w:pPr>
      <w:r>
        <w:rPr>
          <w:rFonts w:hint="eastAsia"/>
          <w:color w:val="000000"/>
          <w:sz w:val="22"/>
        </w:rPr>
        <w:t>用</w:t>
      </w:r>
      <w:r>
        <w:rPr>
          <w:color w:val="000000"/>
          <w:sz w:val="22"/>
        </w:rPr>
        <w:t xml:space="preserve">    </w:t>
      </w:r>
      <w:r>
        <w:rPr>
          <w:rFonts w:hint="eastAsia"/>
          <w:color w:val="000000"/>
          <w:sz w:val="22"/>
        </w:rPr>
        <w:t>途：航空货物的安全检查</w:t>
      </w:r>
    </w:p>
    <w:p>
      <w:pPr>
        <w:adjustRightInd w:val="0"/>
        <w:snapToGrid w:val="0"/>
        <w:spacing w:line="440" w:lineRule="exact"/>
        <w:ind w:firstLine="440" w:firstLineChars="200"/>
        <w:rPr>
          <w:color w:val="000000"/>
          <w:sz w:val="22"/>
        </w:rPr>
      </w:pPr>
      <w:r>
        <w:rPr>
          <w:rFonts w:hint="eastAsia"/>
          <w:color w:val="000000"/>
          <w:sz w:val="22"/>
        </w:rPr>
        <w:t>使用场所：室内</w:t>
      </w:r>
    </w:p>
    <w:p>
      <w:pPr>
        <w:adjustRightInd w:val="0"/>
        <w:snapToGrid w:val="0"/>
        <w:spacing w:line="440" w:lineRule="exact"/>
        <w:ind w:firstLine="440" w:firstLineChars="200"/>
        <w:rPr>
          <w:color w:val="000000"/>
          <w:sz w:val="22"/>
        </w:rPr>
      </w:pPr>
      <w:r>
        <w:rPr>
          <w:rFonts w:hint="eastAsia"/>
          <w:color w:val="000000"/>
          <w:sz w:val="22"/>
        </w:rPr>
        <w:t>规</w:t>
      </w:r>
      <w:r>
        <w:rPr>
          <w:color w:val="000000"/>
          <w:sz w:val="22"/>
        </w:rPr>
        <w:t xml:space="preserve">    </w:t>
      </w:r>
      <w:r>
        <w:rPr>
          <w:rFonts w:hint="eastAsia"/>
          <w:color w:val="000000"/>
          <w:sz w:val="22"/>
        </w:rPr>
        <w:t>格：通道扫描尺寸≥</w:t>
      </w:r>
      <w:r>
        <w:rPr>
          <w:color w:val="000000"/>
          <w:sz w:val="22"/>
        </w:rPr>
        <w:t>1000</w:t>
      </w:r>
      <w:r>
        <w:rPr>
          <w:rFonts w:ascii="µÈÏß Western" w:hAnsi="µÈÏß Western"/>
          <w:color w:val="000000"/>
          <w:sz w:val="22"/>
        </w:rPr>
        <w:t>mm×</w:t>
      </w:r>
      <w:r>
        <w:rPr>
          <w:color w:val="000000"/>
          <w:sz w:val="22"/>
        </w:rPr>
        <w:t>1000mm</w:t>
      </w:r>
    </w:p>
    <w:p>
      <w:pPr>
        <w:adjustRightInd w:val="0"/>
        <w:snapToGrid w:val="0"/>
        <w:spacing w:line="440" w:lineRule="exact"/>
        <w:ind w:firstLine="440" w:firstLineChars="200"/>
        <w:rPr>
          <w:color w:val="000000"/>
          <w:sz w:val="22"/>
        </w:rPr>
      </w:pPr>
      <w:r>
        <w:rPr>
          <w:rFonts w:hint="eastAsia"/>
          <w:color w:val="000000"/>
          <w:sz w:val="22"/>
        </w:rPr>
        <w:t>传送带速度：≥</w:t>
      </w:r>
      <w:r>
        <w:rPr>
          <w:color w:val="000000"/>
          <w:sz w:val="22"/>
        </w:rPr>
        <w:t>0.19m/s</w:t>
      </w:r>
    </w:p>
    <w:p>
      <w:pPr>
        <w:adjustRightInd w:val="0"/>
        <w:snapToGrid w:val="0"/>
        <w:spacing w:line="440" w:lineRule="exact"/>
        <w:ind w:firstLine="440" w:firstLineChars="200"/>
        <w:rPr>
          <w:color w:val="000000"/>
          <w:sz w:val="22"/>
        </w:rPr>
      </w:pPr>
      <w:r>
        <w:rPr>
          <w:rFonts w:hint="eastAsia"/>
          <w:color w:val="000000"/>
          <w:sz w:val="22"/>
        </w:rPr>
        <w:t>传送带承重：≥</w:t>
      </w:r>
      <w:r>
        <w:rPr>
          <w:color w:val="000000"/>
          <w:sz w:val="22"/>
        </w:rPr>
        <w:t>200KG</w:t>
      </w:r>
    </w:p>
    <w:p>
      <w:pPr>
        <w:adjustRightInd w:val="0"/>
        <w:snapToGrid w:val="0"/>
        <w:spacing w:line="440" w:lineRule="exact"/>
        <w:ind w:firstLine="440" w:firstLineChars="200"/>
        <w:rPr>
          <w:color w:val="000000"/>
          <w:sz w:val="22"/>
        </w:rPr>
      </w:pPr>
      <w:r>
        <w:rPr>
          <w:color w:val="000000"/>
          <w:sz w:val="22"/>
        </w:rPr>
        <w:t>*</w:t>
      </w:r>
      <w:r>
        <w:rPr>
          <w:rFonts w:hint="eastAsia"/>
          <w:color w:val="000000"/>
          <w:sz w:val="22"/>
        </w:rPr>
        <w:t>穿透力：</w:t>
      </w:r>
      <w:r>
        <w:rPr>
          <w:color w:val="000000"/>
          <w:sz w:val="22"/>
        </w:rPr>
        <w:t xml:space="preserve">    </w:t>
      </w:r>
      <w:r>
        <w:rPr>
          <w:rFonts w:hint="eastAsia"/>
          <w:color w:val="000000"/>
          <w:sz w:val="22"/>
        </w:rPr>
        <w:t>≥</w:t>
      </w:r>
      <w:r>
        <w:rPr>
          <w:color w:val="000000"/>
          <w:sz w:val="22"/>
        </w:rPr>
        <w:t>34</w:t>
      </w:r>
      <w:r>
        <w:rPr>
          <w:rFonts w:hint="eastAsia"/>
          <w:color w:val="000000"/>
          <w:sz w:val="22"/>
        </w:rPr>
        <w:t>毫米钢板</w:t>
      </w:r>
    </w:p>
    <w:p>
      <w:pPr>
        <w:adjustRightInd w:val="0"/>
        <w:snapToGrid w:val="0"/>
        <w:spacing w:line="440" w:lineRule="exact"/>
        <w:ind w:firstLine="440" w:firstLineChars="200"/>
        <w:rPr>
          <w:color w:val="000000"/>
          <w:sz w:val="22"/>
        </w:rPr>
      </w:pPr>
      <w:r>
        <w:rPr>
          <w:color w:val="000000"/>
          <w:sz w:val="22"/>
        </w:rPr>
        <w:t>*</w:t>
      </w:r>
      <w:r>
        <w:rPr>
          <w:rFonts w:hint="eastAsia"/>
          <w:color w:val="000000"/>
          <w:sz w:val="22"/>
        </w:rPr>
        <w:t>穿透分辨力：</w:t>
      </w:r>
      <w:r>
        <w:rPr>
          <w:color w:val="000000"/>
          <w:sz w:val="22"/>
        </w:rPr>
        <w:t xml:space="preserve"> </w:t>
      </w:r>
      <w:r>
        <w:rPr>
          <w:rFonts w:hint="eastAsia"/>
          <w:color w:val="000000"/>
          <w:sz w:val="22"/>
        </w:rPr>
        <w:t>≥</w:t>
      </w:r>
      <w:r>
        <w:rPr>
          <w:color w:val="000000"/>
          <w:sz w:val="22"/>
        </w:rPr>
        <w:t>AWG24</w:t>
      </w:r>
    </w:p>
    <w:p>
      <w:pPr>
        <w:adjustRightInd w:val="0"/>
        <w:snapToGrid w:val="0"/>
        <w:spacing w:line="440" w:lineRule="exact"/>
        <w:ind w:firstLine="440" w:firstLineChars="200"/>
        <w:rPr>
          <w:color w:val="000000"/>
          <w:sz w:val="22"/>
        </w:rPr>
      </w:pPr>
      <w:r>
        <w:rPr>
          <w:color w:val="000000"/>
          <w:sz w:val="22"/>
        </w:rPr>
        <w:t>*</w:t>
      </w:r>
      <w:r>
        <w:rPr>
          <w:rFonts w:hint="eastAsia"/>
          <w:color w:val="000000"/>
          <w:sz w:val="22"/>
        </w:rPr>
        <w:t>线分辨力：</w:t>
      </w:r>
      <w:r>
        <w:rPr>
          <w:color w:val="000000"/>
          <w:sz w:val="22"/>
        </w:rPr>
        <w:t xml:space="preserve">  </w:t>
      </w:r>
      <w:r>
        <w:rPr>
          <w:rFonts w:hint="eastAsia"/>
          <w:color w:val="000000"/>
          <w:sz w:val="22"/>
        </w:rPr>
        <w:t>≥</w:t>
      </w:r>
      <w:r>
        <w:rPr>
          <w:color w:val="000000"/>
          <w:sz w:val="22"/>
        </w:rPr>
        <w:t>AWG28</w:t>
      </w:r>
    </w:p>
    <w:p>
      <w:pPr>
        <w:adjustRightInd w:val="0"/>
        <w:snapToGrid w:val="0"/>
        <w:spacing w:line="440" w:lineRule="exact"/>
        <w:ind w:firstLine="440" w:firstLineChars="200"/>
        <w:rPr>
          <w:color w:val="000000"/>
          <w:sz w:val="22"/>
        </w:rPr>
      </w:pPr>
      <w:r>
        <w:rPr>
          <w:color w:val="000000"/>
          <w:sz w:val="22"/>
        </w:rPr>
        <w:t>*</w:t>
      </w:r>
      <w:r>
        <w:rPr>
          <w:rFonts w:hint="eastAsia"/>
          <w:color w:val="000000"/>
          <w:sz w:val="22"/>
        </w:rPr>
        <w:t>空间分辨力</w:t>
      </w:r>
      <w:r>
        <w:rPr>
          <w:color w:val="000000"/>
          <w:sz w:val="22"/>
        </w:rPr>
        <w:t xml:space="preserve">: </w:t>
      </w:r>
      <w:r>
        <w:rPr>
          <w:rFonts w:hint="eastAsia"/>
          <w:color w:val="000000"/>
          <w:sz w:val="22"/>
        </w:rPr>
        <w:t>不大于</w:t>
      </w:r>
      <w:r>
        <w:rPr>
          <w:color w:val="000000"/>
          <w:sz w:val="22"/>
        </w:rPr>
        <w:t>2.4mm</w:t>
      </w:r>
      <w:r>
        <w:rPr>
          <w:rFonts w:hint="eastAsia"/>
          <w:color w:val="000000"/>
          <w:sz w:val="22"/>
        </w:rPr>
        <w:t>实芯镀锡铜线对</w:t>
      </w:r>
    </w:p>
    <w:p>
      <w:pPr>
        <w:adjustRightInd w:val="0"/>
        <w:snapToGrid w:val="0"/>
        <w:spacing w:line="440" w:lineRule="exact"/>
        <w:ind w:firstLine="440" w:firstLineChars="200"/>
        <w:rPr>
          <w:color w:val="000000"/>
          <w:sz w:val="22"/>
        </w:rPr>
      </w:pPr>
      <w:r>
        <w:rPr>
          <w:rFonts w:hint="eastAsia"/>
          <w:color w:val="000000"/>
          <w:sz w:val="22"/>
        </w:rPr>
        <w:t>灰度分辨要求</w:t>
      </w:r>
      <w:r>
        <w:rPr>
          <w:color w:val="000000"/>
          <w:sz w:val="22"/>
        </w:rPr>
        <w:t>:</w:t>
      </w:r>
      <w:r>
        <w:rPr>
          <w:rFonts w:hint="eastAsia"/>
          <w:color w:val="000000"/>
          <w:sz w:val="22"/>
        </w:rPr>
        <w:t>厚度为</w:t>
      </w:r>
      <w:r>
        <w:rPr>
          <w:color w:val="000000"/>
          <w:sz w:val="22"/>
        </w:rPr>
        <w:t>1mm</w:t>
      </w:r>
      <w:r>
        <w:rPr>
          <w:rFonts w:hint="eastAsia"/>
          <w:color w:val="000000"/>
          <w:sz w:val="22"/>
        </w:rPr>
        <w:t>～</w:t>
      </w:r>
      <w:r>
        <w:rPr>
          <w:color w:val="000000"/>
          <w:sz w:val="22"/>
        </w:rPr>
        <w:t>60mm,</w:t>
      </w:r>
      <w:r>
        <w:rPr>
          <w:rFonts w:hint="eastAsia"/>
          <w:color w:val="000000"/>
          <w:sz w:val="22"/>
        </w:rPr>
        <w:t>厚度差为</w:t>
      </w:r>
      <w:r>
        <w:rPr>
          <w:color w:val="000000"/>
          <w:sz w:val="22"/>
        </w:rPr>
        <w:t>1mm</w:t>
      </w:r>
      <w:r>
        <w:rPr>
          <w:rFonts w:hint="eastAsia"/>
          <w:color w:val="000000"/>
          <w:sz w:val="22"/>
        </w:rPr>
        <w:t>的铝阶梯</w:t>
      </w:r>
    </w:p>
    <w:p>
      <w:pPr>
        <w:adjustRightInd w:val="0"/>
        <w:snapToGrid w:val="0"/>
        <w:spacing w:line="440" w:lineRule="exact"/>
        <w:ind w:firstLine="440" w:firstLineChars="200"/>
        <w:rPr>
          <w:color w:val="000000"/>
          <w:sz w:val="22"/>
        </w:rPr>
      </w:pPr>
      <w:r>
        <w:rPr>
          <w:rFonts w:hint="eastAsia"/>
          <w:color w:val="000000"/>
          <w:sz w:val="22"/>
        </w:rPr>
        <w:t>有机物分辨</w:t>
      </w:r>
      <w:r>
        <w:rPr>
          <w:color w:val="000000"/>
          <w:sz w:val="22"/>
        </w:rPr>
        <w:t>:</w:t>
      </w:r>
      <w:r>
        <w:rPr>
          <w:rFonts w:hint="eastAsia"/>
          <w:color w:val="000000"/>
          <w:sz w:val="22"/>
        </w:rPr>
        <w:t>分辨厚度为</w:t>
      </w:r>
      <w:r>
        <w:rPr>
          <w:color w:val="000000"/>
          <w:sz w:val="22"/>
        </w:rPr>
        <w:t>1mm</w:t>
      </w:r>
      <w:r>
        <w:rPr>
          <w:rFonts w:hint="eastAsia"/>
          <w:color w:val="000000"/>
          <w:sz w:val="22"/>
        </w:rPr>
        <w:t>～</w:t>
      </w:r>
      <w:r>
        <w:rPr>
          <w:color w:val="000000"/>
          <w:sz w:val="22"/>
        </w:rPr>
        <w:t>120mm</w:t>
      </w:r>
      <w:r>
        <w:rPr>
          <w:rFonts w:hint="eastAsia"/>
          <w:color w:val="000000"/>
          <w:sz w:val="22"/>
        </w:rPr>
        <w:t>材料为聚甲基丙烯酸甲酯的有机玻璃</w:t>
      </w:r>
      <w:r>
        <w:rPr>
          <w:color w:val="000000"/>
          <w:sz w:val="22"/>
        </w:rPr>
        <w:t>,</w:t>
      </w:r>
      <w:r>
        <w:rPr>
          <w:rFonts w:hint="eastAsia"/>
          <w:color w:val="000000"/>
          <w:sz w:val="22"/>
        </w:rPr>
        <w:t>并赋予不同饱和度的橙色</w:t>
      </w:r>
    </w:p>
    <w:p>
      <w:pPr>
        <w:adjustRightInd w:val="0"/>
        <w:snapToGrid w:val="0"/>
        <w:spacing w:line="440" w:lineRule="exact"/>
        <w:ind w:firstLine="440" w:firstLineChars="200"/>
        <w:rPr>
          <w:color w:val="000000"/>
          <w:sz w:val="22"/>
        </w:rPr>
      </w:pPr>
      <w:r>
        <w:rPr>
          <w:rFonts w:hint="eastAsia"/>
          <w:color w:val="000000"/>
          <w:sz w:val="22"/>
        </w:rPr>
        <w:t>无机物分辨</w:t>
      </w:r>
      <w:r>
        <w:rPr>
          <w:color w:val="000000"/>
          <w:sz w:val="22"/>
        </w:rPr>
        <w:t>:</w:t>
      </w:r>
      <w:r>
        <w:rPr>
          <w:rFonts w:hint="eastAsia"/>
          <w:color w:val="000000"/>
          <w:sz w:val="22"/>
        </w:rPr>
        <w:t>分辨厚度为</w:t>
      </w:r>
      <w:r>
        <w:rPr>
          <w:color w:val="000000"/>
          <w:sz w:val="22"/>
        </w:rPr>
        <w:t>0.2mm</w:t>
      </w:r>
      <w:r>
        <w:rPr>
          <w:rFonts w:hint="eastAsia"/>
          <w:color w:val="000000"/>
          <w:sz w:val="22"/>
        </w:rPr>
        <w:t>～</w:t>
      </w:r>
      <w:r>
        <w:rPr>
          <w:color w:val="000000"/>
          <w:sz w:val="22"/>
        </w:rPr>
        <w:t>14mm</w:t>
      </w:r>
      <w:r>
        <w:rPr>
          <w:rFonts w:hint="eastAsia"/>
          <w:color w:val="000000"/>
          <w:sz w:val="22"/>
        </w:rPr>
        <w:t>的钢板</w:t>
      </w:r>
      <w:r>
        <w:rPr>
          <w:color w:val="000000"/>
          <w:sz w:val="22"/>
        </w:rPr>
        <w:t>,</w:t>
      </w:r>
      <w:r>
        <w:rPr>
          <w:rFonts w:hint="eastAsia"/>
          <w:color w:val="000000"/>
          <w:sz w:val="22"/>
        </w:rPr>
        <w:t>并赋予不同饱和度的蓝色</w:t>
      </w:r>
    </w:p>
    <w:p>
      <w:pPr>
        <w:adjustRightInd w:val="0"/>
        <w:snapToGrid w:val="0"/>
        <w:spacing w:line="440" w:lineRule="exact"/>
        <w:ind w:firstLine="440" w:firstLineChars="200"/>
        <w:rPr>
          <w:color w:val="000000"/>
          <w:sz w:val="22"/>
        </w:rPr>
      </w:pPr>
      <w:r>
        <w:rPr>
          <w:rFonts w:hint="eastAsia"/>
          <w:color w:val="000000"/>
          <w:sz w:val="22"/>
        </w:rPr>
        <w:t>混合物分辨</w:t>
      </w:r>
      <w:r>
        <w:rPr>
          <w:color w:val="000000"/>
          <w:sz w:val="22"/>
        </w:rPr>
        <w:t>:</w:t>
      </w:r>
      <w:r>
        <w:rPr>
          <w:rFonts w:hint="eastAsia"/>
          <w:color w:val="000000"/>
          <w:sz w:val="22"/>
        </w:rPr>
        <w:t>厚度为</w:t>
      </w:r>
      <w:r>
        <w:rPr>
          <w:color w:val="000000"/>
          <w:sz w:val="22"/>
        </w:rPr>
        <w:t>1mm</w:t>
      </w:r>
      <w:r>
        <w:rPr>
          <w:rFonts w:hint="eastAsia"/>
          <w:color w:val="000000"/>
          <w:sz w:val="22"/>
        </w:rPr>
        <w:t>～</w:t>
      </w:r>
      <w:r>
        <w:rPr>
          <w:color w:val="000000"/>
          <w:sz w:val="22"/>
        </w:rPr>
        <w:t>60mm</w:t>
      </w:r>
      <w:r>
        <w:rPr>
          <w:rFonts w:hint="eastAsia"/>
          <w:color w:val="000000"/>
          <w:sz w:val="22"/>
        </w:rPr>
        <w:t>的铝板</w:t>
      </w:r>
      <w:r>
        <w:rPr>
          <w:color w:val="000000"/>
          <w:sz w:val="22"/>
        </w:rPr>
        <w:t>,</w:t>
      </w:r>
      <w:r>
        <w:rPr>
          <w:rFonts w:hint="eastAsia"/>
          <w:color w:val="000000"/>
          <w:sz w:val="22"/>
        </w:rPr>
        <w:t>并赋予不同饱和度的绿色</w:t>
      </w:r>
    </w:p>
    <w:p>
      <w:pPr>
        <w:adjustRightInd w:val="0"/>
        <w:snapToGrid w:val="0"/>
        <w:spacing w:line="440" w:lineRule="exact"/>
        <w:ind w:firstLine="440" w:firstLineChars="200"/>
        <w:rPr>
          <w:color w:val="000000"/>
          <w:sz w:val="22"/>
        </w:rPr>
      </w:pPr>
      <w:r>
        <w:rPr>
          <w:rFonts w:hint="eastAsia"/>
          <w:color w:val="000000"/>
          <w:sz w:val="22"/>
        </w:rPr>
        <w:t>射线产生器冷却方式：密封式油冷</w:t>
      </w:r>
    </w:p>
    <w:p>
      <w:pPr>
        <w:adjustRightInd w:val="0"/>
        <w:snapToGrid w:val="0"/>
        <w:spacing w:line="440" w:lineRule="exact"/>
        <w:ind w:firstLine="440" w:firstLineChars="200"/>
        <w:rPr>
          <w:color w:val="000000"/>
          <w:sz w:val="22"/>
        </w:rPr>
      </w:pPr>
      <w:r>
        <w:rPr>
          <w:rFonts w:hint="eastAsia"/>
          <w:color w:val="000000"/>
          <w:sz w:val="22"/>
        </w:rPr>
        <w:t>阳极电源：</w:t>
      </w:r>
      <w:r>
        <w:rPr>
          <w:color w:val="000000"/>
          <w:sz w:val="22"/>
        </w:rPr>
        <w:t>160KV  CP</w:t>
      </w:r>
    </w:p>
    <w:p>
      <w:pPr>
        <w:adjustRightInd w:val="0"/>
        <w:snapToGrid w:val="0"/>
        <w:spacing w:line="440" w:lineRule="exact"/>
        <w:ind w:firstLine="440" w:firstLineChars="200"/>
        <w:rPr>
          <w:color w:val="000000"/>
          <w:sz w:val="22"/>
        </w:rPr>
      </w:pPr>
      <w:r>
        <w:rPr>
          <w:rFonts w:hint="eastAsia"/>
          <w:color w:val="000000"/>
          <w:sz w:val="22"/>
        </w:rPr>
        <w:t>射线方向：顶照式和侧照式射线源</w:t>
      </w:r>
    </w:p>
    <w:p>
      <w:pPr>
        <w:adjustRightInd w:val="0"/>
        <w:snapToGrid w:val="0"/>
        <w:spacing w:line="440" w:lineRule="exact"/>
        <w:ind w:firstLine="442" w:firstLineChars="200"/>
        <w:rPr>
          <w:b/>
          <w:color w:val="000000"/>
          <w:sz w:val="22"/>
          <w:u w:val="single"/>
        </w:rPr>
      </w:pPr>
      <w:r>
        <w:rPr>
          <w:b/>
          <w:color w:val="000000"/>
          <w:sz w:val="22"/>
          <w:u w:val="single"/>
        </w:rPr>
        <w:t>*</w:t>
      </w:r>
      <w:r>
        <w:rPr>
          <w:rFonts w:hint="eastAsia"/>
          <w:b/>
          <w:color w:val="000000"/>
          <w:sz w:val="22"/>
          <w:u w:val="single"/>
        </w:rPr>
        <w:t>射线源数量：</w:t>
      </w:r>
      <w:r>
        <w:rPr>
          <w:b/>
          <w:color w:val="000000"/>
          <w:sz w:val="22"/>
          <w:u w:val="single"/>
        </w:rPr>
        <w:t>2</w:t>
      </w:r>
      <w:r>
        <w:rPr>
          <w:rFonts w:hint="eastAsia"/>
          <w:b/>
          <w:color w:val="000000"/>
          <w:sz w:val="22"/>
          <w:u w:val="single"/>
        </w:rPr>
        <w:t>个</w:t>
      </w:r>
    </w:p>
    <w:p>
      <w:pPr>
        <w:adjustRightInd w:val="0"/>
        <w:snapToGrid w:val="0"/>
        <w:spacing w:line="440" w:lineRule="exact"/>
        <w:ind w:firstLine="440" w:firstLineChars="200"/>
        <w:rPr>
          <w:sz w:val="22"/>
        </w:rPr>
      </w:pPr>
      <w:r>
        <w:rPr>
          <w:rFonts w:hint="eastAsia"/>
          <w:sz w:val="22"/>
        </w:rPr>
        <w:t>电</w:t>
      </w:r>
      <w:r>
        <w:rPr>
          <w:sz w:val="22"/>
        </w:rPr>
        <w:t xml:space="preserve">    </w:t>
      </w:r>
      <w:r>
        <w:rPr>
          <w:rFonts w:hint="eastAsia"/>
          <w:sz w:val="22"/>
        </w:rPr>
        <w:t>源：</w:t>
      </w:r>
      <w:r>
        <w:rPr>
          <w:sz w:val="22"/>
        </w:rPr>
        <w:t>220V</w:t>
      </w:r>
      <w:r>
        <w:rPr>
          <w:rFonts w:hint="eastAsia"/>
          <w:sz w:val="22"/>
        </w:rPr>
        <w:t>交流电±</w:t>
      </w:r>
      <w:r>
        <w:rPr>
          <w:sz w:val="22"/>
        </w:rPr>
        <w:t>10%</w:t>
      </w:r>
      <w:r>
        <w:rPr>
          <w:rFonts w:hint="eastAsia"/>
          <w:sz w:val="22"/>
        </w:rPr>
        <w:t>　</w:t>
      </w:r>
      <w:r>
        <w:rPr>
          <w:sz w:val="22"/>
        </w:rPr>
        <w:t>50</w:t>
      </w:r>
      <w:r>
        <w:rPr>
          <w:rFonts w:hint="eastAsia"/>
          <w:sz w:val="22"/>
        </w:rPr>
        <w:t>±</w:t>
      </w:r>
      <w:r>
        <w:rPr>
          <w:sz w:val="22"/>
        </w:rPr>
        <w:t>3HZ</w:t>
      </w:r>
    </w:p>
    <w:p>
      <w:pPr>
        <w:adjustRightInd w:val="0"/>
        <w:snapToGrid w:val="0"/>
        <w:spacing w:line="440" w:lineRule="exact"/>
        <w:ind w:firstLine="440" w:firstLineChars="200"/>
        <w:rPr>
          <w:sz w:val="22"/>
        </w:rPr>
      </w:pPr>
      <w:r>
        <w:rPr>
          <w:rFonts w:hint="eastAsia"/>
          <w:sz w:val="22"/>
        </w:rPr>
        <w:t>噪</w:t>
      </w:r>
      <w:r>
        <w:rPr>
          <w:sz w:val="22"/>
        </w:rPr>
        <w:t xml:space="preserve">    </w:t>
      </w:r>
      <w:r>
        <w:rPr>
          <w:rFonts w:hint="eastAsia"/>
          <w:sz w:val="22"/>
        </w:rPr>
        <w:t>声：低于</w:t>
      </w:r>
      <w:r>
        <w:rPr>
          <w:sz w:val="22"/>
        </w:rPr>
        <w:t>65dB</w:t>
      </w:r>
    </w:p>
    <w:p>
      <w:pPr>
        <w:ind w:right="-468" w:rightChars="-195"/>
        <w:textAlignment w:val="top"/>
        <w:rPr>
          <w:sz w:val="22"/>
        </w:rPr>
      </w:pPr>
      <w:r>
        <w:rPr>
          <w:rFonts w:hint="eastAsia"/>
          <w:sz w:val="22"/>
        </w:rPr>
        <w:t>注</w:t>
      </w:r>
      <w:r>
        <w:rPr>
          <w:sz w:val="22"/>
        </w:rPr>
        <w:t>:</w:t>
      </w:r>
      <w:r>
        <w:rPr>
          <w:b/>
          <w:color w:val="000000"/>
          <w:sz w:val="22"/>
          <w:u w:val="single"/>
        </w:rPr>
        <w:t>*</w:t>
      </w:r>
      <w:r>
        <w:rPr>
          <w:rFonts w:hint="eastAsia"/>
          <w:b/>
          <w:color w:val="000000"/>
          <w:sz w:val="22"/>
          <w:u w:val="single"/>
        </w:rPr>
        <w:t>上述指标以民航局出具的鉴定报告中应用值的最低为准，须在《技术偏离表》中两个视角分别填写。</w:t>
      </w:r>
    </w:p>
    <w:p>
      <w:pPr>
        <w:adjustRightInd w:val="0"/>
        <w:snapToGrid w:val="0"/>
        <w:spacing w:line="440" w:lineRule="exact"/>
        <w:ind w:firstLine="440" w:firstLineChars="200"/>
        <w:rPr>
          <w:sz w:val="22"/>
        </w:rPr>
      </w:pPr>
      <w:r>
        <w:rPr>
          <w:rFonts w:hint="eastAsia"/>
          <w:sz w:val="22"/>
        </w:rPr>
        <w:t>2</w:t>
      </w:r>
      <w:r>
        <w:rPr>
          <w:sz w:val="22"/>
        </w:rPr>
        <w:t>.2</w:t>
      </w:r>
      <w:r>
        <w:rPr>
          <w:rFonts w:hint="eastAsia"/>
          <w:sz w:val="22"/>
        </w:rPr>
        <w:t>　</w:t>
      </w:r>
      <w:r>
        <w:rPr>
          <w:sz w:val="22"/>
        </w:rPr>
        <w:t>X</w:t>
      </w:r>
      <w:r>
        <w:rPr>
          <w:rFonts w:hint="eastAsia"/>
          <w:sz w:val="22"/>
        </w:rPr>
        <w:t>射线安全检查设备功能要求</w:t>
      </w:r>
    </w:p>
    <w:p>
      <w:pPr>
        <w:adjustRightInd w:val="0"/>
        <w:snapToGrid w:val="0"/>
        <w:spacing w:line="440" w:lineRule="exact"/>
        <w:ind w:firstLine="440" w:firstLineChars="200"/>
        <w:rPr>
          <w:sz w:val="22"/>
        </w:rPr>
      </w:pPr>
      <w:r>
        <w:rPr>
          <w:rFonts w:hint="eastAsia"/>
          <w:sz w:val="22"/>
        </w:rPr>
        <w:t>2</w:t>
      </w:r>
      <w:r>
        <w:rPr>
          <w:sz w:val="22"/>
        </w:rPr>
        <w:t>.2.1</w:t>
      </w:r>
      <w:r>
        <w:rPr>
          <w:rFonts w:hint="eastAsia"/>
          <w:sz w:val="22"/>
        </w:rPr>
        <w:t>图像处理：</w:t>
      </w:r>
      <w:r>
        <w:rPr>
          <w:sz w:val="22"/>
        </w:rPr>
        <w:t>24bit</w:t>
      </w:r>
      <w:r>
        <w:rPr>
          <w:rFonts w:hint="eastAsia"/>
          <w:sz w:val="22"/>
        </w:rPr>
        <w:t>实时。</w:t>
      </w:r>
    </w:p>
    <w:p>
      <w:pPr>
        <w:adjustRightInd w:val="0"/>
        <w:snapToGrid w:val="0"/>
        <w:spacing w:line="440" w:lineRule="exact"/>
        <w:ind w:firstLine="440" w:firstLineChars="200"/>
        <w:rPr>
          <w:sz w:val="22"/>
        </w:rPr>
      </w:pPr>
      <w:r>
        <w:rPr>
          <w:rFonts w:hint="eastAsia"/>
          <w:sz w:val="22"/>
        </w:rPr>
        <w:t>2</w:t>
      </w:r>
      <w:r>
        <w:rPr>
          <w:sz w:val="22"/>
        </w:rPr>
        <w:t>.2.2</w:t>
      </w:r>
      <w:r>
        <w:rPr>
          <w:rFonts w:hint="eastAsia"/>
          <w:sz w:val="22"/>
        </w:rPr>
        <w:t>图象选区放大：</w:t>
      </w:r>
      <w:r>
        <w:rPr>
          <w:sz w:val="22"/>
        </w:rPr>
        <w:t>2</w:t>
      </w:r>
      <w:r>
        <w:rPr>
          <w:rFonts w:hint="eastAsia"/>
          <w:sz w:val="22"/>
        </w:rPr>
        <w:t>，</w:t>
      </w:r>
      <w:r>
        <w:rPr>
          <w:sz w:val="22"/>
        </w:rPr>
        <w:t>3</w:t>
      </w:r>
      <w:r>
        <w:rPr>
          <w:rFonts w:hint="eastAsia"/>
          <w:sz w:val="22"/>
        </w:rPr>
        <w:t>，</w:t>
      </w:r>
      <w:r>
        <w:rPr>
          <w:sz w:val="22"/>
        </w:rPr>
        <w:t>4</w:t>
      </w:r>
      <w:r>
        <w:rPr>
          <w:rFonts w:hint="eastAsia"/>
          <w:sz w:val="22"/>
        </w:rPr>
        <w:t>～</w:t>
      </w:r>
      <w:r>
        <w:rPr>
          <w:sz w:val="22"/>
        </w:rPr>
        <w:t>16</w:t>
      </w:r>
      <w:r>
        <w:rPr>
          <w:rFonts w:hint="eastAsia"/>
          <w:sz w:val="22"/>
        </w:rPr>
        <w:t>倍，任意选区放大；放大后选区可漫游。</w:t>
      </w:r>
    </w:p>
    <w:p>
      <w:pPr>
        <w:adjustRightInd w:val="0"/>
        <w:snapToGrid w:val="0"/>
        <w:spacing w:line="440" w:lineRule="exact"/>
        <w:ind w:firstLine="440" w:firstLineChars="200"/>
        <w:rPr>
          <w:sz w:val="22"/>
        </w:rPr>
      </w:pPr>
      <w:r>
        <w:rPr>
          <w:rFonts w:hint="eastAsia"/>
          <w:sz w:val="22"/>
        </w:rPr>
        <w:t>2</w:t>
      </w:r>
      <w:r>
        <w:rPr>
          <w:sz w:val="22"/>
        </w:rPr>
        <w:t xml:space="preserve">.2.3 </w:t>
      </w:r>
      <w:r>
        <w:rPr>
          <w:rFonts w:hint="eastAsia"/>
          <w:sz w:val="22"/>
        </w:rPr>
        <w:t>图象处理功能：图像反转、有机物剔除、无机物剔除、黑白图像、图像超级增强、穿透增强、可变多能量、灰度扫描、边缘增强、高密度报警、炸药毒品辅助探测、图像局部穿透增强、图像存储、违禁物品插入、单机培训等。</w:t>
      </w:r>
    </w:p>
    <w:p>
      <w:pPr>
        <w:adjustRightInd w:val="0"/>
        <w:snapToGrid w:val="0"/>
        <w:spacing w:line="440" w:lineRule="exact"/>
        <w:ind w:firstLine="440" w:firstLineChars="200"/>
        <w:rPr>
          <w:sz w:val="22"/>
        </w:rPr>
      </w:pPr>
      <w:r>
        <w:rPr>
          <w:rFonts w:hint="eastAsia"/>
          <w:sz w:val="22"/>
        </w:rPr>
        <w:t>2</w:t>
      </w:r>
      <w:r>
        <w:rPr>
          <w:sz w:val="22"/>
        </w:rPr>
        <w:t xml:space="preserve">.2.4 </w:t>
      </w:r>
      <w:r>
        <w:rPr>
          <w:rFonts w:hint="eastAsia"/>
          <w:sz w:val="22"/>
        </w:rPr>
        <w:t>图像最高分辨率：≥</w:t>
      </w:r>
      <w:r>
        <w:rPr>
          <w:sz w:val="22"/>
        </w:rPr>
        <w:t>1280*1024</w:t>
      </w:r>
      <w:r>
        <w:rPr>
          <w:rFonts w:hint="eastAsia"/>
          <w:sz w:val="22"/>
        </w:rPr>
        <w:t>像素。</w:t>
      </w:r>
    </w:p>
    <w:p>
      <w:pPr>
        <w:adjustRightInd w:val="0"/>
        <w:snapToGrid w:val="0"/>
        <w:spacing w:line="440" w:lineRule="exact"/>
        <w:ind w:firstLine="440" w:firstLineChars="200"/>
        <w:rPr>
          <w:sz w:val="22"/>
        </w:rPr>
      </w:pPr>
      <w:r>
        <w:rPr>
          <w:rFonts w:hint="eastAsia"/>
          <w:sz w:val="22"/>
        </w:rPr>
        <w:t>2</w:t>
      </w:r>
      <w:r>
        <w:rPr>
          <w:sz w:val="22"/>
        </w:rPr>
        <w:t xml:space="preserve">.2.5 </w:t>
      </w:r>
      <w:r>
        <w:rPr>
          <w:rFonts w:hint="eastAsia"/>
          <w:sz w:val="22"/>
        </w:rPr>
        <w:t>图像灰度级：</w:t>
      </w:r>
      <w:r>
        <w:rPr>
          <w:sz w:val="22"/>
        </w:rPr>
        <w:t>16bit</w:t>
      </w:r>
      <w:r>
        <w:rPr>
          <w:rFonts w:hint="eastAsia"/>
          <w:sz w:val="22"/>
        </w:rPr>
        <w:t>。</w:t>
      </w:r>
    </w:p>
    <w:p>
      <w:pPr>
        <w:adjustRightInd w:val="0"/>
        <w:snapToGrid w:val="0"/>
        <w:spacing w:line="440" w:lineRule="exact"/>
        <w:ind w:firstLine="440" w:firstLineChars="200"/>
        <w:rPr>
          <w:sz w:val="22"/>
        </w:rPr>
      </w:pPr>
      <w:r>
        <w:rPr>
          <w:rFonts w:hint="eastAsia"/>
          <w:sz w:val="22"/>
        </w:rPr>
        <w:t>2</w:t>
      </w:r>
      <w:r>
        <w:rPr>
          <w:sz w:val="22"/>
        </w:rPr>
        <w:t xml:space="preserve">.2.6 </w:t>
      </w:r>
      <w:r>
        <w:rPr>
          <w:rFonts w:hint="eastAsia"/>
          <w:sz w:val="22"/>
        </w:rPr>
        <w:t>图像回拉：</w:t>
      </w:r>
      <w:r>
        <w:rPr>
          <w:sz w:val="22"/>
        </w:rPr>
        <w:t>50</w:t>
      </w:r>
      <w:r>
        <w:rPr>
          <w:rFonts w:hint="eastAsia"/>
          <w:sz w:val="22"/>
        </w:rPr>
        <w:t>幅。</w:t>
      </w:r>
    </w:p>
    <w:p>
      <w:pPr>
        <w:adjustRightInd w:val="0"/>
        <w:snapToGrid w:val="0"/>
        <w:spacing w:line="440" w:lineRule="exact"/>
        <w:ind w:firstLine="440" w:firstLineChars="200"/>
        <w:rPr>
          <w:sz w:val="22"/>
        </w:rPr>
      </w:pPr>
      <w:r>
        <w:rPr>
          <w:rFonts w:hint="eastAsia"/>
          <w:sz w:val="22"/>
        </w:rPr>
        <w:t>2</w:t>
      </w:r>
      <w:r>
        <w:rPr>
          <w:sz w:val="22"/>
        </w:rPr>
        <w:t>.2.7</w:t>
      </w:r>
      <w:r>
        <w:rPr>
          <w:rFonts w:hint="eastAsia"/>
          <w:sz w:val="22"/>
        </w:rPr>
        <w:t>设备附加功能：</w:t>
      </w:r>
    </w:p>
    <w:p>
      <w:pPr>
        <w:adjustRightInd w:val="0"/>
        <w:snapToGrid w:val="0"/>
        <w:spacing w:line="440" w:lineRule="exact"/>
        <w:ind w:firstLine="440" w:firstLineChars="200"/>
        <w:rPr>
          <w:sz w:val="22"/>
        </w:rPr>
      </w:pPr>
      <w:r>
        <w:rPr>
          <w:sz w:val="22"/>
        </w:rPr>
        <w:t>1)</w:t>
      </w:r>
      <w:r>
        <w:rPr>
          <w:rFonts w:hint="eastAsia"/>
          <w:sz w:val="22"/>
        </w:rPr>
        <w:t>日期</w:t>
      </w:r>
      <w:r>
        <w:rPr>
          <w:sz w:val="22"/>
        </w:rPr>
        <w:t>/</w:t>
      </w:r>
      <w:r>
        <w:rPr>
          <w:rFonts w:hint="eastAsia"/>
          <w:sz w:val="22"/>
        </w:rPr>
        <w:t>时间显示</w:t>
      </w:r>
    </w:p>
    <w:p>
      <w:pPr>
        <w:adjustRightInd w:val="0"/>
        <w:snapToGrid w:val="0"/>
        <w:spacing w:line="440" w:lineRule="exact"/>
        <w:ind w:firstLine="440" w:firstLineChars="200"/>
        <w:rPr>
          <w:sz w:val="22"/>
        </w:rPr>
      </w:pPr>
      <w:r>
        <w:rPr>
          <w:sz w:val="22"/>
        </w:rPr>
        <w:t>2)</w:t>
      </w:r>
      <w:r>
        <w:rPr>
          <w:rFonts w:hint="eastAsia"/>
          <w:sz w:val="22"/>
        </w:rPr>
        <w:t>行李数量计数器</w:t>
      </w:r>
    </w:p>
    <w:p>
      <w:pPr>
        <w:adjustRightInd w:val="0"/>
        <w:snapToGrid w:val="0"/>
        <w:spacing w:line="440" w:lineRule="exact"/>
        <w:ind w:firstLine="440" w:firstLineChars="200"/>
        <w:rPr>
          <w:sz w:val="22"/>
        </w:rPr>
      </w:pPr>
      <w:r>
        <w:rPr>
          <w:sz w:val="22"/>
        </w:rPr>
        <w:t>3)</w:t>
      </w:r>
      <w:r>
        <w:rPr>
          <w:rFonts w:hint="eastAsia"/>
          <w:sz w:val="22"/>
        </w:rPr>
        <w:t>操作员识别码</w:t>
      </w:r>
    </w:p>
    <w:p>
      <w:pPr>
        <w:adjustRightInd w:val="0"/>
        <w:snapToGrid w:val="0"/>
        <w:spacing w:line="440" w:lineRule="exact"/>
        <w:ind w:firstLine="440" w:firstLineChars="200"/>
        <w:rPr>
          <w:sz w:val="22"/>
        </w:rPr>
      </w:pPr>
      <w:r>
        <w:rPr>
          <w:sz w:val="22"/>
        </w:rPr>
        <w:t>4)</w:t>
      </w:r>
      <w:r>
        <w:rPr>
          <w:rFonts w:hint="eastAsia"/>
          <w:sz w:val="22"/>
        </w:rPr>
        <w:t>对先前图象可重新调阅</w:t>
      </w:r>
    </w:p>
    <w:p>
      <w:pPr>
        <w:adjustRightInd w:val="0"/>
        <w:snapToGrid w:val="0"/>
        <w:spacing w:line="440" w:lineRule="exact"/>
        <w:ind w:firstLine="440" w:firstLineChars="200"/>
        <w:rPr>
          <w:sz w:val="22"/>
        </w:rPr>
      </w:pPr>
      <w:r>
        <w:rPr>
          <w:rFonts w:hint="eastAsia"/>
          <w:sz w:val="22"/>
        </w:rPr>
        <w:t>2</w:t>
      </w:r>
      <w:r>
        <w:rPr>
          <w:sz w:val="22"/>
        </w:rPr>
        <w:t xml:space="preserve">.2.8 </w:t>
      </w:r>
      <w:r>
        <w:rPr>
          <w:rFonts w:hint="eastAsia"/>
          <w:sz w:val="22"/>
        </w:rPr>
        <w:t>单机键盘按键功能可自由定义。</w:t>
      </w:r>
    </w:p>
    <w:p>
      <w:pPr>
        <w:adjustRightInd w:val="0"/>
        <w:snapToGrid w:val="0"/>
        <w:spacing w:line="440" w:lineRule="exact"/>
        <w:ind w:firstLine="440" w:firstLineChars="200"/>
        <w:rPr>
          <w:sz w:val="22"/>
        </w:rPr>
      </w:pPr>
      <w:r>
        <w:rPr>
          <w:rFonts w:hint="eastAsia"/>
          <w:sz w:val="22"/>
        </w:rPr>
        <w:t>2</w:t>
      </w:r>
      <w:r>
        <w:rPr>
          <w:sz w:val="22"/>
        </w:rPr>
        <w:t>.2.9</w:t>
      </w:r>
      <w:r>
        <w:rPr>
          <w:rFonts w:hint="eastAsia"/>
          <w:sz w:val="22"/>
        </w:rPr>
        <w:t>用户管理：具备登录控制功能，对不同人员单独授权。</w:t>
      </w:r>
    </w:p>
    <w:p>
      <w:pPr>
        <w:adjustRightInd w:val="0"/>
        <w:snapToGrid w:val="0"/>
        <w:spacing w:line="440" w:lineRule="exact"/>
        <w:ind w:firstLine="440" w:firstLineChars="200"/>
        <w:rPr>
          <w:sz w:val="22"/>
        </w:rPr>
      </w:pPr>
      <w:r>
        <w:rPr>
          <w:rFonts w:hint="eastAsia"/>
          <w:sz w:val="22"/>
        </w:rPr>
        <w:t>2</w:t>
      </w:r>
      <w:r>
        <w:rPr>
          <w:sz w:val="22"/>
        </w:rPr>
        <w:t>.2.10</w:t>
      </w:r>
      <w:r>
        <w:rPr>
          <w:rFonts w:hint="eastAsia"/>
          <w:sz w:val="22"/>
        </w:rPr>
        <w:t>系统监控：自动生成设备运行报告，记录登录信息。</w:t>
      </w:r>
    </w:p>
    <w:p>
      <w:pPr>
        <w:adjustRightInd w:val="0"/>
        <w:snapToGrid w:val="0"/>
        <w:spacing w:line="440" w:lineRule="exact"/>
        <w:ind w:firstLine="440" w:firstLineChars="200"/>
        <w:rPr>
          <w:sz w:val="22"/>
        </w:rPr>
      </w:pPr>
      <w:r>
        <w:rPr>
          <w:rFonts w:hint="eastAsia"/>
          <w:sz w:val="22"/>
        </w:rPr>
        <w:t>2</w:t>
      </w:r>
      <w:r>
        <w:rPr>
          <w:sz w:val="22"/>
        </w:rPr>
        <w:t xml:space="preserve">.3 </w:t>
      </w:r>
      <w:r>
        <w:rPr>
          <w:rFonts w:hint="eastAsia"/>
          <w:sz w:val="22"/>
        </w:rPr>
        <w:t>对</w:t>
      </w:r>
      <w:r>
        <w:rPr>
          <w:sz w:val="22"/>
        </w:rPr>
        <w:t>X</w:t>
      </w:r>
      <w:r>
        <w:rPr>
          <w:rFonts w:hint="eastAsia"/>
          <w:sz w:val="22"/>
        </w:rPr>
        <w:t>射线安全检查设备的设备要求</w:t>
      </w:r>
    </w:p>
    <w:p>
      <w:pPr>
        <w:adjustRightInd w:val="0"/>
        <w:snapToGrid w:val="0"/>
        <w:spacing w:line="440" w:lineRule="exact"/>
        <w:ind w:firstLine="440" w:firstLineChars="200"/>
        <w:rPr>
          <w:sz w:val="22"/>
        </w:rPr>
      </w:pPr>
      <w:r>
        <w:rPr>
          <w:rFonts w:hint="eastAsia"/>
          <w:sz w:val="22"/>
        </w:rPr>
        <w:t>2</w:t>
      </w:r>
      <w:r>
        <w:rPr>
          <w:sz w:val="22"/>
        </w:rPr>
        <w:t>.3.1 X</w:t>
      </w:r>
      <w:r>
        <w:rPr>
          <w:rFonts w:hint="eastAsia"/>
          <w:sz w:val="22"/>
        </w:rPr>
        <w:t>光机完成对正常的行李进行安全检查的工作。</w:t>
      </w:r>
    </w:p>
    <w:p>
      <w:pPr>
        <w:adjustRightInd w:val="0"/>
        <w:snapToGrid w:val="0"/>
        <w:spacing w:line="440" w:lineRule="exact"/>
        <w:ind w:firstLine="440" w:firstLineChars="200"/>
        <w:rPr>
          <w:sz w:val="22"/>
        </w:rPr>
      </w:pPr>
      <w:r>
        <w:rPr>
          <w:rFonts w:hint="eastAsia"/>
          <w:sz w:val="22"/>
        </w:rPr>
        <w:t>2</w:t>
      </w:r>
      <w:r>
        <w:rPr>
          <w:sz w:val="22"/>
        </w:rPr>
        <w:t>.3.2  X</w:t>
      </w:r>
      <w:r>
        <w:rPr>
          <w:rFonts w:hint="eastAsia"/>
          <w:sz w:val="22"/>
        </w:rPr>
        <w:t>光机是由</w:t>
      </w:r>
      <w:r>
        <w:rPr>
          <w:sz w:val="22"/>
        </w:rPr>
        <w:t>X</w:t>
      </w:r>
      <w:r>
        <w:rPr>
          <w:rFonts w:hint="eastAsia"/>
          <w:sz w:val="22"/>
        </w:rPr>
        <w:t>射线系统、显示系统、操作员键盘或控制台等组成。</w:t>
      </w:r>
    </w:p>
    <w:p>
      <w:pPr>
        <w:adjustRightInd w:val="0"/>
        <w:snapToGrid w:val="0"/>
        <w:spacing w:line="440" w:lineRule="exact"/>
        <w:ind w:firstLine="440" w:firstLineChars="200"/>
        <w:rPr>
          <w:sz w:val="22"/>
        </w:rPr>
      </w:pPr>
      <w:r>
        <w:rPr>
          <w:rFonts w:hint="eastAsia"/>
          <w:sz w:val="22"/>
        </w:rPr>
        <w:t>2</w:t>
      </w:r>
      <w:r>
        <w:rPr>
          <w:sz w:val="22"/>
        </w:rPr>
        <w:t>.3.3 X</w:t>
      </w:r>
      <w:r>
        <w:rPr>
          <w:rFonts w:hint="eastAsia"/>
          <w:sz w:val="22"/>
        </w:rPr>
        <w:t>光机单次检查剂量应不大于</w:t>
      </w:r>
      <w:r>
        <w:rPr>
          <w:sz w:val="22"/>
        </w:rPr>
        <w:t>5</w:t>
      </w:r>
      <w:r>
        <w:rPr>
          <w:rFonts w:hint="eastAsia"/>
          <w:sz w:val="22"/>
        </w:rPr>
        <w:t>μ</w:t>
      </w:r>
      <w:r>
        <w:rPr>
          <w:sz w:val="22"/>
        </w:rPr>
        <w:t>Gy/h</w:t>
      </w:r>
      <w:r>
        <w:rPr>
          <w:rFonts w:hint="eastAsia"/>
          <w:sz w:val="22"/>
        </w:rPr>
        <w:t>。</w:t>
      </w:r>
    </w:p>
    <w:p>
      <w:pPr>
        <w:adjustRightInd w:val="0"/>
        <w:snapToGrid w:val="0"/>
        <w:spacing w:line="440" w:lineRule="exact"/>
        <w:ind w:firstLine="440" w:firstLineChars="200"/>
        <w:rPr>
          <w:sz w:val="22"/>
        </w:rPr>
      </w:pPr>
      <w:r>
        <w:rPr>
          <w:rFonts w:hint="eastAsia"/>
          <w:sz w:val="22"/>
        </w:rPr>
        <w:t>2</w:t>
      </w:r>
      <w:r>
        <w:rPr>
          <w:sz w:val="22"/>
        </w:rPr>
        <w:t>.3.4 X</w:t>
      </w:r>
      <w:r>
        <w:rPr>
          <w:rFonts w:hint="eastAsia"/>
          <w:sz w:val="22"/>
        </w:rPr>
        <w:t>光机标准泄漏剂量（在距设备框架外</w:t>
      </w:r>
      <w:r>
        <w:rPr>
          <w:sz w:val="22"/>
        </w:rPr>
        <w:t>5</w:t>
      </w:r>
      <w:r>
        <w:rPr>
          <w:rFonts w:hint="eastAsia"/>
          <w:sz w:val="22"/>
        </w:rPr>
        <w:t>厘米处）低于</w:t>
      </w:r>
      <w:r>
        <w:rPr>
          <w:sz w:val="22"/>
        </w:rPr>
        <w:t>3</w:t>
      </w:r>
      <w:r>
        <w:rPr>
          <w:rFonts w:hint="eastAsia"/>
          <w:sz w:val="22"/>
        </w:rPr>
        <w:t>μ</w:t>
      </w:r>
      <w:r>
        <w:rPr>
          <w:sz w:val="22"/>
        </w:rPr>
        <w:t>Gy/h</w:t>
      </w:r>
      <w:r>
        <w:rPr>
          <w:rFonts w:hint="eastAsia"/>
          <w:sz w:val="22"/>
        </w:rPr>
        <w:t>，应能满足所有</w:t>
      </w:r>
      <w:r>
        <w:rPr>
          <w:sz w:val="22"/>
        </w:rPr>
        <w:t>X</w:t>
      </w:r>
      <w:r>
        <w:rPr>
          <w:rFonts w:hint="eastAsia"/>
          <w:sz w:val="22"/>
        </w:rPr>
        <w:t>射线安全标准的要求。</w:t>
      </w:r>
    </w:p>
    <w:p>
      <w:pPr>
        <w:adjustRightInd w:val="0"/>
        <w:snapToGrid w:val="0"/>
        <w:spacing w:line="440" w:lineRule="exact"/>
        <w:ind w:firstLine="440" w:firstLineChars="200"/>
        <w:rPr>
          <w:sz w:val="22"/>
        </w:rPr>
      </w:pPr>
      <w:r>
        <w:rPr>
          <w:rFonts w:hint="eastAsia"/>
          <w:sz w:val="22"/>
        </w:rPr>
        <w:t>2</w:t>
      </w:r>
      <w:r>
        <w:rPr>
          <w:sz w:val="22"/>
        </w:rPr>
        <w:t>.3.5</w:t>
      </w:r>
      <w:r>
        <w:rPr>
          <w:rFonts w:hint="eastAsia"/>
          <w:sz w:val="22"/>
        </w:rPr>
        <w:t>感光材料、食品、药品及磁带均不受影响，甚至多次照射也无妨。</w:t>
      </w:r>
    </w:p>
    <w:p>
      <w:pPr>
        <w:adjustRightInd w:val="0"/>
        <w:snapToGrid w:val="0"/>
        <w:spacing w:line="440" w:lineRule="exact"/>
        <w:ind w:firstLine="440" w:firstLineChars="200"/>
        <w:rPr>
          <w:sz w:val="22"/>
        </w:rPr>
      </w:pPr>
      <w:r>
        <w:rPr>
          <w:rFonts w:hint="eastAsia"/>
          <w:sz w:val="22"/>
        </w:rPr>
        <w:t>2</w:t>
      </w:r>
      <w:r>
        <w:rPr>
          <w:sz w:val="22"/>
        </w:rPr>
        <w:t>.3.6</w:t>
      </w:r>
      <w:r>
        <w:rPr>
          <w:rFonts w:hint="eastAsia"/>
          <w:sz w:val="22"/>
        </w:rPr>
        <w:t>连锁电路接收用于</w:t>
      </w:r>
      <w:r>
        <w:rPr>
          <w:sz w:val="22"/>
        </w:rPr>
        <w:t>X</w:t>
      </w:r>
      <w:r>
        <w:rPr>
          <w:rFonts w:hint="eastAsia"/>
          <w:sz w:val="22"/>
        </w:rPr>
        <w:t>射线屏蔽的连锁开关的信号。如果任一个连锁开关断开，</w:t>
      </w:r>
      <w:r>
        <w:rPr>
          <w:sz w:val="22"/>
        </w:rPr>
        <w:t>X</w:t>
      </w:r>
      <w:r>
        <w:rPr>
          <w:rFonts w:hint="eastAsia"/>
          <w:sz w:val="22"/>
        </w:rPr>
        <w:t>射线将自动关断。</w:t>
      </w:r>
    </w:p>
    <w:p>
      <w:pPr>
        <w:adjustRightInd w:val="0"/>
        <w:snapToGrid w:val="0"/>
        <w:spacing w:line="440" w:lineRule="exact"/>
        <w:ind w:firstLine="440" w:firstLineChars="200"/>
        <w:rPr>
          <w:sz w:val="22"/>
        </w:rPr>
      </w:pPr>
      <w:r>
        <w:rPr>
          <w:rFonts w:hint="eastAsia"/>
          <w:sz w:val="22"/>
        </w:rPr>
        <w:t>2</w:t>
      </w:r>
      <w:r>
        <w:rPr>
          <w:sz w:val="22"/>
        </w:rPr>
        <w:t>.3.7</w:t>
      </w:r>
      <w:r>
        <w:rPr>
          <w:rFonts w:hint="eastAsia"/>
          <w:sz w:val="22"/>
        </w:rPr>
        <w:t>工作周期：</w:t>
      </w:r>
      <w:r>
        <w:rPr>
          <w:sz w:val="22"/>
        </w:rPr>
        <w:t>100%</w:t>
      </w:r>
      <w:r>
        <w:rPr>
          <w:rFonts w:hint="eastAsia"/>
          <w:sz w:val="22"/>
        </w:rPr>
        <w:t>连续，无需预热。</w:t>
      </w:r>
    </w:p>
    <w:p>
      <w:pPr>
        <w:adjustRightInd w:val="0"/>
        <w:snapToGrid w:val="0"/>
        <w:spacing w:line="440" w:lineRule="exact"/>
        <w:ind w:firstLine="440" w:firstLineChars="200"/>
        <w:rPr>
          <w:sz w:val="22"/>
        </w:rPr>
      </w:pPr>
      <w:r>
        <w:rPr>
          <w:rFonts w:hint="eastAsia"/>
          <w:sz w:val="22"/>
        </w:rPr>
        <w:t>2</w:t>
      </w:r>
      <w:r>
        <w:rPr>
          <w:sz w:val="22"/>
        </w:rPr>
        <w:t>.3.8</w:t>
      </w:r>
      <w:r>
        <w:rPr>
          <w:rFonts w:hint="eastAsia"/>
          <w:sz w:val="22"/>
        </w:rPr>
        <w:t>胶卷安全性：对</w:t>
      </w:r>
      <w:r>
        <w:rPr>
          <w:sz w:val="22"/>
        </w:rPr>
        <w:t>IS01600(33DIN)</w:t>
      </w:r>
      <w:r>
        <w:rPr>
          <w:rFonts w:hint="eastAsia"/>
          <w:sz w:val="22"/>
        </w:rPr>
        <w:t>胶卷保证安全。</w:t>
      </w:r>
    </w:p>
    <w:p>
      <w:pPr>
        <w:adjustRightInd w:val="0"/>
        <w:snapToGrid w:val="0"/>
        <w:spacing w:line="440" w:lineRule="exact"/>
        <w:ind w:firstLine="440" w:firstLineChars="200"/>
        <w:rPr>
          <w:sz w:val="22"/>
        </w:rPr>
      </w:pPr>
      <w:r>
        <w:rPr>
          <w:rFonts w:hint="eastAsia"/>
          <w:sz w:val="22"/>
        </w:rPr>
        <w:t>2</w:t>
      </w:r>
      <w:r>
        <w:rPr>
          <w:sz w:val="22"/>
        </w:rPr>
        <w:t>.3.9</w:t>
      </w:r>
      <w:r>
        <w:rPr>
          <w:rFonts w:hint="eastAsia"/>
          <w:sz w:val="22"/>
        </w:rPr>
        <w:t>显示器：符合设备整体使用性能。</w:t>
      </w:r>
    </w:p>
    <w:p>
      <w:pPr>
        <w:adjustRightInd w:val="0"/>
        <w:snapToGrid w:val="0"/>
        <w:spacing w:line="440" w:lineRule="exact"/>
        <w:ind w:firstLine="440" w:firstLineChars="200"/>
        <w:rPr>
          <w:sz w:val="22"/>
        </w:rPr>
      </w:pPr>
      <w:r>
        <w:rPr>
          <w:rFonts w:hint="eastAsia"/>
          <w:sz w:val="22"/>
        </w:rPr>
        <w:t>2</w:t>
      </w:r>
      <w:r>
        <w:rPr>
          <w:sz w:val="22"/>
        </w:rPr>
        <w:t>.3.10</w:t>
      </w:r>
      <w:r>
        <w:rPr>
          <w:rFonts w:hint="eastAsia"/>
          <w:sz w:val="22"/>
        </w:rPr>
        <w:t>机械结构：钢架结构及钢板外壳，设备带滚轮。</w:t>
      </w:r>
    </w:p>
    <w:p>
      <w:pPr>
        <w:adjustRightInd w:val="0"/>
        <w:snapToGrid w:val="0"/>
        <w:spacing w:line="440" w:lineRule="exact"/>
        <w:ind w:firstLine="440" w:firstLineChars="200"/>
        <w:rPr>
          <w:sz w:val="22"/>
        </w:rPr>
      </w:pPr>
      <w:r>
        <w:rPr>
          <w:rFonts w:hint="eastAsia"/>
          <w:sz w:val="22"/>
        </w:rPr>
        <w:t>2</w:t>
      </w:r>
      <w:r>
        <w:rPr>
          <w:sz w:val="22"/>
        </w:rPr>
        <w:t>.3.11</w:t>
      </w:r>
      <w:r>
        <w:rPr>
          <w:rFonts w:hint="eastAsia"/>
          <w:sz w:val="22"/>
        </w:rPr>
        <w:t>单机操作键盘必须防水，等级不小于</w:t>
      </w:r>
      <w:r>
        <w:rPr>
          <w:sz w:val="22"/>
        </w:rPr>
        <w:t>IP22</w:t>
      </w:r>
      <w:r>
        <w:rPr>
          <w:rFonts w:hint="eastAsia"/>
          <w:sz w:val="22"/>
        </w:rPr>
        <w:t>。</w:t>
      </w:r>
    </w:p>
    <w:p>
      <w:pPr>
        <w:adjustRightInd w:val="0"/>
        <w:snapToGrid w:val="0"/>
        <w:spacing w:line="440" w:lineRule="exact"/>
        <w:ind w:firstLine="440" w:firstLineChars="200"/>
        <w:rPr>
          <w:sz w:val="22"/>
        </w:rPr>
      </w:pPr>
      <w:r>
        <w:rPr>
          <w:rFonts w:hint="eastAsia"/>
          <w:sz w:val="22"/>
        </w:rPr>
        <w:t>2</w:t>
      </w:r>
      <w:r>
        <w:rPr>
          <w:sz w:val="22"/>
        </w:rPr>
        <w:t>.3.12</w:t>
      </w:r>
      <w:r>
        <w:rPr>
          <w:rFonts w:hint="eastAsia"/>
          <w:sz w:val="22"/>
        </w:rPr>
        <w:t>设备颜色：定合同时商定。</w:t>
      </w:r>
    </w:p>
    <w:p>
      <w:pPr>
        <w:adjustRightInd w:val="0"/>
        <w:snapToGrid w:val="0"/>
        <w:spacing w:line="440" w:lineRule="exact"/>
        <w:ind w:firstLine="440" w:firstLineChars="200"/>
        <w:rPr>
          <w:sz w:val="22"/>
        </w:rPr>
      </w:pPr>
      <w:r>
        <w:rPr>
          <w:rFonts w:hint="eastAsia"/>
          <w:sz w:val="22"/>
        </w:rPr>
        <w:t>2</w:t>
      </w:r>
      <w:r>
        <w:rPr>
          <w:sz w:val="22"/>
        </w:rPr>
        <w:t>.3.13*</w:t>
      </w:r>
      <w:r>
        <w:rPr>
          <w:rFonts w:hint="eastAsia"/>
          <w:sz w:val="22"/>
        </w:rPr>
        <w:t>经单机系统设置后可直接接入现有安检分层管理系统并正常使用。</w:t>
      </w:r>
    </w:p>
    <w:p>
      <w:pPr>
        <w:adjustRightInd w:val="0"/>
        <w:snapToGrid w:val="0"/>
        <w:spacing w:line="440" w:lineRule="exact"/>
        <w:rPr>
          <w:bCs/>
          <w:sz w:val="22"/>
          <w:u w:val="single"/>
        </w:rPr>
      </w:pPr>
      <w:r>
        <w:rPr>
          <w:rFonts w:hint="eastAsia"/>
          <w:sz w:val="22"/>
        </w:rPr>
        <w:t>注：</w:t>
      </w:r>
      <w:r>
        <w:rPr>
          <w:sz w:val="22"/>
          <w:u w:val="single"/>
        </w:rPr>
        <w:t>*</w:t>
      </w:r>
      <w:r>
        <w:rPr>
          <w:rFonts w:hint="eastAsia"/>
          <w:bCs/>
          <w:sz w:val="22"/>
          <w:u w:val="single"/>
        </w:rPr>
        <w:t>设备具有中国民航使用许可证</w:t>
      </w:r>
    </w:p>
    <w:p>
      <w:pPr>
        <w:adjustRightInd w:val="0"/>
        <w:snapToGrid w:val="0"/>
        <w:spacing w:line="440" w:lineRule="exact"/>
        <w:rPr>
          <w:sz w:val="22"/>
        </w:rPr>
      </w:pPr>
    </w:p>
    <w:p>
      <w:pPr>
        <w:spacing w:line="240" w:lineRule="atLeast"/>
        <w:rPr>
          <w:rFonts w:ascii="宋体"/>
          <w:szCs w:val="21"/>
        </w:rPr>
      </w:pPr>
      <w:r>
        <w:rPr>
          <w:rFonts w:hint="eastAsia"/>
          <w:b/>
          <w:color w:val="000000"/>
          <w:sz w:val="22"/>
        </w:rPr>
        <w:t>3、动力平台：</w:t>
      </w:r>
    </w:p>
    <w:p>
      <w:pPr>
        <w:adjustRightInd w:val="0"/>
        <w:snapToGrid w:val="0"/>
        <w:spacing w:line="440" w:lineRule="exact"/>
        <w:ind w:firstLine="440" w:firstLineChars="200"/>
        <w:rPr>
          <w:rFonts w:ascii="Cambria"/>
          <w:sz w:val="22"/>
        </w:rPr>
      </w:pPr>
      <w:r>
        <w:rPr>
          <w:rFonts w:hint="eastAsia"/>
          <w:sz w:val="22"/>
        </w:rPr>
        <w:t>3</w:t>
      </w:r>
      <w:r>
        <w:rPr>
          <w:sz w:val="22"/>
        </w:rPr>
        <w:t>.1</w:t>
      </w:r>
      <w:r>
        <w:rPr>
          <w:rFonts w:hint="eastAsia"/>
          <w:sz w:val="22"/>
        </w:rPr>
        <w:t>、设备输送有效宽度应与</w:t>
      </w:r>
      <w:r>
        <w:rPr>
          <w:sz w:val="22"/>
        </w:rPr>
        <w:t>X</w:t>
      </w:r>
      <w:r>
        <w:rPr>
          <w:rFonts w:hint="eastAsia"/>
          <w:sz w:val="22"/>
        </w:rPr>
        <w:t>光机传送部分相同，输送高度配合安检机高度。</w:t>
      </w:r>
    </w:p>
    <w:p>
      <w:pPr>
        <w:adjustRightInd w:val="0"/>
        <w:snapToGrid w:val="0"/>
        <w:spacing w:line="440" w:lineRule="exact"/>
        <w:ind w:firstLine="440" w:firstLineChars="200"/>
        <w:rPr>
          <w:sz w:val="22"/>
        </w:rPr>
      </w:pPr>
      <w:r>
        <w:rPr>
          <w:rFonts w:hint="eastAsia"/>
          <w:sz w:val="22"/>
        </w:rPr>
        <w:t>3</w:t>
      </w:r>
      <w:r>
        <w:rPr>
          <w:sz w:val="22"/>
        </w:rPr>
        <w:t>.2</w:t>
      </w:r>
      <w:r>
        <w:rPr>
          <w:rFonts w:hint="eastAsia"/>
          <w:sz w:val="22"/>
        </w:rPr>
        <w:t>、输送台长</w:t>
      </w:r>
      <w:r>
        <w:rPr>
          <w:sz w:val="22"/>
        </w:rPr>
        <w:t>2000mm,</w:t>
      </w:r>
      <w:r>
        <w:rPr>
          <w:rFonts w:hint="eastAsia"/>
          <w:sz w:val="22"/>
        </w:rPr>
        <w:t>整机输送能力：</w:t>
      </w:r>
      <w:r>
        <w:rPr>
          <w:sz w:val="22"/>
        </w:rPr>
        <w:t>2000kg.</w:t>
      </w:r>
    </w:p>
    <w:p>
      <w:pPr>
        <w:adjustRightInd w:val="0"/>
        <w:snapToGrid w:val="0"/>
        <w:spacing w:line="440" w:lineRule="exact"/>
        <w:ind w:firstLine="440" w:firstLineChars="200"/>
        <w:rPr>
          <w:sz w:val="22"/>
        </w:rPr>
      </w:pPr>
      <w:r>
        <w:rPr>
          <w:rFonts w:hint="eastAsia"/>
          <w:sz w:val="22"/>
        </w:rPr>
        <w:t>3</w:t>
      </w:r>
      <w:r>
        <w:rPr>
          <w:sz w:val="22"/>
        </w:rPr>
        <w:t>.3</w:t>
      </w:r>
      <w:r>
        <w:rPr>
          <w:rFonts w:hint="eastAsia"/>
          <w:sz w:val="22"/>
        </w:rPr>
        <w:t>、重载不锈钢辊筒整机不少于</w:t>
      </w:r>
      <w:r>
        <w:rPr>
          <w:sz w:val="22"/>
        </w:rPr>
        <w:t>19</w:t>
      </w:r>
      <w:r>
        <w:rPr>
          <w:rFonts w:hint="eastAsia"/>
          <w:sz w:val="22"/>
        </w:rPr>
        <w:t>支。</w:t>
      </w:r>
    </w:p>
    <w:p>
      <w:pPr>
        <w:adjustRightInd w:val="0"/>
        <w:snapToGrid w:val="0"/>
        <w:spacing w:line="440" w:lineRule="exact"/>
        <w:ind w:firstLine="440" w:firstLineChars="200"/>
        <w:rPr>
          <w:sz w:val="22"/>
        </w:rPr>
      </w:pPr>
      <w:r>
        <w:rPr>
          <w:rFonts w:hint="eastAsia"/>
          <w:sz w:val="22"/>
        </w:rPr>
        <w:t>3</w:t>
      </w:r>
      <w:r>
        <w:rPr>
          <w:sz w:val="22"/>
        </w:rPr>
        <w:t>.4</w:t>
      </w:r>
      <w:r>
        <w:rPr>
          <w:rFonts w:hint="eastAsia"/>
          <w:sz w:val="22"/>
        </w:rPr>
        <w:t>、输送辊道台框架采用槽钢，表面粉末静电喷涂。</w:t>
      </w:r>
    </w:p>
    <w:p>
      <w:pPr>
        <w:adjustRightInd w:val="0"/>
        <w:snapToGrid w:val="0"/>
        <w:spacing w:line="440" w:lineRule="exact"/>
        <w:ind w:firstLine="440" w:firstLineChars="200"/>
        <w:rPr>
          <w:sz w:val="22"/>
        </w:rPr>
      </w:pPr>
      <w:r>
        <w:rPr>
          <w:rFonts w:hint="eastAsia"/>
          <w:sz w:val="22"/>
        </w:rPr>
        <w:t>3</w:t>
      </w:r>
      <w:r>
        <w:rPr>
          <w:sz w:val="22"/>
        </w:rPr>
        <w:t>.5</w:t>
      </w:r>
      <w:r>
        <w:rPr>
          <w:rFonts w:hint="eastAsia"/>
          <w:sz w:val="22"/>
        </w:rPr>
        <w:t>、高度配重载可调杯脚，以保证设备的水平。</w:t>
      </w:r>
    </w:p>
    <w:p>
      <w:pPr>
        <w:adjustRightInd w:val="0"/>
        <w:snapToGrid w:val="0"/>
        <w:spacing w:line="440" w:lineRule="exact"/>
        <w:ind w:firstLine="440" w:firstLineChars="200"/>
        <w:rPr>
          <w:sz w:val="22"/>
        </w:rPr>
      </w:pPr>
      <w:r>
        <w:rPr>
          <w:rFonts w:hint="eastAsia"/>
          <w:sz w:val="22"/>
        </w:rPr>
        <w:t>3</w:t>
      </w:r>
      <w:r>
        <w:rPr>
          <w:sz w:val="22"/>
        </w:rPr>
        <w:t>.6</w:t>
      </w:r>
      <w:r>
        <w:rPr>
          <w:rFonts w:hint="eastAsia"/>
          <w:sz w:val="22"/>
        </w:rPr>
        <w:t>、输送速度小于</w:t>
      </w:r>
      <w:r>
        <w:rPr>
          <w:sz w:val="22"/>
        </w:rPr>
        <w:t>X</w:t>
      </w:r>
      <w:r>
        <w:rPr>
          <w:rFonts w:hint="eastAsia"/>
          <w:sz w:val="22"/>
        </w:rPr>
        <w:t>光机传送带带速。</w:t>
      </w:r>
    </w:p>
    <w:p>
      <w:pPr>
        <w:adjustRightInd w:val="0"/>
        <w:snapToGrid w:val="0"/>
        <w:spacing w:line="440" w:lineRule="exact"/>
        <w:ind w:firstLine="440" w:firstLineChars="200"/>
        <w:rPr>
          <w:sz w:val="22"/>
        </w:rPr>
      </w:pPr>
      <w:r>
        <w:rPr>
          <w:rFonts w:hint="eastAsia"/>
          <w:sz w:val="22"/>
        </w:rPr>
        <w:t>3</w:t>
      </w:r>
      <w:r>
        <w:rPr>
          <w:sz w:val="22"/>
        </w:rPr>
        <w:t>.7</w:t>
      </w:r>
      <w:r>
        <w:rPr>
          <w:rFonts w:hint="eastAsia"/>
          <w:sz w:val="22"/>
        </w:rPr>
        <w:t>、动力辊道台单机配置变频调速，总控及分控。</w:t>
      </w:r>
    </w:p>
    <w:p>
      <w:pPr>
        <w:adjustRightInd w:val="0"/>
        <w:snapToGrid w:val="0"/>
        <w:spacing w:line="440" w:lineRule="exact"/>
        <w:ind w:firstLine="440" w:firstLineChars="200"/>
        <w:rPr>
          <w:sz w:val="22"/>
        </w:rPr>
      </w:pPr>
      <w:r>
        <w:rPr>
          <w:rFonts w:hint="eastAsia"/>
          <w:sz w:val="22"/>
        </w:rPr>
        <w:t>3</w:t>
      </w:r>
      <w:r>
        <w:rPr>
          <w:sz w:val="22"/>
        </w:rPr>
        <w:t>.8</w:t>
      </w:r>
      <w:r>
        <w:rPr>
          <w:rFonts w:hint="eastAsia"/>
          <w:sz w:val="22"/>
        </w:rPr>
        <w:t>、动力辊道台使用，要求防止场地的线头、包装袋及粘胶带的卷入输送辊筒的链轮内。</w:t>
      </w:r>
    </w:p>
    <w:p>
      <w:pPr>
        <w:adjustRightInd w:val="0"/>
        <w:snapToGrid w:val="0"/>
        <w:spacing w:line="440" w:lineRule="exact"/>
        <w:ind w:firstLine="440" w:firstLineChars="200"/>
        <w:rPr>
          <w:sz w:val="22"/>
        </w:rPr>
      </w:pPr>
      <w:r>
        <w:rPr>
          <w:rFonts w:hint="eastAsia"/>
          <w:sz w:val="22"/>
        </w:rPr>
        <w:t>3</w:t>
      </w:r>
      <w:r>
        <w:rPr>
          <w:sz w:val="22"/>
        </w:rPr>
        <w:t>.9</w:t>
      </w:r>
      <w:r>
        <w:rPr>
          <w:rFonts w:hint="eastAsia"/>
          <w:sz w:val="22"/>
        </w:rPr>
        <w:t>、设备线路、驱动及传动部分要安全防护，防止漏电。</w:t>
      </w:r>
    </w:p>
    <w:p>
      <w:pPr>
        <w:adjustRightInd w:val="0"/>
        <w:snapToGrid w:val="0"/>
        <w:spacing w:line="440" w:lineRule="exact"/>
        <w:ind w:firstLine="440" w:firstLineChars="200"/>
        <w:rPr>
          <w:sz w:val="22"/>
        </w:rPr>
      </w:pPr>
      <w:r>
        <w:rPr>
          <w:rFonts w:hint="eastAsia"/>
          <w:sz w:val="22"/>
        </w:rPr>
        <w:t>3</w:t>
      </w:r>
      <w:r>
        <w:rPr>
          <w:sz w:val="22"/>
        </w:rPr>
        <w:t>.</w:t>
      </w:r>
      <w:r>
        <w:rPr>
          <w:rFonts w:hint="eastAsia"/>
          <w:sz w:val="22"/>
        </w:rPr>
        <w:t>1.1、设备外部应无毛刺、倒角，做好安全防护。</w:t>
      </w:r>
    </w:p>
    <w:p>
      <w:pPr>
        <w:adjustRightInd w:val="0"/>
        <w:snapToGrid w:val="0"/>
        <w:spacing w:line="440" w:lineRule="exact"/>
        <w:ind w:firstLine="440" w:firstLineChars="200"/>
        <w:rPr>
          <w:sz w:val="22"/>
        </w:rPr>
      </w:pPr>
    </w:p>
    <w:p>
      <w:pPr>
        <w:adjustRightInd w:val="0"/>
        <w:snapToGrid w:val="0"/>
        <w:spacing w:line="440" w:lineRule="exact"/>
        <w:jc w:val="left"/>
        <w:rPr>
          <w:b/>
          <w:sz w:val="22"/>
        </w:rPr>
      </w:pPr>
      <w:r>
        <w:rPr>
          <w:rFonts w:hint="eastAsia"/>
          <w:b/>
          <w:sz w:val="22"/>
        </w:rPr>
        <w:t>4、端接平台：（义乌机场）</w:t>
      </w:r>
    </w:p>
    <w:p>
      <w:pPr>
        <w:pStyle w:val="145"/>
        <w:numPr>
          <w:ilvl w:val="1"/>
          <w:numId w:val="35"/>
        </w:numPr>
        <w:spacing w:line="240" w:lineRule="atLeast"/>
        <w:ind w:firstLineChars="0"/>
        <w:rPr>
          <w:rFonts w:ascii="宋体" w:hAnsi="宋体"/>
          <w:szCs w:val="21"/>
        </w:rPr>
      </w:pPr>
      <w:r>
        <w:rPr>
          <w:rFonts w:hint="eastAsia" w:ascii="宋体" w:hAnsi="宋体"/>
          <w:szCs w:val="21"/>
        </w:rPr>
        <w:t xml:space="preserve">  X光机前后各安装1条端接平台，与X光机出入口相连接。</w:t>
      </w:r>
    </w:p>
    <w:p>
      <w:pPr>
        <w:spacing w:line="240" w:lineRule="atLeast"/>
        <w:ind w:left="425"/>
        <w:rPr>
          <w:rFonts w:ascii="宋体" w:hAnsi="宋体" w:eastAsia="宋体" w:cs="Times New Roman"/>
          <w:sz w:val="21"/>
          <w:szCs w:val="21"/>
        </w:rPr>
      </w:pPr>
      <w:r>
        <w:rPr>
          <w:rFonts w:hint="eastAsia" w:ascii="宋体" w:hAnsi="宋体" w:eastAsia="宋体" w:cs="Times New Roman"/>
          <w:sz w:val="21"/>
          <w:szCs w:val="21"/>
        </w:rPr>
        <w:t>4.2  X光机出入口前的端接平台尺寸为应</w:t>
      </w:r>
      <w:r>
        <w:rPr>
          <w:rFonts w:hint="eastAsia"/>
          <w:sz w:val="22"/>
        </w:rPr>
        <w:t>符合MH/T7003-2017要求，长度至少3.5米</w:t>
      </w:r>
      <w:r>
        <w:rPr>
          <w:rFonts w:hint="eastAsia" w:ascii="宋体" w:hAnsi="宋体" w:eastAsia="宋体" w:cs="Times New Roman"/>
          <w:sz w:val="21"/>
          <w:szCs w:val="21"/>
        </w:rPr>
        <w:t>。</w:t>
      </w:r>
    </w:p>
    <w:p>
      <w:pPr>
        <w:spacing w:line="240" w:lineRule="atLeast"/>
        <w:ind w:left="425"/>
        <w:rPr>
          <w:rFonts w:ascii="宋体" w:hAnsi="宋体" w:eastAsia="宋体" w:cs="Times New Roman"/>
          <w:sz w:val="21"/>
          <w:szCs w:val="21"/>
        </w:rPr>
      </w:pPr>
      <w:r>
        <w:rPr>
          <w:rFonts w:hint="eastAsia" w:ascii="宋体" w:hAnsi="宋体" w:eastAsia="宋体" w:cs="Times New Roman"/>
          <w:sz w:val="21"/>
          <w:szCs w:val="21"/>
        </w:rPr>
        <w:t>4.3  输送机主体框架及支撑结构材料均采用201不锈钢，厚度要求达到2mm，结构合理，强度可靠，可承受载荷不小于200kg/m</w:t>
      </w:r>
    </w:p>
    <w:p>
      <w:pPr>
        <w:spacing w:line="240" w:lineRule="atLeast"/>
        <w:ind w:left="425"/>
        <w:rPr>
          <w:rFonts w:ascii="宋体" w:hAnsi="宋体" w:eastAsia="宋体" w:cs="Times New Roman"/>
          <w:sz w:val="21"/>
          <w:szCs w:val="21"/>
        </w:rPr>
      </w:pPr>
      <w:r>
        <w:rPr>
          <w:rFonts w:hint="eastAsia" w:ascii="宋体" w:hAnsi="宋体" w:eastAsia="宋体" w:cs="Times New Roman"/>
          <w:sz w:val="21"/>
          <w:szCs w:val="21"/>
        </w:rPr>
        <w:t>4.5  端接平台高度可通过调节底脚进行调整，调整幅度不小于20mm。</w:t>
      </w:r>
    </w:p>
    <w:p>
      <w:pPr>
        <w:spacing w:line="240" w:lineRule="atLeast"/>
        <w:ind w:left="425"/>
        <w:rPr>
          <w:rFonts w:ascii="宋体" w:hAnsi="宋体" w:eastAsia="宋体" w:cs="Times New Roman"/>
          <w:sz w:val="21"/>
          <w:szCs w:val="21"/>
        </w:rPr>
      </w:pPr>
      <w:r>
        <w:rPr>
          <w:rFonts w:hint="eastAsia" w:ascii="宋体" w:hAnsi="宋体" w:eastAsia="宋体" w:cs="Times New Roman"/>
          <w:sz w:val="21"/>
          <w:szCs w:val="21"/>
        </w:rPr>
        <w:t>4.6  外形光滑、美观、无锐角、锐边和毛刺。</w:t>
      </w:r>
    </w:p>
    <w:p>
      <w:pPr>
        <w:spacing w:line="240" w:lineRule="atLeast"/>
        <w:ind w:left="425"/>
        <w:rPr>
          <w:rFonts w:ascii="宋体" w:hAnsi="宋体" w:eastAsia="宋体" w:cs="Times New Roman"/>
          <w:sz w:val="21"/>
          <w:szCs w:val="21"/>
        </w:rPr>
      </w:pPr>
      <w:r>
        <w:rPr>
          <w:rFonts w:hint="eastAsia" w:ascii="宋体" w:hAnsi="宋体" w:eastAsia="宋体" w:cs="Times New Roman"/>
          <w:sz w:val="21"/>
          <w:szCs w:val="21"/>
        </w:rPr>
        <w:t>4.7  最终样式、设计等需经最终用户确认。</w:t>
      </w:r>
    </w:p>
    <w:p>
      <w:pPr>
        <w:pStyle w:val="145"/>
        <w:spacing w:line="240" w:lineRule="atLeast"/>
        <w:ind w:left="960" w:firstLine="0" w:firstLineChars="0"/>
        <w:rPr>
          <w:rFonts w:ascii="宋体"/>
          <w:szCs w:val="21"/>
        </w:rPr>
      </w:pPr>
    </w:p>
    <w:p>
      <w:pPr>
        <w:widowControl/>
        <w:jc w:val="left"/>
      </w:pPr>
      <w:r>
        <w:t xml:space="preserve"> </w:t>
      </w:r>
      <w:r>
        <w:br w:type="page"/>
      </w:r>
      <w:r>
        <w:rPr>
          <w:rFonts w:hint="eastAsia"/>
        </w:rPr>
        <w:t>第四章</w:t>
      </w:r>
      <w:r>
        <w:t>合同条款</w:t>
      </w:r>
      <w:bookmarkEnd w:id="402"/>
    </w:p>
    <w:p>
      <w:pPr>
        <w:jc w:val="center"/>
      </w:pPr>
      <w:r>
        <w:rPr>
          <w:rFonts w:hint="eastAsia"/>
        </w:rPr>
        <w:t>（</w:t>
      </w:r>
      <w:r>
        <w:rPr>
          <w:rFonts w:ascii="Helvetica" w:hAnsi="Helvetica"/>
          <w:color w:val="333333"/>
          <w:sz w:val="18"/>
          <w:szCs w:val="18"/>
        </w:rPr>
        <w:t>此为合同模板，最终以双方签字盖章的文本为准</w:t>
      </w:r>
      <w:r>
        <w:rPr>
          <w:rFonts w:hint="eastAsia" w:ascii="Helvetica" w:hAnsi="Helvetica"/>
          <w:color w:val="333333"/>
          <w:sz w:val="18"/>
          <w:szCs w:val="18"/>
        </w:rPr>
        <w:t>）</w:t>
      </w:r>
    </w:p>
    <w:p>
      <w:pPr>
        <w:adjustRightInd w:val="0"/>
        <w:snapToGrid w:val="0"/>
        <w:spacing w:line="360" w:lineRule="exact"/>
        <w:ind w:firstLine="452"/>
        <w:jc w:val="left"/>
        <w:rPr>
          <w:rFonts w:ascii="宋体" w:hAnsi="宋体"/>
          <w:b/>
          <w:sz w:val="22"/>
        </w:rPr>
      </w:pPr>
    </w:p>
    <w:p>
      <w:pPr>
        <w:spacing w:line="560" w:lineRule="exact"/>
        <w:ind w:firstLine="883" w:firstLineChars="200"/>
        <w:jc w:val="center"/>
        <w:rPr>
          <w:rFonts w:ascii="方正小标宋简体" w:hAnsi="仿宋" w:eastAsia="方正小标宋简体"/>
          <w:b/>
          <w:sz w:val="44"/>
          <w:szCs w:val="44"/>
        </w:rPr>
      </w:pPr>
      <w:bookmarkStart w:id="403" w:name="_Toc321925456"/>
      <w:bookmarkStart w:id="404" w:name="_Toc448002987"/>
      <w:bookmarkStart w:id="405" w:name="_Toc275274581"/>
    </w:p>
    <w:p>
      <w:pPr>
        <w:spacing w:line="560" w:lineRule="exact"/>
        <w:ind w:firstLine="883" w:firstLineChars="200"/>
        <w:jc w:val="center"/>
        <w:rPr>
          <w:rFonts w:ascii="方正小标宋简体" w:hAnsi="仿宋" w:eastAsia="方正小标宋简体"/>
          <w:b/>
          <w:sz w:val="44"/>
          <w:szCs w:val="44"/>
        </w:rPr>
      </w:pPr>
    </w:p>
    <w:p>
      <w:pPr>
        <w:adjustRightInd w:val="0"/>
        <w:snapToGrid w:val="0"/>
        <w:spacing w:line="560" w:lineRule="exact"/>
        <w:ind w:firstLine="452"/>
        <w:rPr>
          <w:rFonts w:ascii="仿宋_GB2312" w:hAnsi="仿宋" w:eastAsia="仿宋_GB2312"/>
          <w:b/>
          <w:sz w:val="30"/>
          <w:szCs w:val="30"/>
        </w:rPr>
      </w:pPr>
      <w:r>
        <w:rPr>
          <w:rFonts w:hint="eastAsia" w:ascii="仿宋_GB2312" w:hAnsi="仿宋" w:eastAsia="仿宋_GB2312"/>
          <w:b/>
          <w:sz w:val="30"/>
          <w:szCs w:val="30"/>
        </w:rPr>
        <w:t>甲方：</w:t>
      </w:r>
    </w:p>
    <w:p>
      <w:pPr>
        <w:adjustRightInd w:val="0"/>
        <w:snapToGrid w:val="0"/>
        <w:spacing w:line="560" w:lineRule="exact"/>
        <w:ind w:firstLine="452"/>
        <w:rPr>
          <w:rFonts w:ascii="仿宋_GB2312" w:hAnsi="仿宋" w:eastAsia="仿宋_GB2312"/>
          <w:b/>
          <w:sz w:val="30"/>
          <w:szCs w:val="30"/>
        </w:rPr>
      </w:pPr>
      <w:r>
        <w:rPr>
          <w:rFonts w:hint="eastAsia" w:ascii="仿宋_GB2312" w:hAnsi="仿宋" w:eastAsia="仿宋_GB2312"/>
          <w:b/>
          <w:sz w:val="30"/>
          <w:szCs w:val="30"/>
        </w:rPr>
        <w:t>住所地：</w:t>
      </w:r>
    </w:p>
    <w:p>
      <w:pPr>
        <w:adjustRightInd w:val="0"/>
        <w:snapToGrid w:val="0"/>
        <w:spacing w:line="560" w:lineRule="exact"/>
        <w:ind w:firstLine="452"/>
        <w:rPr>
          <w:rFonts w:ascii="仿宋_GB2312" w:hAnsi="仿宋" w:eastAsia="仿宋_GB2312"/>
          <w:b/>
          <w:sz w:val="30"/>
          <w:szCs w:val="30"/>
        </w:rPr>
      </w:pPr>
    </w:p>
    <w:p>
      <w:pPr>
        <w:adjustRightInd w:val="0"/>
        <w:snapToGrid w:val="0"/>
        <w:spacing w:line="560" w:lineRule="exact"/>
        <w:ind w:firstLine="452"/>
        <w:rPr>
          <w:rFonts w:ascii="仿宋_GB2312" w:hAnsi="仿宋" w:eastAsia="仿宋_GB2312"/>
          <w:b/>
          <w:sz w:val="30"/>
          <w:szCs w:val="30"/>
        </w:rPr>
      </w:pPr>
      <w:r>
        <w:rPr>
          <w:rFonts w:hint="eastAsia" w:ascii="仿宋_GB2312" w:hAnsi="仿宋" w:eastAsia="仿宋_GB2312"/>
          <w:b/>
          <w:sz w:val="30"/>
          <w:szCs w:val="30"/>
        </w:rPr>
        <w:t>乙方:</w:t>
      </w:r>
    </w:p>
    <w:p>
      <w:pPr>
        <w:adjustRightInd w:val="0"/>
        <w:snapToGrid w:val="0"/>
        <w:spacing w:line="560" w:lineRule="exact"/>
        <w:ind w:firstLine="452"/>
        <w:rPr>
          <w:rFonts w:ascii="仿宋_GB2312" w:hAnsi="仿宋" w:eastAsia="仿宋_GB2312"/>
          <w:sz w:val="30"/>
          <w:szCs w:val="30"/>
        </w:rPr>
      </w:pPr>
      <w:r>
        <w:rPr>
          <w:rFonts w:hint="eastAsia" w:ascii="仿宋_GB2312" w:hAnsi="仿宋" w:eastAsia="仿宋_GB2312"/>
          <w:b/>
          <w:sz w:val="30"/>
          <w:szCs w:val="30"/>
        </w:rPr>
        <w:t>住所地:</w:t>
      </w:r>
    </w:p>
    <w:p>
      <w:pPr>
        <w:adjustRightInd w:val="0"/>
        <w:snapToGrid w:val="0"/>
        <w:spacing w:line="560" w:lineRule="exact"/>
        <w:ind w:firstLine="450"/>
        <w:rPr>
          <w:rFonts w:ascii="仿宋_GB2312" w:hAnsi="仿宋" w:eastAsia="仿宋_GB2312"/>
          <w:sz w:val="30"/>
          <w:szCs w:val="30"/>
        </w:rPr>
      </w:pP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甲、乙双方根据《中华人民共和国合同法》</w:t>
      </w:r>
      <w:bookmarkStart w:id="406" w:name="_Hlk10635989"/>
      <w:r>
        <w:rPr>
          <w:rFonts w:hint="eastAsia" w:ascii="仿宋_GB2312" w:hAnsi="仿宋" w:eastAsia="仿宋_GB2312"/>
          <w:sz w:val="30"/>
          <w:szCs w:val="30"/>
        </w:rPr>
        <w:t>（以下简称“《合同法》”）</w:t>
      </w:r>
      <w:bookmarkEnd w:id="406"/>
      <w:r>
        <w:rPr>
          <w:rFonts w:hint="eastAsia" w:ascii="仿宋_GB2312" w:hAnsi="仿宋" w:eastAsia="仿宋_GB2312"/>
          <w:sz w:val="30"/>
          <w:szCs w:val="30"/>
        </w:rPr>
        <w:t>等相关法律法规，就相关产品采购事宜，在互利、平等的原则基础上，经协商一致，特签订本合同，以共同遵守。</w:t>
      </w:r>
    </w:p>
    <w:p>
      <w:pPr>
        <w:adjustRightInd w:val="0"/>
        <w:snapToGrid w:val="0"/>
        <w:spacing w:line="560" w:lineRule="exact"/>
        <w:ind w:firstLine="600" w:firstLineChars="200"/>
        <w:rPr>
          <w:rFonts w:ascii="仿宋_GB2312" w:hAnsi="仿宋" w:eastAsia="仿宋_GB2312"/>
          <w:sz w:val="30"/>
          <w:szCs w:val="30"/>
        </w:rPr>
      </w:pPr>
    </w:p>
    <w:p>
      <w:pPr>
        <w:spacing w:line="560" w:lineRule="exact"/>
        <w:ind w:firstLine="593"/>
        <w:rPr>
          <w:rFonts w:ascii="仿宋_GB2312" w:hAnsi="宋体" w:eastAsia="仿宋_GB2312"/>
          <w:b/>
          <w:bCs/>
          <w:sz w:val="30"/>
          <w:szCs w:val="30"/>
        </w:rPr>
      </w:pPr>
      <w:r>
        <w:rPr>
          <w:rFonts w:hint="eastAsia" w:ascii="仿宋_GB2312" w:hAnsi="宋体" w:eastAsia="仿宋_GB2312"/>
          <w:b/>
          <w:bCs/>
          <w:sz w:val="30"/>
          <w:szCs w:val="30"/>
        </w:rPr>
        <w:t>一、产品规格型号及参数</w:t>
      </w:r>
    </w:p>
    <w:tbl>
      <w:tblPr>
        <w:tblStyle w:val="52"/>
        <w:tblW w:w="97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560"/>
        <w:gridCol w:w="1560"/>
        <w:gridCol w:w="1560"/>
        <w:gridCol w:w="850"/>
        <w:gridCol w:w="1134"/>
        <w:gridCol w:w="921"/>
        <w:gridCol w:w="8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30" w:type="dxa"/>
            <w:vAlign w:val="center"/>
          </w:tcPr>
          <w:p>
            <w:pPr>
              <w:pStyle w:val="133"/>
              <w:spacing w:line="560" w:lineRule="exact"/>
              <w:jc w:val="center"/>
              <w:rPr>
                <w:rFonts w:ascii="仿宋_GB2312" w:eastAsia="仿宋_GB2312"/>
                <w:b/>
                <w:sz w:val="30"/>
                <w:szCs w:val="30"/>
              </w:rPr>
            </w:pPr>
            <w:r>
              <w:rPr>
                <w:rFonts w:hint="eastAsia" w:ascii="仿宋_GB2312" w:eastAsia="仿宋_GB2312"/>
                <w:b/>
                <w:sz w:val="30"/>
                <w:szCs w:val="30"/>
              </w:rPr>
              <w:t>序号</w:t>
            </w:r>
          </w:p>
        </w:tc>
        <w:tc>
          <w:tcPr>
            <w:tcW w:w="1560" w:type="dxa"/>
            <w:vAlign w:val="center"/>
          </w:tcPr>
          <w:p>
            <w:pPr>
              <w:pStyle w:val="133"/>
              <w:spacing w:line="560" w:lineRule="exact"/>
              <w:jc w:val="center"/>
              <w:rPr>
                <w:rFonts w:ascii="仿宋_GB2312" w:eastAsia="仿宋_GB2312"/>
                <w:b/>
                <w:sz w:val="30"/>
                <w:szCs w:val="30"/>
              </w:rPr>
            </w:pPr>
            <w:r>
              <w:rPr>
                <w:rFonts w:hint="eastAsia" w:ascii="仿宋_GB2312" w:eastAsia="仿宋_GB2312"/>
                <w:b/>
                <w:sz w:val="30"/>
                <w:szCs w:val="30"/>
              </w:rPr>
              <w:t>产品名称</w:t>
            </w:r>
          </w:p>
        </w:tc>
        <w:tc>
          <w:tcPr>
            <w:tcW w:w="1560" w:type="dxa"/>
            <w:vAlign w:val="center"/>
          </w:tcPr>
          <w:p>
            <w:pPr>
              <w:pStyle w:val="133"/>
              <w:spacing w:line="560" w:lineRule="exact"/>
              <w:jc w:val="center"/>
              <w:rPr>
                <w:rFonts w:ascii="仿宋_GB2312" w:eastAsia="仿宋_GB2312"/>
                <w:b/>
                <w:sz w:val="30"/>
                <w:szCs w:val="30"/>
              </w:rPr>
            </w:pPr>
            <w:r>
              <w:rPr>
                <w:rFonts w:hint="eastAsia" w:ascii="仿宋_GB2312" w:eastAsia="仿宋_GB2312"/>
                <w:b/>
                <w:sz w:val="30"/>
                <w:szCs w:val="30"/>
              </w:rPr>
              <w:t>品牌型号</w:t>
            </w:r>
          </w:p>
        </w:tc>
        <w:tc>
          <w:tcPr>
            <w:tcW w:w="1560" w:type="dxa"/>
            <w:vAlign w:val="center"/>
          </w:tcPr>
          <w:p>
            <w:pPr>
              <w:pStyle w:val="133"/>
              <w:spacing w:line="560" w:lineRule="exact"/>
              <w:jc w:val="center"/>
              <w:rPr>
                <w:rFonts w:ascii="仿宋_GB2312" w:eastAsia="仿宋_GB2312"/>
                <w:b/>
                <w:sz w:val="30"/>
                <w:szCs w:val="30"/>
              </w:rPr>
            </w:pPr>
            <w:r>
              <w:rPr>
                <w:rFonts w:hint="eastAsia" w:ascii="仿宋_GB2312" w:eastAsia="仿宋_GB2312"/>
                <w:b/>
                <w:sz w:val="30"/>
                <w:szCs w:val="30"/>
              </w:rPr>
              <w:t>单位</w:t>
            </w:r>
          </w:p>
        </w:tc>
        <w:tc>
          <w:tcPr>
            <w:tcW w:w="850" w:type="dxa"/>
            <w:vAlign w:val="center"/>
          </w:tcPr>
          <w:p>
            <w:pPr>
              <w:pStyle w:val="133"/>
              <w:spacing w:line="560" w:lineRule="exact"/>
              <w:jc w:val="center"/>
              <w:rPr>
                <w:rFonts w:ascii="仿宋_GB2312" w:eastAsia="仿宋_GB2312"/>
                <w:b/>
                <w:sz w:val="30"/>
                <w:szCs w:val="30"/>
              </w:rPr>
            </w:pPr>
            <w:r>
              <w:rPr>
                <w:rFonts w:hint="eastAsia" w:ascii="仿宋_GB2312" w:eastAsia="仿宋_GB2312"/>
                <w:b/>
                <w:sz w:val="30"/>
                <w:szCs w:val="30"/>
              </w:rPr>
              <w:t>数量</w:t>
            </w:r>
          </w:p>
        </w:tc>
        <w:tc>
          <w:tcPr>
            <w:tcW w:w="1134" w:type="dxa"/>
            <w:vAlign w:val="center"/>
          </w:tcPr>
          <w:p>
            <w:pPr>
              <w:pStyle w:val="133"/>
              <w:spacing w:line="560" w:lineRule="exact"/>
              <w:jc w:val="center"/>
              <w:rPr>
                <w:rFonts w:ascii="仿宋_GB2312" w:eastAsia="仿宋_GB2312"/>
                <w:b/>
                <w:sz w:val="30"/>
                <w:szCs w:val="30"/>
              </w:rPr>
            </w:pPr>
            <w:r>
              <w:rPr>
                <w:rFonts w:hint="eastAsia" w:ascii="仿宋_GB2312" w:eastAsia="仿宋_GB2312"/>
                <w:b/>
                <w:sz w:val="30"/>
                <w:szCs w:val="30"/>
              </w:rPr>
              <w:t>不含税单价</w:t>
            </w:r>
          </w:p>
        </w:tc>
        <w:tc>
          <w:tcPr>
            <w:tcW w:w="921" w:type="dxa"/>
            <w:vAlign w:val="center"/>
          </w:tcPr>
          <w:p>
            <w:pPr>
              <w:pStyle w:val="133"/>
              <w:spacing w:line="560" w:lineRule="exact"/>
              <w:jc w:val="center"/>
              <w:rPr>
                <w:rFonts w:ascii="仿宋_GB2312" w:eastAsia="仿宋_GB2312"/>
                <w:b/>
                <w:sz w:val="30"/>
                <w:szCs w:val="30"/>
              </w:rPr>
            </w:pPr>
            <w:r>
              <w:rPr>
                <w:rFonts w:hint="eastAsia" w:ascii="仿宋_GB2312" w:eastAsia="仿宋_GB2312"/>
                <w:b/>
                <w:sz w:val="30"/>
                <w:szCs w:val="30"/>
              </w:rPr>
              <w:t>税率</w:t>
            </w:r>
          </w:p>
        </w:tc>
        <w:tc>
          <w:tcPr>
            <w:tcW w:w="825" w:type="dxa"/>
            <w:vAlign w:val="center"/>
          </w:tcPr>
          <w:p>
            <w:pPr>
              <w:pStyle w:val="133"/>
              <w:spacing w:line="560" w:lineRule="exact"/>
              <w:jc w:val="center"/>
              <w:rPr>
                <w:rFonts w:ascii="仿宋_GB2312" w:eastAsia="仿宋_GB2312"/>
                <w:b/>
                <w:sz w:val="30"/>
                <w:szCs w:val="30"/>
              </w:rPr>
            </w:pPr>
            <w:r>
              <w:rPr>
                <w:rFonts w:hint="eastAsia" w:ascii="仿宋_GB2312" w:eastAsia="仿宋_GB2312"/>
                <w:b/>
                <w:sz w:val="30"/>
                <w:szCs w:val="30"/>
              </w:rPr>
              <w:t>含税单价</w:t>
            </w:r>
          </w:p>
        </w:tc>
        <w:tc>
          <w:tcPr>
            <w:tcW w:w="825" w:type="dxa"/>
          </w:tcPr>
          <w:p>
            <w:pPr>
              <w:pStyle w:val="133"/>
              <w:spacing w:line="560" w:lineRule="exact"/>
              <w:jc w:val="center"/>
              <w:rPr>
                <w:rFonts w:ascii="仿宋_GB2312" w:eastAsia="仿宋_GB2312"/>
                <w:b/>
                <w:sz w:val="30"/>
                <w:szCs w:val="30"/>
              </w:rPr>
            </w:pPr>
            <w:r>
              <w:rPr>
                <w:rFonts w:hint="eastAsia" w:ascii="仿宋_GB2312" w:eastAsia="仿宋_GB2312"/>
                <w:b/>
                <w:sz w:val="30"/>
                <w:szCs w:val="30"/>
              </w:rPr>
              <w:t>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530" w:type="dxa"/>
            <w:vAlign w:val="center"/>
          </w:tcPr>
          <w:p>
            <w:pPr>
              <w:pStyle w:val="133"/>
              <w:spacing w:line="560" w:lineRule="exact"/>
              <w:jc w:val="center"/>
              <w:rPr>
                <w:rFonts w:ascii="仿宋_GB2312" w:eastAsia="仿宋_GB2312"/>
                <w:sz w:val="24"/>
                <w:szCs w:val="24"/>
              </w:rPr>
            </w:pPr>
          </w:p>
        </w:tc>
        <w:tc>
          <w:tcPr>
            <w:tcW w:w="1560" w:type="dxa"/>
            <w:vAlign w:val="center"/>
          </w:tcPr>
          <w:p>
            <w:pPr>
              <w:pStyle w:val="133"/>
              <w:spacing w:line="560" w:lineRule="exact"/>
              <w:jc w:val="center"/>
              <w:rPr>
                <w:rFonts w:ascii="仿宋_GB2312" w:eastAsia="仿宋_GB2312"/>
                <w:sz w:val="24"/>
                <w:szCs w:val="24"/>
              </w:rPr>
            </w:pPr>
          </w:p>
        </w:tc>
        <w:tc>
          <w:tcPr>
            <w:tcW w:w="1560" w:type="dxa"/>
          </w:tcPr>
          <w:p>
            <w:pPr>
              <w:pStyle w:val="133"/>
              <w:spacing w:line="560" w:lineRule="exact"/>
              <w:jc w:val="center"/>
              <w:rPr>
                <w:rFonts w:ascii="仿宋_GB2312" w:hAnsi="宋体" w:eastAsia="仿宋_GB2312"/>
                <w:sz w:val="24"/>
                <w:szCs w:val="24"/>
              </w:rPr>
            </w:pPr>
          </w:p>
        </w:tc>
        <w:tc>
          <w:tcPr>
            <w:tcW w:w="1560" w:type="dxa"/>
            <w:vAlign w:val="center"/>
          </w:tcPr>
          <w:p>
            <w:pPr>
              <w:pStyle w:val="133"/>
              <w:spacing w:line="560" w:lineRule="exact"/>
              <w:jc w:val="center"/>
              <w:rPr>
                <w:rFonts w:ascii="仿宋_GB2312" w:hAnsi="宋体" w:eastAsia="仿宋_GB2312"/>
                <w:sz w:val="24"/>
                <w:szCs w:val="24"/>
              </w:rPr>
            </w:pPr>
          </w:p>
        </w:tc>
        <w:tc>
          <w:tcPr>
            <w:tcW w:w="850" w:type="dxa"/>
            <w:vAlign w:val="center"/>
          </w:tcPr>
          <w:p>
            <w:pPr>
              <w:pStyle w:val="133"/>
              <w:spacing w:line="560" w:lineRule="exact"/>
              <w:jc w:val="center"/>
              <w:rPr>
                <w:rFonts w:ascii="仿宋_GB2312" w:eastAsia="仿宋_GB2312"/>
                <w:sz w:val="24"/>
                <w:szCs w:val="24"/>
              </w:rPr>
            </w:pPr>
          </w:p>
        </w:tc>
        <w:tc>
          <w:tcPr>
            <w:tcW w:w="1134" w:type="dxa"/>
            <w:vAlign w:val="center"/>
          </w:tcPr>
          <w:p>
            <w:pPr>
              <w:pStyle w:val="133"/>
              <w:spacing w:line="560" w:lineRule="exact"/>
              <w:ind w:firstLine="120" w:firstLineChars="50"/>
              <w:jc w:val="center"/>
              <w:rPr>
                <w:rFonts w:ascii="仿宋_GB2312" w:eastAsia="仿宋_GB2312"/>
                <w:sz w:val="24"/>
                <w:szCs w:val="24"/>
              </w:rPr>
            </w:pPr>
          </w:p>
        </w:tc>
        <w:tc>
          <w:tcPr>
            <w:tcW w:w="921" w:type="dxa"/>
            <w:vAlign w:val="center"/>
          </w:tcPr>
          <w:p>
            <w:pPr>
              <w:pStyle w:val="133"/>
              <w:spacing w:line="560" w:lineRule="exact"/>
              <w:jc w:val="center"/>
              <w:rPr>
                <w:rFonts w:ascii="仿宋_GB2312" w:eastAsia="仿宋_GB2312"/>
                <w:sz w:val="24"/>
                <w:szCs w:val="24"/>
              </w:rPr>
            </w:pPr>
          </w:p>
        </w:tc>
        <w:tc>
          <w:tcPr>
            <w:tcW w:w="825" w:type="dxa"/>
            <w:vAlign w:val="center"/>
          </w:tcPr>
          <w:p>
            <w:pPr>
              <w:pStyle w:val="133"/>
              <w:spacing w:line="560" w:lineRule="exact"/>
              <w:ind w:firstLine="120" w:firstLineChars="50"/>
              <w:rPr>
                <w:rFonts w:ascii="仿宋_GB2312" w:eastAsia="仿宋_GB2312"/>
                <w:sz w:val="24"/>
                <w:szCs w:val="24"/>
              </w:rPr>
            </w:pPr>
          </w:p>
        </w:tc>
        <w:tc>
          <w:tcPr>
            <w:tcW w:w="825" w:type="dxa"/>
          </w:tcPr>
          <w:p>
            <w:pPr>
              <w:pStyle w:val="133"/>
              <w:spacing w:line="560" w:lineRule="exact"/>
              <w:ind w:firstLine="120" w:firstLineChars="5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0" w:type="dxa"/>
            <w:vAlign w:val="center"/>
          </w:tcPr>
          <w:p>
            <w:pPr>
              <w:pStyle w:val="133"/>
              <w:spacing w:line="560" w:lineRule="exact"/>
              <w:jc w:val="center"/>
              <w:rPr>
                <w:rFonts w:ascii="仿宋_GB2312" w:eastAsia="仿宋_GB2312"/>
                <w:sz w:val="24"/>
                <w:szCs w:val="24"/>
              </w:rPr>
            </w:pPr>
            <w:r>
              <w:rPr>
                <w:rFonts w:hint="eastAsia" w:ascii="仿宋_GB2312" w:eastAsia="仿宋_GB2312"/>
                <w:sz w:val="24"/>
                <w:szCs w:val="24"/>
              </w:rPr>
              <w:t>合计</w:t>
            </w:r>
          </w:p>
        </w:tc>
        <w:tc>
          <w:tcPr>
            <w:tcW w:w="9235" w:type="dxa"/>
            <w:gridSpan w:val="8"/>
          </w:tcPr>
          <w:p>
            <w:pPr>
              <w:pStyle w:val="133"/>
              <w:spacing w:line="560" w:lineRule="exact"/>
              <w:jc w:val="right"/>
              <w:rPr>
                <w:rFonts w:ascii="仿宋_GB2312" w:eastAsia="仿宋_GB2312"/>
                <w:sz w:val="24"/>
                <w:szCs w:val="24"/>
              </w:rPr>
            </w:pPr>
          </w:p>
        </w:tc>
      </w:tr>
    </w:tbl>
    <w:p>
      <w:pPr>
        <w:widowControl/>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330" w:lineRule="atLeast"/>
        <w:ind w:firstLine="602" w:firstLineChars="200"/>
        <w:jc w:val="left"/>
        <w:rPr>
          <w:rFonts w:ascii="仿宋_GB2312" w:hAnsi="Arial" w:eastAsia="仿宋_GB2312" w:cs="Arial"/>
          <w:color w:val="000000"/>
          <w:kern w:val="0"/>
          <w:sz w:val="30"/>
          <w:szCs w:val="30"/>
        </w:rPr>
      </w:pPr>
      <w:r>
        <w:rPr>
          <w:rFonts w:hint="eastAsia" w:ascii="仿宋_GB2312" w:hAnsi="仿宋" w:eastAsia="仿宋_GB2312"/>
          <w:b/>
          <w:sz w:val="30"/>
          <w:szCs w:val="30"/>
        </w:rPr>
        <w:t>备注：1、</w:t>
      </w:r>
      <w:r>
        <w:rPr>
          <w:rFonts w:hint="eastAsia" w:ascii="仿宋_GB2312" w:hAnsi="Arial" w:eastAsia="仿宋_GB2312" w:cs="Arial"/>
          <w:color w:val="000000"/>
          <w:kern w:val="0"/>
          <w:sz w:val="30"/>
          <w:szCs w:val="30"/>
        </w:rPr>
        <w:t>在合同有效期限内，若因国家税收政策调整而引起的增值税税率变化的，应按照国家税收政策调整，合同金额变更为原合同不含增值税货物价格与调整后税率计算税额的合计金额。</w:t>
      </w:r>
    </w:p>
    <w:p>
      <w:pPr>
        <w:adjustRightInd w:val="0"/>
        <w:snapToGrid w:val="0"/>
        <w:spacing w:line="560" w:lineRule="exact"/>
        <w:ind w:firstLine="602"/>
        <w:rPr>
          <w:rFonts w:ascii="仿宋_GB2312" w:hAnsi="仿宋" w:eastAsia="仿宋_GB2312"/>
          <w:b/>
          <w:sz w:val="30"/>
          <w:szCs w:val="30"/>
        </w:rPr>
      </w:pP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二、合同金额</w:t>
      </w:r>
    </w:p>
    <w:p>
      <w:pPr>
        <w:spacing w:line="560" w:lineRule="exact"/>
        <w:ind w:firstLine="576" w:firstLineChars="192"/>
        <w:rPr>
          <w:rFonts w:ascii="仿宋_GB2312" w:hAnsi="仿宋" w:eastAsia="仿宋_GB2312"/>
          <w:sz w:val="30"/>
          <w:szCs w:val="30"/>
        </w:rPr>
      </w:pPr>
      <w:r>
        <w:rPr>
          <w:rFonts w:hint="eastAsia" w:ascii="仿宋_GB2312" w:hAnsi="仿宋" w:eastAsia="仿宋_GB2312"/>
          <w:sz w:val="30"/>
          <w:szCs w:val="30"/>
        </w:rPr>
        <w:t>本合同金额为固定总价合同，合同金额为（大写）：人民币    ，（小写）</w:t>
      </w:r>
      <w:r>
        <w:rPr>
          <w:rFonts w:ascii="Arial" w:hAnsi="Arial" w:eastAsia="仿宋_GB2312" w:cs="Arial"/>
          <w:sz w:val="30"/>
          <w:szCs w:val="30"/>
        </w:rPr>
        <w:t>¥</w:t>
      </w:r>
      <w:r>
        <w:rPr>
          <w:rFonts w:hint="eastAsia" w:ascii="仿宋_GB2312" w:hAnsi="仿宋" w:eastAsia="仿宋_GB2312"/>
          <w:sz w:val="30"/>
          <w:szCs w:val="30"/>
        </w:rPr>
        <w:t>。本合同价为杭州萧山国际机场内或义乌机场内交货价，含产品价格、运输费、包装费、保险费、税费等所有费用。甲方不再承担其他任何费用。</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三、技术资料</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1.乙方应在交付合同产品时同时向甲方提供使用产品的有关技术资料。</w:t>
      </w:r>
    </w:p>
    <w:p>
      <w:pPr>
        <w:adjustRightInd w:val="0"/>
        <w:snapToGrid w:val="0"/>
        <w:spacing w:line="560" w:lineRule="exact"/>
        <w:ind w:firstLine="602" w:firstLineChars="200"/>
        <w:rPr>
          <w:rFonts w:ascii="仿宋_GB2312" w:hAnsi="仿宋" w:eastAsia="仿宋_GB2312"/>
          <w:sz w:val="30"/>
          <w:szCs w:val="30"/>
        </w:rPr>
      </w:pPr>
      <w:r>
        <w:rPr>
          <w:rFonts w:hint="eastAsia" w:ascii="仿宋_GB2312" w:hAnsi="仿宋" w:eastAsia="仿宋_GB2312"/>
          <w:b/>
          <w:sz w:val="30"/>
          <w:szCs w:val="30"/>
        </w:rPr>
        <w:t>2.</w:t>
      </w:r>
      <w:r>
        <w:rPr>
          <w:rFonts w:hint="eastAsia" w:ascii="仿宋_GB2312" w:hAnsi="仿宋" w:eastAsia="仿宋_GB2312"/>
          <w:sz w:val="30"/>
          <w:szCs w:val="30"/>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四、知识产权</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乙方应保证所提供的产品或其任何一部分均不会侵犯任何第三方的知识产权等合法权益。如因乙方违反本条保证并导致甲方遭受损失的，甲方有权解除本合同，乙方须向甲方承担赔偿责任。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五、产权担保</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六、转包或分包</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本合同项下甲方采购的产品及其安装、调试等服务，必须由乙方直接供应；除非得到甲方的书面同意，乙方不得将本合同项下的产品或服务的全部或部分分包、转包给第三方供应，不得将本合同项下权利义务转让给第三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2.如有未经甲方书面同意的转让、转包和分包行为，甲方有权解除合同，并有权要求乙方承担合同总金额【10%】的违约金。</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七、产品包装、发运及运输</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乙方应在产品发运前对其按满足运输距离、防潮、防震、防锈和防破损装卸等要求进行包装，以保证产品安全运达甲方指定地点。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使用说明书、质量检验证明书、技术资料、随配附件和工具以及清单一并附于产品内同时向甲方交付。如资料和工具、附件不全的，视为乙方未完全履行交付义务。</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 乙方在产品发运手续办理完毕后【24】小时内必须书面通知甲方，以便甲方准备接货。</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 产品在本合同规定的交货地点交付甲方前发生的一切风险包括产品运输风险均由乙方承担。</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 产品在规定的交付期限内由乙方送达甲方指定的交货地点并经甲方签收后视为交付，乙方同时必须在产品到达的当天立即通知甲方产品已送达。</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八、交货期、交货方式及交货地点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交货期：合同签订之日起30日历天内</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交货方式：乙方送货上门</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 交货地点：杭州萧山国际机场内或义乌机场内</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九、安装与验收</w:t>
      </w:r>
    </w:p>
    <w:p>
      <w:pPr>
        <w:pStyle w:val="140"/>
        <w:adjustRightInd w:val="0"/>
        <w:snapToGrid w:val="0"/>
        <w:spacing w:line="560" w:lineRule="exact"/>
        <w:ind w:firstLine="602" w:firstLineChars="200"/>
        <w:rPr>
          <w:rFonts w:ascii="仿宋_GB2312" w:hAnsi="宋体" w:eastAsia="仿宋_GB2312"/>
          <w:sz w:val="30"/>
          <w:szCs w:val="30"/>
        </w:rPr>
      </w:pPr>
      <w:r>
        <w:rPr>
          <w:rFonts w:hint="eastAsia" w:ascii="仿宋_GB2312" w:hAnsi="宋体" w:eastAsia="仿宋_GB2312"/>
          <w:b/>
          <w:sz w:val="30"/>
          <w:szCs w:val="30"/>
        </w:rPr>
        <w:t>1.</w:t>
      </w:r>
      <w:r>
        <w:rPr>
          <w:rFonts w:hint="eastAsia" w:ascii="仿宋_GB2312" w:hAnsi="宋体" w:eastAsia="仿宋_GB2312"/>
          <w:sz w:val="30"/>
          <w:szCs w:val="30"/>
        </w:rPr>
        <w:t>甲方对乙方交付的货物依据甲方要求和国家有关质量标准进行现场初步验收，产品外观、数量、品种、规格和说明书等资料符合甲方要求的，视为初步验收合格，给予签收，初步验收不合格的不予签收并在到货之日起【五】日内以书面或电话形式向乙方提出异议。乙方在甲方初步验收完毕后，负责在【七】日内完成现场安装、调试和试运行，确保设备正常运行。安装、调试完毕并满足验收合格条件后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五】日内以书面方式向乙方提出相关异议。</w:t>
      </w:r>
    </w:p>
    <w:p>
      <w:pPr>
        <w:pStyle w:val="140"/>
        <w:adjustRightInd w:val="0"/>
        <w:snapToGrid w:val="0"/>
        <w:spacing w:line="560" w:lineRule="exact"/>
        <w:ind w:firstLine="602" w:firstLineChars="200"/>
        <w:rPr>
          <w:rFonts w:ascii="仿宋_GB2312" w:hAnsi="宋体" w:eastAsia="仿宋_GB2312"/>
          <w:sz w:val="30"/>
          <w:szCs w:val="30"/>
        </w:rPr>
      </w:pPr>
      <w:r>
        <w:rPr>
          <w:rFonts w:hint="eastAsia" w:ascii="仿宋_GB2312" w:hAnsi="宋体" w:eastAsia="仿宋_GB2312"/>
          <w:b/>
          <w:sz w:val="30"/>
          <w:szCs w:val="30"/>
        </w:rPr>
        <w:t>2.</w:t>
      </w:r>
      <w:r>
        <w:rPr>
          <w:rFonts w:hint="eastAsia" w:ascii="仿宋_GB2312" w:hAnsi="宋体" w:eastAsia="仿宋_GB2312"/>
          <w:sz w:val="30"/>
          <w:szCs w:val="30"/>
        </w:rPr>
        <w:t>乙方交货前应对产品作出全面检查和对验收文件进行整理，并列出清单，作为甲方收货验收和使用的技术条件依据，乙方检验的结果应随货物交甲方。</w:t>
      </w:r>
    </w:p>
    <w:p>
      <w:pPr>
        <w:pStyle w:val="140"/>
        <w:adjustRightInd w:val="0"/>
        <w:snapToGrid w:val="0"/>
        <w:spacing w:line="560" w:lineRule="exact"/>
        <w:ind w:firstLine="602" w:firstLineChars="200"/>
        <w:rPr>
          <w:rFonts w:ascii="仿宋_GB2312" w:hAnsi="宋体" w:eastAsia="仿宋_GB2312"/>
          <w:sz w:val="30"/>
          <w:szCs w:val="30"/>
        </w:rPr>
      </w:pPr>
      <w:r>
        <w:rPr>
          <w:rFonts w:hint="eastAsia" w:ascii="仿宋_GB2312" w:hAnsi="宋体" w:eastAsia="仿宋_GB2312"/>
          <w:b/>
          <w:sz w:val="30"/>
          <w:szCs w:val="30"/>
        </w:rPr>
        <w:t>3.</w:t>
      </w:r>
      <w:r>
        <w:rPr>
          <w:rFonts w:hint="eastAsia" w:ascii="仿宋_GB2312" w:hAnsi="宋体" w:eastAsia="仿宋_GB2312"/>
          <w:sz w:val="30"/>
          <w:szCs w:val="30"/>
        </w:rPr>
        <w:t>乙方应当在收到甲方前述第1款异议之日起【三十】日内按甲方要求进行无偿换货、补发短缺部分或降低货价，以及继续进行调试以符合甲方要求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pStyle w:val="140"/>
        <w:adjustRightInd w:val="0"/>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4.具体的验收要求：</w:t>
      </w:r>
    </w:p>
    <w:p>
      <w:pPr>
        <w:spacing w:line="560" w:lineRule="exact"/>
        <w:ind w:left="420" w:firstLine="420"/>
        <w:rPr>
          <w:rFonts w:ascii="仿宋_GB2312" w:hAnsi="宋体" w:eastAsia="仿宋_GB2312" w:cs="Times New Roman"/>
          <w:sz w:val="30"/>
          <w:szCs w:val="30"/>
        </w:rPr>
      </w:pPr>
      <w:r>
        <w:rPr>
          <w:rFonts w:hint="eastAsia" w:ascii="仿宋_GB2312" w:hAnsi="宋体" w:eastAsia="仿宋_GB2312" w:cs="Times New Roman"/>
          <w:sz w:val="30"/>
          <w:szCs w:val="30"/>
        </w:rPr>
        <w:t>无动力拖车经调试、试运行合格之日后，由甲方和有关专家按验收项目进行</w:t>
      </w:r>
      <w:r>
        <w:rPr>
          <w:rFonts w:hint="eastAsia" w:ascii="仿宋_GB2312" w:hAnsi="宋体" w:eastAsia="仿宋_GB2312"/>
          <w:sz w:val="30"/>
          <w:szCs w:val="30"/>
        </w:rPr>
        <w:t>终验收</w:t>
      </w:r>
      <w:r>
        <w:rPr>
          <w:rFonts w:hint="eastAsia" w:ascii="仿宋_GB2312" w:hAnsi="宋体" w:eastAsia="仿宋_GB2312" w:cs="Times New Roman"/>
          <w:sz w:val="30"/>
          <w:szCs w:val="30"/>
        </w:rPr>
        <w:t>。</w:t>
      </w:r>
    </w:p>
    <w:p>
      <w:pPr>
        <w:spacing w:line="560" w:lineRule="exact"/>
        <w:ind w:left="420" w:firstLine="420"/>
        <w:rPr>
          <w:rFonts w:ascii="仿宋_GB2312" w:hAnsi="宋体" w:eastAsia="仿宋_GB2312" w:cs="Times New Roman"/>
          <w:sz w:val="30"/>
          <w:szCs w:val="30"/>
        </w:rPr>
      </w:pPr>
      <w:r>
        <w:rPr>
          <w:rFonts w:hint="eastAsia" w:ascii="仿宋_GB2312" w:hAnsi="宋体" w:eastAsia="仿宋_GB2312" w:cs="Times New Roman"/>
          <w:sz w:val="30"/>
          <w:szCs w:val="30"/>
        </w:rPr>
        <w:t>乙方在投标时必须提供验收项目的具体内容，供甲方批准。</w:t>
      </w:r>
    </w:p>
    <w:p>
      <w:pPr>
        <w:spacing w:line="560" w:lineRule="exact"/>
        <w:ind w:left="420" w:firstLine="420"/>
        <w:rPr>
          <w:rFonts w:ascii="仿宋_GB2312" w:hAnsi="宋体" w:eastAsia="仿宋_GB2312" w:cs="Times New Roman"/>
          <w:sz w:val="30"/>
          <w:szCs w:val="30"/>
        </w:rPr>
      </w:pPr>
      <w:r>
        <w:rPr>
          <w:rFonts w:hint="eastAsia" w:ascii="仿宋_GB2312" w:hAnsi="宋体" w:eastAsia="仿宋_GB2312" w:cs="Times New Roman"/>
          <w:sz w:val="30"/>
          <w:szCs w:val="30"/>
        </w:rPr>
        <w:t>在产品移交甲方之前，乙方应负责无动力拖车的保护、保养及清洁。</w:t>
      </w:r>
    </w:p>
    <w:p>
      <w:pPr>
        <w:spacing w:line="560" w:lineRule="exact"/>
        <w:ind w:left="420" w:firstLine="420"/>
        <w:rPr>
          <w:rFonts w:ascii="仿宋_GB2312" w:hAnsi="宋体" w:eastAsia="仿宋_GB2312" w:cs="Times New Roman"/>
          <w:sz w:val="30"/>
          <w:szCs w:val="30"/>
        </w:rPr>
      </w:pPr>
      <w:r>
        <w:rPr>
          <w:rFonts w:hint="eastAsia" w:ascii="仿宋_GB2312" w:hAnsi="宋体" w:eastAsia="仿宋_GB2312" w:cs="Times New Roman"/>
          <w:sz w:val="30"/>
          <w:szCs w:val="30"/>
        </w:rPr>
        <w:t>验收合格条件：</w:t>
      </w:r>
    </w:p>
    <w:p>
      <w:pPr>
        <w:pStyle w:val="141"/>
        <w:numPr>
          <w:ilvl w:val="0"/>
          <w:numId w:val="37"/>
        </w:numPr>
        <w:spacing w:line="560" w:lineRule="exact"/>
        <w:ind w:firstLineChars="0"/>
        <w:rPr>
          <w:rFonts w:ascii="仿宋_GB2312" w:hAnsi="宋体" w:eastAsia="仿宋_GB2312" w:cs="Times New Roman"/>
          <w:sz w:val="30"/>
          <w:szCs w:val="30"/>
        </w:rPr>
      </w:pPr>
      <w:r>
        <w:rPr>
          <w:rFonts w:hint="eastAsia" w:ascii="仿宋_GB2312" w:hAnsi="宋体" w:eastAsia="仿宋_GB2312" w:cs="Times New Roman"/>
          <w:sz w:val="30"/>
          <w:szCs w:val="30"/>
        </w:rPr>
        <w:t>试运行时，各项性能指标满足技术标书要求；</w:t>
      </w:r>
    </w:p>
    <w:p>
      <w:pPr>
        <w:pStyle w:val="141"/>
        <w:numPr>
          <w:ilvl w:val="0"/>
          <w:numId w:val="37"/>
        </w:numPr>
        <w:spacing w:line="560" w:lineRule="exact"/>
        <w:ind w:firstLineChars="0"/>
        <w:rPr>
          <w:rFonts w:ascii="仿宋_GB2312" w:hAnsi="宋体" w:eastAsia="仿宋_GB2312" w:cs="Times New Roman"/>
          <w:sz w:val="30"/>
          <w:szCs w:val="30"/>
        </w:rPr>
      </w:pPr>
      <w:r>
        <w:rPr>
          <w:rFonts w:hint="eastAsia" w:ascii="仿宋_GB2312" w:hAnsi="宋体" w:eastAsia="仿宋_GB2312" w:cs="Times New Roman"/>
          <w:sz w:val="30"/>
          <w:szCs w:val="30"/>
        </w:rPr>
        <w:t>调试和试运行时出现的问题已被解决，并得到甲方认可；</w:t>
      </w:r>
    </w:p>
    <w:p>
      <w:pPr>
        <w:pStyle w:val="141"/>
        <w:numPr>
          <w:ilvl w:val="0"/>
          <w:numId w:val="37"/>
        </w:numPr>
        <w:spacing w:line="560" w:lineRule="exact"/>
        <w:ind w:firstLineChars="0"/>
        <w:rPr>
          <w:rFonts w:ascii="仿宋_GB2312" w:hAnsi="宋体" w:eastAsia="仿宋_GB2312" w:cs="Times New Roman"/>
          <w:sz w:val="30"/>
          <w:szCs w:val="30"/>
        </w:rPr>
      </w:pPr>
      <w:r>
        <w:rPr>
          <w:rFonts w:hint="eastAsia" w:ascii="仿宋_GB2312" w:hAnsi="宋体" w:eastAsia="仿宋_GB2312" w:cs="Times New Roman"/>
          <w:sz w:val="30"/>
          <w:szCs w:val="30"/>
        </w:rPr>
        <w:t>已提供了投标文件范围内的全部货物和资料。</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十、货款支付</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1、甲乙双方共同根据合同的要求对设备完成安装调试，并进行使用验收且最终项目验收合格后，甲方收到乙方开具的税率为13%的增值税专用发票后15个工作日内，向乙方支付合同总价95%的货款</w:t>
      </w:r>
      <w:r>
        <w:rPr>
          <w:rFonts w:hint="eastAsia" w:ascii="仿宋_GB2312" w:hAnsi="仿宋" w:eastAsia="仿宋_GB2312"/>
          <w:sz w:val="28"/>
          <w:szCs w:val="28"/>
          <w:u w:val="single"/>
        </w:rPr>
        <w:t xml:space="preserve">¥       元（人民币：                      </w:t>
      </w:r>
      <w:r>
        <w:rPr>
          <w:rFonts w:hint="eastAsia" w:ascii="仿宋_GB2312" w:hAnsi="仿宋" w:eastAsia="仿宋_GB2312"/>
          <w:sz w:val="28"/>
          <w:szCs w:val="28"/>
        </w:rPr>
        <w:t xml:space="preserve">     </w:t>
      </w:r>
      <w:r>
        <w:rPr>
          <w:rFonts w:hint="eastAsia" w:ascii="仿宋_GB2312" w:hAnsi="仿宋" w:eastAsia="仿宋_GB2312"/>
          <w:sz w:val="28"/>
          <w:szCs w:val="28"/>
          <w:u w:val="single"/>
        </w:rPr>
        <w:t>元整 ）</w:t>
      </w:r>
      <w:r>
        <w:rPr>
          <w:rFonts w:hint="eastAsia" w:ascii="仿宋_GB2312" w:hAnsi="仿宋" w:eastAsia="仿宋_GB2312"/>
          <w:sz w:val="28"/>
          <w:szCs w:val="28"/>
        </w:rPr>
        <w:t>。</w:t>
      </w:r>
    </w:p>
    <w:p>
      <w:pPr>
        <w:pStyle w:val="46"/>
        <w:spacing w:before="150" w:after="150"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2、合同总价的5%合同款</w:t>
      </w:r>
      <w:r>
        <w:rPr>
          <w:rFonts w:hint="eastAsia" w:ascii="仿宋_GB2312" w:hAnsi="仿宋" w:eastAsia="仿宋_GB2312"/>
          <w:sz w:val="28"/>
          <w:szCs w:val="28"/>
          <w:u w:val="single"/>
        </w:rPr>
        <w:t>¥       元（人民币        元整）</w:t>
      </w:r>
      <w:r>
        <w:rPr>
          <w:rFonts w:hint="eastAsia" w:ascii="仿宋_GB2312" w:hAnsi="仿宋" w:eastAsia="仿宋_GB2312"/>
          <w:sz w:val="28"/>
          <w:szCs w:val="28"/>
        </w:rPr>
        <w:t>作为质量保证金。待质保期满后，由甲方确认其售后服务质量不存在任何违约情形后，一次性无息支付其质量保证金。</w:t>
      </w:r>
    </w:p>
    <w:p>
      <w:pPr>
        <w:pStyle w:val="46"/>
        <w:spacing w:before="150" w:after="150" w:line="560" w:lineRule="exact"/>
        <w:ind w:firstLine="602" w:firstLineChars="200"/>
        <w:rPr>
          <w:rFonts w:ascii="仿宋_GB2312" w:eastAsia="仿宋_GB2312"/>
          <w:b/>
          <w:color w:val="444444"/>
          <w:sz w:val="30"/>
          <w:szCs w:val="30"/>
          <w:lang w:val="zh-CN"/>
        </w:rPr>
      </w:pPr>
      <w:r>
        <w:rPr>
          <w:rFonts w:hint="eastAsia" w:ascii="仿宋_GB2312" w:eastAsia="仿宋_GB2312"/>
          <w:b/>
          <w:color w:val="444444"/>
          <w:sz w:val="30"/>
          <w:szCs w:val="30"/>
        </w:rPr>
        <w:t>十一、</w:t>
      </w:r>
      <w:r>
        <w:rPr>
          <w:rFonts w:hint="eastAsia" w:ascii="仿宋_GB2312" w:eastAsia="仿宋_GB2312"/>
          <w:b/>
          <w:color w:val="444444"/>
          <w:sz w:val="30"/>
          <w:szCs w:val="30"/>
          <w:lang w:val="zh-CN"/>
        </w:rPr>
        <w:t>履约保证金</w:t>
      </w:r>
    </w:p>
    <w:p>
      <w:pPr>
        <w:adjustRightInd w:val="0"/>
        <w:snapToGrid w:val="0"/>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1．乙方应在收到甲方中标通知书后【15】日内，向甲方支付合同总价的【10% 】作为履约保证金。如果逾期未缴纳，甲方有权解除本合同，并要求乙方承担由此给甲方造成的损失。</w:t>
      </w:r>
    </w:p>
    <w:p>
      <w:pPr>
        <w:adjustRightInd w:val="0"/>
        <w:snapToGrid w:val="0"/>
        <w:spacing w:line="560" w:lineRule="exact"/>
        <w:ind w:firstLine="560" w:firstLineChars="200"/>
        <w:rPr>
          <w:rFonts w:ascii="仿宋_GB2312" w:hAnsi="仿宋" w:eastAsia="仿宋_GB2312"/>
          <w:sz w:val="30"/>
          <w:szCs w:val="30"/>
        </w:rPr>
      </w:pPr>
      <w:r>
        <w:rPr>
          <w:rFonts w:hint="eastAsia" w:ascii="仿宋_GB2312" w:hAnsi="仿宋" w:eastAsia="仿宋_GB2312"/>
          <w:sz w:val="28"/>
          <w:szCs w:val="28"/>
        </w:rPr>
        <w:t>2．在合同履行期间，如果乙方存在违约情形，甲方有权优先从履约保证金中扣除相应款项，并书面通知乙方。乙方自收到书面通知之日起【15】日内补足履约保证金。如果乙方不及时补足履约保证金，视为乙方违约，甲方有权解除合同，并要求乙方承担相应的违约责任。待合同约定服务内容全部履行并完毕，乙方不存在任何违约情形并收到甲方书面认可后【15】日内，甲方无息返还履约保证金。</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十二、税费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本合同执行中相关的一切税费均由乙方负担。</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十三、免费质保期及服务内容</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乙方保证其所供应的产品符合相关产品质量标准以及本合同约定，不存在任何质量瑕疵或因质量瑕疵而导致的安全隐患，且为未经使用的全新产品。</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乙方应为产品提供【36】个月的免费质量保证期（“质保期”）(含工时费和零部件费)，时间自甲方最终签署安装验收合格报告之日起计算。</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 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乙方应承担维修、退换该产品的直接费用（运输、保险、检验、中国人民银行公布的同期货款基准利率及银行手续费、担保、抵押、法院执行措施所产生的费用等）以及由此给甲方造成的损失。</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 乙方提供【24】小时售后服务，在接到报修通知后，维修人员应在【2】小时内赶到杭州萧山国际机场或应在【3】小时内赶义乌机场，并连续进行维修，直到产品恢复正常并由甲方验收认可。修复部分的质保期自修复之日起重新开始计算。</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 免费质保期结束的【15】天前，乙方负责对产品进行一次全面的检修和维护，并由甲方验收认可。甲方验收认可并不免除乙方对于验收认可后发生的但尚在质保期限内的产品故障或损坏的维修、退换货义务。</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6、若乙方提供的产品属于伪劣产品或者假冒产品或者存在欺诈甲方的任何情形，使得甲方遭受损失，乙方应向甲方承担违约责任，同时，甲方可依法寻求其他法律救济。</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十四、违约责任</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甲方无故逾期支付货款的,甲方应按逾期付款总额每日【0.1】%向乙方支付违约金。</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 xml:space="preserve">2. 乙方逾期交付产品和本合同规定的文件资料的，或者未按甲方时间要求完成安装、调试和试运行并通过甲方终验收的，乙方应按合同总额每日【0.1】%向甲方支付违约金，由甲方从货款中扣除。逾期超过约定日期【15】个工作日的，甲方可解除本合同。乙方因逾期交货或因其他违约行为导致甲方解除合同的，乙方应返还甲方已支付的合同款项并向甲方支付合同总额【10】%的违约金，且全额没收乙方的履约保证金，如造成甲方损失超过违约金的，超出部分由乙方继续承担赔偿责任。 </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 乙方所交的产品品种、型号、规格、技术参数、质量不符合合同规定及招标文件规定标准的，甲方有权拒收该产品，或要求乙方更换产品；乙方因更换产品而逾期交货的，按乙方逾期交货处理。乙方拒绝更换产品的，甲方有权单方面解除合同，不予支付相应货款，并没收全部履约保证金。</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因乙方提供产品质量问题或者安装、调试和试运行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 乙方不在约定期限内派人维修或维修质量验收不合格的，甲方可以委托他人修理，费用由乙方承担，甲方与第三方确认费用后可直接从质量保证金中扣除；质量保证金不足以抵扣的，继续向乙方追偿。</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此产生采购迟延而导致的经营损失等。并且，甲方为主张和实现债权而发生的律师费、诉讼费、公证费等费用均由乙方承担。</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7．对于本合同项下乙方应支付的赔偿款或违约金，甲方有权从应付乙方的货款及履约保证金中直接扣除，不足的部分，继续向乙方追偿。</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十五、不可抗力事件处理</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在合同有效期内，任何一方因不可抗力事件导致不能履行合同，则合同履行期可延长，其延长期与不可抗力影响期相同。</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不可抗力事件发生后，遭遇不可抗力的一方应立即通知对方，并寄送有关官方权威机构出具的证明。</w:t>
      </w:r>
    </w:p>
    <w:p>
      <w:pPr>
        <w:spacing w:line="560" w:lineRule="exact"/>
        <w:ind w:firstLine="570" w:firstLineChars="190"/>
        <w:rPr>
          <w:rFonts w:ascii="仿宋_GB2312" w:hAnsi="仿宋" w:eastAsia="仿宋_GB2312"/>
          <w:sz w:val="30"/>
          <w:szCs w:val="30"/>
        </w:rPr>
      </w:pPr>
      <w:r>
        <w:rPr>
          <w:rFonts w:hint="eastAsia" w:ascii="仿宋_GB2312" w:hAnsi="仿宋" w:eastAsia="仿宋_GB2312"/>
          <w:sz w:val="30"/>
          <w:szCs w:val="30"/>
        </w:rPr>
        <w:t>3. 不可抗力事件延续【30】天以上，双方应通过友好协商，确定是否继续履行合同；如双方协商无法就延期履行合同达成一致的，任何一方均有权终止本合同，双方互不承担赔偿或违约责任。</w:t>
      </w:r>
    </w:p>
    <w:p>
      <w:pPr>
        <w:adjustRightInd w:val="0"/>
        <w:snapToGrid w:val="0"/>
        <w:spacing w:line="560" w:lineRule="exact"/>
        <w:ind w:firstLine="602"/>
        <w:rPr>
          <w:rFonts w:ascii="仿宋_GB2312" w:hAnsi="仿宋" w:eastAsia="仿宋_GB2312"/>
          <w:b/>
          <w:sz w:val="30"/>
          <w:szCs w:val="30"/>
        </w:rPr>
      </w:pPr>
      <w:r>
        <w:rPr>
          <w:rFonts w:hint="eastAsia" w:ascii="仿宋_GB2312" w:hAnsi="仿宋" w:eastAsia="仿宋_GB2312"/>
          <w:b/>
          <w:sz w:val="30"/>
          <w:szCs w:val="30"/>
        </w:rPr>
        <w:t>十六、争议解决</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双方在执行合同中所发生或与解释本合同有关的一切争议，应通过协商解决。如协商不成，由甲方所在地的人民法院管辖审理。</w:t>
      </w:r>
    </w:p>
    <w:p>
      <w:pPr>
        <w:adjustRightInd w:val="0"/>
        <w:snapToGrid w:val="0"/>
        <w:spacing w:line="56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十七、合同组成文件包含下列内容，且合同与招投标文件不一致时，解释顺序如下：</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1.本合同协议书</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2.中标通知书</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3.招标文件</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4.投标书及其附件</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5.标准、规范及有关技术文件</w:t>
      </w:r>
    </w:p>
    <w:p>
      <w:pPr>
        <w:adjustRightInd w:val="0"/>
        <w:snapToGrid w:val="0"/>
        <w:spacing w:line="560" w:lineRule="exact"/>
        <w:ind w:firstLine="602"/>
        <w:outlineLvl w:val="0"/>
        <w:rPr>
          <w:rFonts w:ascii="仿宋_GB2312" w:hAnsi="仿宋" w:eastAsia="仿宋_GB2312"/>
          <w:b/>
          <w:sz w:val="30"/>
          <w:szCs w:val="30"/>
        </w:rPr>
      </w:pPr>
      <w:r>
        <w:rPr>
          <w:rFonts w:hint="eastAsia" w:ascii="仿宋_GB2312" w:hAnsi="仿宋" w:eastAsia="仿宋_GB2312"/>
          <w:b/>
          <w:sz w:val="30"/>
          <w:szCs w:val="30"/>
        </w:rPr>
        <w:t>十八、合同生效及其它</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 合同经双方法定代表人或授权代表签字（包含签章）并加盖单位公章或者合同章之日起生效。</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 本合同附件为本合同不可分割部分，与本合同具有同等法律效力。</w:t>
      </w:r>
    </w:p>
    <w:p>
      <w:pPr>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3.本合同未尽事宜，双方可签订补充协议予以执行；未达成补充协议的，遵照《合同法》及有关法律法规执行。</w:t>
      </w:r>
    </w:p>
    <w:p>
      <w:pPr>
        <w:tabs>
          <w:tab w:val="right" w:pos="8306"/>
        </w:tabs>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4.本合同一式六份，甲执四份，乙方持二份，具有同等法律效力。</w:t>
      </w: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p>
    <w:p>
      <w:pPr>
        <w:widowControl/>
        <w:jc w:val="left"/>
        <w:rPr>
          <w:rFonts w:ascii="仿宋_GB2312" w:hAnsi="仿宋" w:eastAsia="仿宋_GB2312"/>
          <w:sz w:val="30"/>
          <w:szCs w:val="30"/>
        </w:rPr>
      </w:pPr>
      <w:r>
        <w:rPr>
          <w:rFonts w:ascii="仿宋_GB2312" w:hAnsi="仿宋" w:eastAsia="仿宋_GB2312"/>
          <w:sz w:val="30"/>
          <w:szCs w:val="30"/>
        </w:rPr>
        <w:br w:type="page"/>
      </w:r>
    </w:p>
    <w:p>
      <w:pPr>
        <w:tabs>
          <w:tab w:val="right" w:pos="8306"/>
        </w:tabs>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（以下为签署页）</w:t>
      </w:r>
    </w:p>
    <w:p>
      <w:pPr>
        <w:tabs>
          <w:tab w:val="right" w:pos="8306"/>
        </w:tabs>
        <w:adjustRightInd w:val="0"/>
        <w:snapToGrid w:val="0"/>
        <w:spacing w:line="560" w:lineRule="exact"/>
        <w:rPr>
          <w:rFonts w:ascii="仿宋_GB2312" w:hAnsi="仿宋" w:eastAsia="仿宋_GB2312"/>
          <w:sz w:val="30"/>
          <w:szCs w:val="30"/>
        </w:rPr>
      </w:pPr>
    </w:p>
    <w:p>
      <w:pPr>
        <w:tabs>
          <w:tab w:val="right" w:pos="8306"/>
        </w:tabs>
        <w:adjustRightInd w:val="0"/>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ab/>
      </w:r>
    </w:p>
    <w:p>
      <w:pPr>
        <w:adjustRightInd w:val="0"/>
        <w:snapToGrid w:val="0"/>
        <w:spacing w:line="560" w:lineRule="exact"/>
        <w:ind w:left="4800" w:hanging="4800" w:hangingChars="1600"/>
        <w:rPr>
          <w:rFonts w:ascii="仿宋_GB2312" w:hAnsi="仿宋" w:eastAsia="仿宋_GB2312"/>
          <w:sz w:val="30"/>
          <w:szCs w:val="30"/>
        </w:rPr>
      </w:pPr>
      <w:r>
        <w:rPr>
          <w:rFonts w:hint="eastAsia" w:ascii="仿宋_GB2312" w:hAnsi="仿宋" w:eastAsia="仿宋_GB2312"/>
          <w:sz w:val="30"/>
          <w:szCs w:val="30"/>
        </w:rPr>
        <w:t>甲方：  乙方：</w:t>
      </w:r>
    </w:p>
    <w:p>
      <w:pPr>
        <w:adjustRightInd w:val="0"/>
        <w:snapToGrid w:val="0"/>
        <w:spacing w:line="560" w:lineRule="exact"/>
        <w:ind w:firstLine="900" w:firstLineChars="300"/>
        <w:rPr>
          <w:rFonts w:ascii="仿宋_GB2312" w:hAnsi="仿宋" w:eastAsia="仿宋_GB2312"/>
          <w:sz w:val="30"/>
          <w:szCs w:val="30"/>
        </w:rPr>
      </w:pPr>
    </w:p>
    <w:p>
      <w:pPr>
        <w:adjustRightInd w:val="0"/>
        <w:snapToGrid w:val="0"/>
        <w:spacing w:line="560" w:lineRule="exact"/>
        <w:ind w:left="4560" w:leftChars="400" w:hanging="3600" w:hangingChars="1200"/>
        <w:rPr>
          <w:rFonts w:ascii="仿宋_GB2312" w:hAnsi="仿宋" w:eastAsia="仿宋_GB2312"/>
          <w:sz w:val="30"/>
          <w:szCs w:val="30"/>
        </w:rPr>
      </w:pPr>
    </w:p>
    <w:p>
      <w:pPr>
        <w:adjustRightInd w:val="0"/>
        <w:snapToGrid w:val="0"/>
        <w:spacing w:line="560" w:lineRule="exact"/>
        <w:ind w:left="6750" w:hanging="6750"/>
        <w:rPr>
          <w:rFonts w:ascii="仿宋_GB2312" w:hAnsi="仿宋" w:eastAsia="仿宋_GB2312"/>
          <w:sz w:val="30"/>
          <w:szCs w:val="30"/>
        </w:rPr>
      </w:pPr>
      <w:r>
        <w:rPr>
          <w:rFonts w:hint="eastAsia" w:ascii="仿宋_GB2312" w:hAnsi="仿宋" w:eastAsia="仿宋_GB2312"/>
          <w:sz w:val="30"/>
          <w:szCs w:val="30"/>
        </w:rPr>
        <w:t>地址：        地址：</w:t>
      </w:r>
    </w:p>
    <w:p>
      <w:pPr>
        <w:adjustRightInd w:val="0"/>
        <w:snapToGrid w:val="0"/>
        <w:spacing w:line="560" w:lineRule="exact"/>
        <w:ind w:left="6750" w:hanging="6750"/>
        <w:rPr>
          <w:rFonts w:ascii="仿宋_GB2312" w:hAnsi="仿宋" w:eastAsia="仿宋_GB2312"/>
          <w:sz w:val="30"/>
          <w:szCs w:val="30"/>
        </w:rPr>
      </w:pPr>
    </w:p>
    <w:p>
      <w:pPr>
        <w:adjustRightInd w:val="0"/>
        <w:snapToGrid w:val="0"/>
        <w:spacing w:line="560" w:lineRule="exact"/>
        <w:ind w:left="6750" w:hanging="6750"/>
        <w:rPr>
          <w:rFonts w:ascii="仿宋_GB2312" w:hAnsi="仿宋" w:eastAsia="仿宋_GB2312"/>
          <w:sz w:val="30"/>
          <w:szCs w:val="30"/>
        </w:rPr>
      </w:pPr>
    </w:p>
    <w:p>
      <w:pPr>
        <w:adjustRightInd w:val="0"/>
        <w:snapToGrid w:val="0"/>
        <w:spacing w:line="560" w:lineRule="exact"/>
        <w:rPr>
          <w:rFonts w:ascii="仿宋_GB2312" w:hAnsi="仿宋" w:eastAsia="仿宋_GB2312"/>
          <w:sz w:val="30"/>
          <w:szCs w:val="30"/>
        </w:rPr>
      </w:pPr>
      <w:r>
        <w:rPr>
          <w:rFonts w:hint="eastAsia" w:ascii="仿宋_GB2312" w:hAnsi="仿宋" w:eastAsia="仿宋_GB2312"/>
          <w:sz w:val="30"/>
          <w:szCs w:val="30"/>
        </w:rPr>
        <w:t>法定代表人：                     法定代表人：</w:t>
      </w:r>
    </w:p>
    <w:p>
      <w:pPr>
        <w:adjustRightInd w:val="0"/>
        <w:snapToGrid w:val="0"/>
        <w:spacing w:line="560" w:lineRule="exact"/>
        <w:rPr>
          <w:rFonts w:ascii="仿宋_GB2312" w:hAnsi="仿宋" w:eastAsia="仿宋_GB2312"/>
          <w:sz w:val="30"/>
          <w:szCs w:val="30"/>
        </w:rPr>
      </w:pPr>
      <w:r>
        <w:rPr>
          <w:rFonts w:hint="eastAsia" w:ascii="仿宋_GB2312" w:hAnsi="仿宋" w:eastAsia="仿宋_GB2312"/>
          <w:sz w:val="30"/>
          <w:szCs w:val="30"/>
        </w:rPr>
        <w:t>或                               或</w:t>
      </w:r>
    </w:p>
    <w:p>
      <w:pPr>
        <w:adjustRightInd w:val="0"/>
        <w:snapToGrid w:val="0"/>
        <w:spacing w:line="560" w:lineRule="exact"/>
        <w:rPr>
          <w:rFonts w:ascii="仿宋_GB2312" w:hAnsi="仿宋" w:eastAsia="仿宋_GB2312"/>
          <w:sz w:val="30"/>
          <w:szCs w:val="30"/>
        </w:rPr>
      </w:pPr>
      <w:r>
        <w:rPr>
          <w:rFonts w:hint="eastAsia" w:ascii="仿宋_GB2312" w:hAnsi="仿宋" w:eastAsia="仿宋_GB2312"/>
          <w:sz w:val="30"/>
          <w:szCs w:val="30"/>
        </w:rPr>
        <w:t>授权代表：                       授权代表：</w:t>
      </w:r>
    </w:p>
    <w:p>
      <w:pPr>
        <w:adjustRightInd w:val="0"/>
        <w:snapToGrid w:val="0"/>
        <w:spacing w:line="560" w:lineRule="exact"/>
        <w:rPr>
          <w:rFonts w:ascii="仿宋_GB2312" w:hAnsi="仿宋" w:eastAsia="仿宋_GB2312"/>
          <w:b/>
          <w:sz w:val="30"/>
          <w:szCs w:val="30"/>
        </w:rPr>
      </w:pPr>
      <w:r>
        <w:rPr>
          <w:rFonts w:hint="eastAsia" w:ascii="仿宋_GB2312" w:hAnsi="仿宋" w:eastAsia="仿宋_GB2312"/>
          <w:sz w:val="30"/>
          <w:szCs w:val="30"/>
        </w:rPr>
        <w:t xml:space="preserve">签字日期：                       签字日期： </w:t>
      </w:r>
    </w:p>
    <w:p>
      <w:pPr>
        <w:adjustRightInd w:val="0"/>
        <w:snapToGrid w:val="0"/>
        <w:spacing w:line="560" w:lineRule="exact"/>
        <w:ind w:firstLine="600" w:firstLineChars="200"/>
        <w:rPr>
          <w:rFonts w:ascii="仿宋_GB2312" w:hAnsi="仿宋" w:eastAsia="仿宋_GB2312"/>
          <w:b/>
          <w:sz w:val="30"/>
          <w:szCs w:val="30"/>
        </w:rPr>
      </w:pPr>
      <w:r>
        <w:rPr>
          <w:rFonts w:hint="eastAsia" w:ascii="仿宋_GB2312" w:hAnsi="仿宋" w:eastAsia="仿宋_GB2312"/>
          <w:sz w:val="30"/>
          <w:szCs w:val="30"/>
        </w:rPr>
        <w:t>年  月  日                      年  月  日</w:t>
      </w:r>
    </w:p>
    <w:p>
      <w:pPr>
        <w:spacing w:line="560" w:lineRule="exact"/>
        <w:ind w:firstLine="600" w:firstLineChars="200"/>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Pr>
        <w:spacing w:line="560" w:lineRule="exact"/>
        <w:rPr>
          <w:rFonts w:ascii="仿宋_GB2312" w:eastAsia="仿宋_GB2312"/>
          <w:sz w:val="30"/>
          <w:szCs w:val="30"/>
        </w:rPr>
      </w:pPr>
    </w:p>
    <w:p/>
    <w:p/>
    <w:p/>
    <w:p/>
    <w:p/>
    <w:p/>
    <w:p/>
    <w:p/>
    <w:p/>
    <w:p/>
    <w:p/>
    <w:p/>
    <w:p/>
    <w:p/>
    <w:p>
      <w:r>
        <w:rPr>
          <w:rFonts w:hint="eastAsia"/>
        </w:rPr>
        <w:t>附件1：浙江省机场集团有限公司廉洁自律承诺书</w:t>
      </w:r>
    </w:p>
    <w:p/>
    <w:p>
      <w:pPr>
        <w:pStyle w:val="124"/>
        <w:spacing w:line="360" w:lineRule="exact"/>
        <w:ind w:left="480" w:firstLine="723"/>
        <w:rPr>
          <w:rFonts w:ascii="宋体" w:hAnsi="宋体"/>
          <w:b/>
          <w:color w:val="auto"/>
          <w:sz w:val="36"/>
          <w:szCs w:val="36"/>
        </w:rPr>
      </w:pPr>
      <w:r>
        <w:rPr>
          <w:rFonts w:hint="eastAsia" w:ascii="宋体" w:hAnsi="宋体"/>
          <w:b/>
          <w:color w:val="auto"/>
          <w:sz w:val="36"/>
          <w:szCs w:val="36"/>
        </w:rPr>
        <w:t>浙江省机场集团有限公司廉洁自律承诺书</w:t>
      </w:r>
    </w:p>
    <w:p>
      <w:pPr>
        <w:pStyle w:val="129"/>
        <w:adjustRightInd w:val="0"/>
        <w:snapToGrid w:val="0"/>
        <w:ind w:firstLine="442"/>
        <w:jc w:val="left"/>
        <w:rPr>
          <w:rFonts w:ascii="宋体" w:hAnsi="宋体"/>
          <w:b/>
          <w:sz w:val="22"/>
          <w:szCs w:val="22"/>
        </w:rPr>
      </w:pPr>
    </w:p>
    <w:p>
      <w:pPr>
        <w:pStyle w:val="129"/>
        <w:adjustRightInd w:val="0"/>
        <w:snapToGrid w:val="0"/>
        <w:spacing w:line="560" w:lineRule="exact"/>
        <w:ind w:firstLine="0" w:firstLineChars="0"/>
        <w:jc w:val="left"/>
        <w:rPr>
          <w:rFonts w:ascii="宋体" w:hAnsi="宋体"/>
          <w:b/>
          <w:sz w:val="30"/>
          <w:szCs w:val="30"/>
        </w:rPr>
      </w:pPr>
      <w:r>
        <w:rPr>
          <w:rFonts w:hint="eastAsia" w:ascii="宋体" w:hAnsi="宋体"/>
          <w:b/>
          <w:sz w:val="36"/>
          <w:szCs w:val="36"/>
        </w:rPr>
        <w:t>浙江省机场集团有限公司</w:t>
      </w:r>
      <w:r>
        <w:rPr>
          <w:rFonts w:hint="eastAsia" w:ascii="宋体" w:hAnsi="宋体"/>
          <w:b/>
          <w:sz w:val="30"/>
          <w:szCs w:val="30"/>
        </w:rPr>
        <w:t>：</w:t>
      </w:r>
    </w:p>
    <w:p>
      <w:pPr>
        <w:pStyle w:val="129"/>
        <w:adjustRightInd w:val="0"/>
        <w:snapToGrid w:val="0"/>
        <w:spacing w:line="560" w:lineRule="exact"/>
        <w:ind w:firstLine="600"/>
        <w:jc w:val="left"/>
        <w:rPr>
          <w:rFonts w:ascii="宋体" w:hAnsi="宋体"/>
          <w:sz w:val="30"/>
          <w:szCs w:val="30"/>
        </w:rPr>
      </w:pPr>
      <w:r>
        <w:rPr>
          <w:rFonts w:hint="eastAsia" w:ascii="宋体" w:hAnsi="宋体"/>
          <w:sz w:val="30"/>
          <w:szCs w:val="30"/>
        </w:rPr>
        <w:t>我单位响应贵公司项目招标要求，参加项目投标。在投标过程中及中标后，我们将严格遵守国家法律法规和贵司招标文件要求，并郑重作出如下承诺和保证：</w:t>
      </w:r>
    </w:p>
    <w:p>
      <w:pPr>
        <w:pStyle w:val="129"/>
        <w:adjustRightInd w:val="0"/>
        <w:snapToGrid w:val="0"/>
        <w:spacing w:line="560" w:lineRule="exact"/>
        <w:ind w:firstLine="600"/>
        <w:jc w:val="left"/>
        <w:rPr>
          <w:rFonts w:ascii="宋体" w:hAnsi="宋体"/>
          <w:sz w:val="30"/>
          <w:szCs w:val="30"/>
        </w:rPr>
      </w:pPr>
      <w:r>
        <w:rPr>
          <w:rFonts w:hint="eastAsia" w:ascii="宋体" w:hAnsi="宋体"/>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129"/>
        <w:adjustRightInd w:val="0"/>
        <w:snapToGrid w:val="0"/>
        <w:spacing w:line="560" w:lineRule="exact"/>
        <w:ind w:firstLine="600"/>
        <w:jc w:val="left"/>
        <w:rPr>
          <w:rFonts w:ascii="宋体" w:hAnsi="宋体"/>
          <w:sz w:val="30"/>
          <w:szCs w:val="30"/>
        </w:rPr>
      </w:pPr>
      <w:r>
        <w:rPr>
          <w:rFonts w:hint="eastAsia" w:ascii="宋体" w:hAnsi="宋体"/>
          <w:sz w:val="30"/>
          <w:szCs w:val="30"/>
        </w:rPr>
        <w:t>二、不以任何名义为贵公司有关人员或项目第三方人员报销应由贵公司或个人支付的费用；</w:t>
      </w:r>
    </w:p>
    <w:p>
      <w:pPr>
        <w:pStyle w:val="129"/>
        <w:adjustRightInd w:val="0"/>
        <w:snapToGrid w:val="0"/>
        <w:spacing w:line="560" w:lineRule="exact"/>
        <w:ind w:firstLine="600"/>
        <w:jc w:val="left"/>
        <w:rPr>
          <w:rFonts w:ascii="宋体" w:hAnsi="宋体"/>
          <w:sz w:val="30"/>
          <w:szCs w:val="30"/>
        </w:rPr>
      </w:pPr>
      <w:r>
        <w:rPr>
          <w:rFonts w:hint="eastAsia" w:ascii="宋体" w:hAnsi="宋体"/>
          <w:sz w:val="30"/>
          <w:szCs w:val="30"/>
        </w:rPr>
        <w:t>三、不向贵公司有关人员或项目第三方人员提供宴请、旅游、和健身娱乐等活动；</w:t>
      </w:r>
    </w:p>
    <w:p>
      <w:pPr>
        <w:pStyle w:val="129"/>
        <w:adjustRightInd w:val="0"/>
        <w:snapToGrid w:val="0"/>
        <w:spacing w:line="560" w:lineRule="exact"/>
        <w:ind w:firstLine="600"/>
        <w:jc w:val="left"/>
        <w:rPr>
          <w:rFonts w:ascii="宋体" w:hAnsi="宋体"/>
          <w:sz w:val="30"/>
          <w:szCs w:val="30"/>
        </w:rPr>
      </w:pPr>
      <w:r>
        <w:rPr>
          <w:rFonts w:hint="eastAsia" w:ascii="宋体" w:hAnsi="宋体"/>
          <w:sz w:val="30"/>
          <w:szCs w:val="30"/>
        </w:rPr>
        <w:t>四、不为贵公司有关人员或项目第三方人员出国（境）、旅游等提供方便；</w:t>
      </w:r>
    </w:p>
    <w:p>
      <w:pPr>
        <w:pStyle w:val="129"/>
        <w:adjustRightInd w:val="0"/>
        <w:snapToGrid w:val="0"/>
        <w:spacing w:line="560" w:lineRule="exact"/>
        <w:ind w:firstLine="600"/>
        <w:jc w:val="left"/>
        <w:rPr>
          <w:rFonts w:ascii="宋体" w:hAnsi="宋体"/>
          <w:sz w:val="30"/>
          <w:szCs w:val="30"/>
        </w:rPr>
      </w:pPr>
      <w:r>
        <w:rPr>
          <w:rFonts w:hint="eastAsia" w:ascii="宋体" w:hAnsi="宋体"/>
          <w:sz w:val="30"/>
          <w:szCs w:val="30"/>
        </w:rPr>
        <w:t>五、不为贵公司有关人员或项目第三方人员个人装修住房、婚丧嫁娶、配偶子女工作安排等提供好处或便利条件；</w:t>
      </w:r>
    </w:p>
    <w:p>
      <w:pPr>
        <w:pStyle w:val="129"/>
        <w:adjustRightInd w:val="0"/>
        <w:snapToGrid w:val="0"/>
        <w:spacing w:line="560" w:lineRule="exact"/>
        <w:ind w:firstLine="600"/>
        <w:jc w:val="left"/>
        <w:rPr>
          <w:rFonts w:ascii="宋体" w:hAnsi="宋体"/>
          <w:sz w:val="30"/>
          <w:szCs w:val="30"/>
        </w:rPr>
      </w:pPr>
      <w:r>
        <w:rPr>
          <w:rFonts w:hint="eastAsia" w:ascii="宋体" w:hAnsi="宋体"/>
          <w:sz w:val="30"/>
          <w:szCs w:val="30"/>
        </w:rPr>
        <w:t>六、严格遵守国家招标投标法、</w:t>
      </w:r>
      <w:bookmarkStart w:id="407" w:name="_Hlk10634692"/>
      <w:r>
        <w:rPr>
          <w:rFonts w:hint="eastAsia" w:ascii="宋体" w:hAnsi="宋体"/>
          <w:sz w:val="30"/>
          <w:szCs w:val="30"/>
        </w:rPr>
        <w:t>政府采购法、</w:t>
      </w:r>
      <w:bookmarkEnd w:id="407"/>
      <w:r>
        <w:rPr>
          <w:rFonts w:hint="eastAsia" w:ascii="宋体" w:hAnsi="宋体"/>
          <w:sz w:val="30"/>
          <w:szCs w:val="30"/>
        </w:rPr>
        <w:t>合同法等法律规定，诚实守信，合法经营，坚决杜绝各种违法违纪行为。</w:t>
      </w:r>
    </w:p>
    <w:p>
      <w:pPr>
        <w:pStyle w:val="129"/>
        <w:adjustRightInd w:val="0"/>
        <w:snapToGrid w:val="0"/>
        <w:spacing w:line="560" w:lineRule="exact"/>
        <w:ind w:firstLine="600"/>
        <w:jc w:val="left"/>
        <w:rPr>
          <w:rFonts w:ascii="宋体" w:hAnsi="宋体"/>
          <w:sz w:val="30"/>
          <w:szCs w:val="30"/>
        </w:rPr>
      </w:pPr>
      <w:r>
        <w:rPr>
          <w:rFonts w:ascii="宋体" w:hAnsi="宋体"/>
          <w:sz w:val="30"/>
          <w:szCs w:val="30"/>
        </w:rPr>
        <w:t>七</w:t>
      </w:r>
      <w:r>
        <w:rPr>
          <w:rFonts w:hint="eastAsia" w:ascii="宋体" w:hAnsi="宋体"/>
          <w:sz w:val="30"/>
          <w:szCs w:val="30"/>
        </w:rPr>
        <w:t>、若发现贵公司有关人员或项目第三方人员有故意设置障碍或推诿刁难我方人员参与正常投标项目建设活动以索要好处等行为，我单位将及时向贵公司纪检监察部门举报，举报电话：0571－86661113。</w:t>
      </w:r>
    </w:p>
    <w:p>
      <w:pPr>
        <w:pStyle w:val="129"/>
        <w:adjustRightInd w:val="0"/>
        <w:snapToGrid w:val="0"/>
        <w:spacing w:line="560" w:lineRule="exact"/>
        <w:ind w:firstLineChars="0"/>
        <w:jc w:val="left"/>
        <w:rPr>
          <w:rFonts w:ascii="宋体" w:hAnsi="宋体"/>
          <w:sz w:val="30"/>
          <w:szCs w:val="30"/>
        </w:rPr>
      </w:pPr>
      <w:r>
        <w:rPr>
          <w:rFonts w:hint="eastAsia" w:ascii="宋体" w:hAnsi="宋体"/>
          <w:sz w:val="30"/>
          <w:szCs w:val="30"/>
        </w:rPr>
        <w:t>八、如违反上述廉洁自律承诺，由此引起的相应损失均由我单位承担，且贵公司有权：</w:t>
      </w:r>
    </w:p>
    <w:p>
      <w:pPr>
        <w:pStyle w:val="129"/>
        <w:numPr>
          <w:ilvl w:val="0"/>
          <w:numId w:val="38"/>
        </w:numPr>
        <w:adjustRightInd w:val="0"/>
        <w:snapToGrid w:val="0"/>
        <w:spacing w:line="560" w:lineRule="exact"/>
        <w:ind w:firstLineChars="0"/>
        <w:jc w:val="left"/>
        <w:rPr>
          <w:rFonts w:ascii="宋体" w:hAnsi="宋体"/>
          <w:sz w:val="30"/>
          <w:szCs w:val="30"/>
        </w:rPr>
      </w:pPr>
      <w:r>
        <w:rPr>
          <w:rFonts w:hint="eastAsia" w:ascii="宋体" w:hAnsi="宋体"/>
          <w:sz w:val="30"/>
          <w:szCs w:val="30"/>
        </w:rPr>
        <w:t>立即取消我单位投标、中标或在建项目的实施资格；</w:t>
      </w:r>
    </w:p>
    <w:p>
      <w:pPr>
        <w:pStyle w:val="129"/>
        <w:numPr>
          <w:ilvl w:val="0"/>
          <w:numId w:val="38"/>
        </w:numPr>
        <w:adjustRightInd w:val="0"/>
        <w:snapToGrid w:val="0"/>
        <w:spacing w:line="560" w:lineRule="exact"/>
        <w:ind w:firstLineChars="0"/>
        <w:jc w:val="left"/>
        <w:rPr>
          <w:rFonts w:ascii="宋体" w:hAnsi="宋体"/>
          <w:sz w:val="30"/>
          <w:szCs w:val="30"/>
        </w:rPr>
      </w:pPr>
      <w:r>
        <w:rPr>
          <w:rFonts w:hint="eastAsia" w:ascii="宋体" w:hAnsi="宋体"/>
          <w:sz w:val="30"/>
          <w:szCs w:val="30"/>
        </w:rPr>
        <w:t>扣除我方向贵公司缴纳的履约保证金的10%作为违反廉洁自律承诺的违约金。如该违约金不足以弥补贵公司损失的，我单位仍将承担实际损失赔偿责任；</w:t>
      </w:r>
    </w:p>
    <w:p>
      <w:pPr>
        <w:pStyle w:val="129"/>
        <w:numPr>
          <w:ilvl w:val="0"/>
          <w:numId w:val="38"/>
        </w:numPr>
        <w:adjustRightInd w:val="0"/>
        <w:snapToGrid w:val="0"/>
        <w:spacing w:line="560" w:lineRule="exact"/>
        <w:ind w:firstLineChars="0"/>
        <w:jc w:val="left"/>
        <w:rPr>
          <w:rFonts w:ascii="宋体" w:hAnsi="宋体"/>
          <w:sz w:val="30"/>
          <w:szCs w:val="30"/>
        </w:rPr>
      </w:pPr>
      <w:r>
        <w:rPr>
          <w:rFonts w:hint="eastAsia" w:ascii="宋体" w:hAnsi="宋体"/>
          <w:sz w:val="30"/>
          <w:szCs w:val="30"/>
        </w:rPr>
        <w:t>拒绝我单位在一定时期内进入贵公司进行项目建设或其它经营活动。</w:t>
      </w:r>
    </w:p>
    <w:p>
      <w:pPr>
        <w:pStyle w:val="129"/>
        <w:adjustRightInd w:val="0"/>
        <w:snapToGrid w:val="0"/>
        <w:spacing w:line="560" w:lineRule="exact"/>
        <w:ind w:firstLine="600"/>
        <w:jc w:val="left"/>
        <w:rPr>
          <w:rFonts w:ascii="宋体" w:hAnsi="宋体"/>
          <w:sz w:val="30"/>
          <w:szCs w:val="30"/>
        </w:rPr>
      </w:pPr>
    </w:p>
    <w:p>
      <w:pPr>
        <w:pStyle w:val="129"/>
        <w:adjustRightInd w:val="0"/>
        <w:snapToGrid w:val="0"/>
        <w:spacing w:line="560" w:lineRule="exact"/>
        <w:ind w:firstLine="600"/>
        <w:jc w:val="left"/>
        <w:rPr>
          <w:rFonts w:ascii="宋体" w:hAnsi="宋体"/>
          <w:sz w:val="30"/>
          <w:szCs w:val="30"/>
        </w:rPr>
      </w:pPr>
      <w:r>
        <w:rPr>
          <w:rFonts w:hint="eastAsia" w:ascii="宋体" w:hAnsi="宋体"/>
          <w:sz w:val="30"/>
          <w:szCs w:val="30"/>
        </w:rPr>
        <w:t xml:space="preserve">承诺人单位名称（盖章）：            </w:t>
      </w:r>
    </w:p>
    <w:p>
      <w:pPr>
        <w:pStyle w:val="129"/>
        <w:adjustRightInd w:val="0"/>
        <w:snapToGrid w:val="0"/>
        <w:spacing w:line="560" w:lineRule="exact"/>
        <w:ind w:firstLine="600"/>
        <w:jc w:val="left"/>
        <w:rPr>
          <w:rFonts w:ascii="宋体" w:hAnsi="宋体"/>
          <w:sz w:val="30"/>
          <w:szCs w:val="30"/>
        </w:rPr>
      </w:pPr>
      <w:r>
        <w:rPr>
          <w:rFonts w:hint="eastAsia" w:ascii="宋体" w:hAnsi="宋体"/>
          <w:sz w:val="30"/>
          <w:szCs w:val="30"/>
        </w:rPr>
        <w:t xml:space="preserve">法定代表人 ：                    </w:t>
      </w:r>
    </w:p>
    <w:p>
      <w:pPr>
        <w:pStyle w:val="129"/>
        <w:adjustRightInd w:val="0"/>
        <w:snapToGrid w:val="0"/>
        <w:spacing w:line="560" w:lineRule="exact"/>
        <w:ind w:firstLine="600"/>
        <w:jc w:val="left"/>
        <w:rPr>
          <w:rFonts w:ascii="宋体" w:hAnsi="宋体"/>
          <w:sz w:val="30"/>
          <w:szCs w:val="30"/>
        </w:rPr>
      </w:pPr>
      <w:r>
        <w:rPr>
          <w:rFonts w:hint="eastAsia" w:ascii="宋体" w:hAnsi="宋体"/>
          <w:sz w:val="30"/>
          <w:szCs w:val="30"/>
        </w:rPr>
        <w:t xml:space="preserve">或                            </w:t>
      </w:r>
    </w:p>
    <w:p>
      <w:pPr>
        <w:pStyle w:val="129"/>
        <w:adjustRightInd w:val="0"/>
        <w:snapToGrid w:val="0"/>
        <w:spacing w:line="560" w:lineRule="exact"/>
        <w:ind w:firstLine="600"/>
        <w:jc w:val="left"/>
        <w:rPr>
          <w:rFonts w:ascii="宋体" w:hAnsi="宋体"/>
          <w:sz w:val="30"/>
          <w:szCs w:val="30"/>
        </w:rPr>
      </w:pPr>
      <w:r>
        <w:rPr>
          <w:rFonts w:hint="eastAsia" w:ascii="宋体" w:hAnsi="宋体"/>
          <w:sz w:val="30"/>
          <w:szCs w:val="30"/>
        </w:rPr>
        <w:t xml:space="preserve">委托代理人：                   </w:t>
      </w:r>
    </w:p>
    <w:p>
      <w:pPr>
        <w:pStyle w:val="129"/>
        <w:adjustRightInd w:val="0"/>
        <w:snapToGrid w:val="0"/>
        <w:spacing w:line="560" w:lineRule="exact"/>
        <w:ind w:firstLine="602"/>
        <w:jc w:val="left"/>
        <w:rPr>
          <w:rFonts w:ascii="宋体" w:hAnsi="宋体"/>
          <w:b/>
          <w:sz w:val="30"/>
          <w:szCs w:val="30"/>
        </w:rPr>
      </w:pPr>
    </w:p>
    <w:p>
      <w:pPr>
        <w:pStyle w:val="48"/>
        <w:spacing w:line="560" w:lineRule="exact"/>
        <w:ind w:left="480" w:firstLine="602"/>
        <w:rPr>
          <w:rFonts w:ascii="宋体" w:hAnsi="宋体" w:eastAsia="宋体"/>
          <w:b w:val="0"/>
          <w:sz w:val="30"/>
          <w:szCs w:val="30"/>
        </w:rPr>
      </w:pPr>
      <w:r>
        <w:rPr>
          <w:rFonts w:hint="eastAsia" w:ascii="宋体" w:hAnsi="宋体" w:eastAsia="宋体"/>
          <w:b w:val="0"/>
          <w:sz w:val="30"/>
          <w:szCs w:val="30"/>
        </w:rPr>
        <w:t>年    月     日</w:t>
      </w:r>
    </w:p>
    <w:p>
      <w:pPr>
        <w:rPr>
          <w:rFonts w:ascii="宋体" w:hAnsi="宋体"/>
        </w:rPr>
      </w:pPr>
    </w:p>
    <w:p/>
    <w:p/>
    <w:p/>
    <w:p/>
    <w:p/>
    <w:p/>
    <w:p/>
    <w:p/>
    <w:p/>
    <w:p/>
    <w:p/>
    <w:p/>
    <w:p/>
    <w:p/>
    <w:p/>
    <w:p/>
    <w:p/>
    <w:p/>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附件2：保密承诺书</w:t>
      </w:r>
    </w:p>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保密承诺书</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我方愿成为浙江省机场集团有限公司（包括其关联公司，以下合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1.1商业秘密是指机场公司一切专有、不对外公开的资料和信息。包括但不限于以下方面：</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（1）经营信息（发展规划、运营状况、客户资源、货源情报、投融资计划、开发计划、标书等）；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（2）管理信息（管理方法、管理制度、员工管理、合同管理、纠纷管理等）；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（3）产品及技术信息（设计及图纸、样品及服务、技术方案、质量标准、技术标准、计算机程序等）；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（4）财务信息（财务收支、固定资产、流动资金、成本核算等）；</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（5）我方单独或机场公司和我方共同为机场公司开发、设计、生产的产品、资料及相关信息；</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（6）其他机场公司未对外公开的有关营运、计划、航班数据、标准、开发、生产、经营、质量管理控制和租赁的资料和数据等信息以及对供应商的管理文件。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1.2、机场公司向我方披露商业秘密可以通过数据、文字及记载这些内容的文件、光盘、软件、图书等有形媒介体现，也可通过口头、录音等视听形式体现，或者是通过参观机场公司开发的设备、运营程序而眼见的。我方一旦接触商业秘密，应立即采取保密措施。除非机场公司书面同意解禁该秘密，机场公司商业秘密的保密期限为永久。</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1.3、对于上述提及的商业秘密，不能仅因为公开发表的文章或资讯中包含其内容，就认为是可对外公开的特殊情况。</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1.4、以下资料不属于本承诺所指的商业秘密：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（1）我方从机场公司拟获悉之前已持有的我方无需承担保密义务的机场公司有关资料(但通过其它违约或侵权行为而获得的资料除外)；</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（2）已经公开或已成为公众所知悉的常识性的资料，且该等公开并非因违反本承诺所致。</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我方承诺将严格保密，维护机场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的商业秘密之日起，即能清楚地了解并自觉遵守其应尽的保密责任。若我方员工因任何原因未能履行本承诺所述的保密义务，则视为我方违反了本承诺。</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3、当合同履行完毕、合同终止或经机场公司要求，我方应立即返还或根据机场公司书面要求销毁所有含有商业秘密或我方在接触商业秘密后而产生的资料，以及由我方持有的任何复制品</w:t>
      </w:r>
      <w:bookmarkStart w:id="408" w:name="_Hlk10634806"/>
      <w:r>
        <w:rPr>
          <w:rFonts w:hint="eastAsia" w:ascii="仿宋_GB2312" w:hAnsi="仿宋_GB2312" w:eastAsia="仿宋_GB2312" w:cs="仿宋_GB2312"/>
          <w:sz w:val="28"/>
          <w:szCs w:val="28"/>
        </w:rPr>
        <w:t>，并提供相应书面证明</w:t>
      </w:r>
      <w:bookmarkEnd w:id="408"/>
      <w:r>
        <w:rPr>
          <w:rFonts w:hint="eastAsia" w:ascii="仿宋_GB2312" w:hAnsi="仿宋_GB2312" w:eastAsia="仿宋_GB2312" w:cs="仿宋_GB2312"/>
          <w:sz w:val="28"/>
          <w:szCs w:val="28"/>
        </w:rPr>
        <w:t>。</w:t>
      </w:r>
    </w:p>
    <w:p>
      <w:pPr>
        <w:spacing w:line="560" w:lineRule="exact"/>
        <w:rPr>
          <w:rFonts w:ascii="仿宋_GB2312" w:hAnsi="仿宋_GB2312" w:eastAsia="仿宋_GB2312" w:cs="仿宋_GB2312"/>
          <w:sz w:val="28"/>
          <w:szCs w:val="28"/>
        </w:rPr>
      </w:pP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（1）披露、使用或者允许他人以不正当手段获取的商业秘密；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（2）为机场公司以外的第三人窃取、刺探、收买、非法提供商业秘密。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（3）在电子公告系统、聊天系统、电子邮箱、论坛等计算机网络系统上传递、转发、抄送、发布、谈论和传播商业秘密；</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（5）擅自将属于商业秘密的文件、资料和其他物品携带、传递、寄运出机场公司办公场所或国（境）外。</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（6）未经机场公司同意就以任何方式私自保存、截留含有机场公司商业秘密的任何形式资料、文件和物品的复印件、复制品、副本。</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（7）将含有机场公司商业秘密的产品、技术或其他资料、信息向第三人销售、使用或以任何方式提供。</w:t>
      </w:r>
    </w:p>
    <w:p>
      <w:pPr>
        <w:adjustRightInd w:val="0"/>
        <w:snapToGrid w:val="0"/>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5、我方依法根据司法机关、侦查机关、或政府机构的合法指令而透露有关资料不属于违反保密义务。此情况之下，我方必须在</w:t>
      </w:r>
      <w:bookmarkStart w:id="409" w:name="_Hlk10634818"/>
      <w:r>
        <w:rPr>
          <w:rFonts w:hint="eastAsia" w:ascii="仿宋_GB2312" w:hAnsi="仿宋_GB2312" w:eastAsia="仿宋_GB2312" w:cs="仿宋_GB2312"/>
          <w:sz w:val="28"/>
          <w:szCs w:val="28"/>
        </w:rPr>
        <w:t>收到该等指令之后</w:t>
      </w:r>
      <w:bookmarkEnd w:id="409"/>
      <w:r>
        <w:rPr>
          <w:rFonts w:hint="eastAsia" w:ascii="仿宋_GB2312" w:hAnsi="仿宋_GB2312" w:eastAsia="仿宋_GB2312" w:cs="仿宋_GB2312"/>
          <w:sz w:val="28"/>
          <w:szCs w:val="28"/>
        </w:rPr>
        <w:t>和透露</w:t>
      </w:r>
      <w:bookmarkStart w:id="410" w:name="_Hlk10634824"/>
      <w:r>
        <w:rPr>
          <w:rFonts w:hint="eastAsia" w:ascii="仿宋_GB2312" w:hAnsi="仿宋_GB2312" w:eastAsia="仿宋_GB2312" w:cs="仿宋_GB2312"/>
          <w:sz w:val="28"/>
          <w:szCs w:val="28"/>
        </w:rPr>
        <w:t>有关资料</w:t>
      </w:r>
      <w:bookmarkEnd w:id="410"/>
      <w:r>
        <w:rPr>
          <w:rFonts w:hint="eastAsia" w:ascii="仿宋_GB2312" w:hAnsi="仿宋_GB2312" w:eastAsia="仿宋_GB2312" w:cs="仿宋_GB2312"/>
          <w:sz w:val="28"/>
          <w:szCs w:val="28"/>
        </w:rPr>
        <w:t>之前</w:t>
      </w:r>
      <w:bookmarkStart w:id="411" w:name="_Hlk10634829"/>
      <w:r>
        <w:rPr>
          <w:rFonts w:hint="eastAsia" w:ascii="仿宋_GB2312" w:hAnsi="仿宋_GB2312" w:eastAsia="仿宋_GB2312" w:cs="仿宋_GB2312"/>
          <w:sz w:val="28"/>
          <w:szCs w:val="28"/>
        </w:rPr>
        <w:t>立即书面</w:t>
      </w:r>
      <w:bookmarkEnd w:id="411"/>
      <w:r>
        <w:rPr>
          <w:rFonts w:hint="eastAsia" w:ascii="仿宋_GB2312" w:hAnsi="仿宋_GB2312" w:eastAsia="仿宋_GB2312" w:cs="仿宋_GB2312"/>
          <w:sz w:val="28"/>
          <w:szCs w:val="28"/>
        </w:rPr>
        <w:t>通知机场公司，使机场公司有机会采取合法措施进行答辩与解释；并且我方应只得透露法律上要求透露的部分机密资料。</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6、我方发生上述违约行为时，机场公司有权要求我方立即停止</w:t>
      </w:r>
      <w:bookmarkStart w:id="412" w:name="_Hlk10634849"/>
      <w:r>
        <w:rPr>
          <w:rFonts w:hint="eastAsia" w:ascii="仿宋_GB2312" w:hAnsi="仿宋_GB2312" w:eastAsia="仿宋_GB2312" w:cs="仿宋_GB2312"/>
          <w:sz w:val="28"/>
          <w:szCs w:val="28"/>
        </w:rPr>
        <w:t>所有违约、</w:t>
      </w:r>
      <w:bookmarkEnd w:id="412"/>
      <w:r>
        <w:rPr>
          <w:rFonts w:hint="eastAsia" w:ascii="仿宋_GB2312" w:hAnsi="仿宋_GB2312" w:eastAsia="仿宋_GB2312" w:cs="仿宋_GB2312"/>
          <w:sz w:val="28"/>
          <w:szCs w:val="28"/>
        </w:rPr>
        <w:t>侵权行为和进一步的对外泄露或滥用，并要求我方采取一切合理的补救措施，并有权终止我方</w:t>
      </w:r>
      <w:bookmarkStart w:id="413" w:name="_Hlk10634867"/>
      <w:r>
        <w:rPr>
          <w:rFonts w:hint="eastAsia" w:ascii="仿宋_GB2312" w:hAnsi="仿宋_GB2312" w:eastAsia="仿宋_GB2312" w:cs="仿宋_GB2312"/>
          <w:sz w:val="28"/>
          <w:szCs w:val="28"/>
        </w:rPr>
        <w:t>与机场公司</w:t>
      </w:r>
      <w:bookmarkEnd w:id="413"/>
      <w:r>
        <w:rPr>
          <w:rFonts w:hint="eastAsia" w:ascii="仿宋_GB2312" w:hAnsi="仿宋_GB2312" w:eastAsia="仿宋_GB2312" w:cs="仿宋_GB2312"/>
          <w:sz w:val="28"/>
          <w:szCs w:val="28"/>
        </w:rPr>
        <w:t>正在执行的其他合同，而机场公司无需对此承担任何责任。</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我方已理解和承认，任何违反本承诺的对外泄露或擅自使用商业秘密，将对机场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8、违约责任</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8.1因我方违反保密义务的行为造成机场公司的一切损失，我方应当全部予以赔偿。</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8.2如我方违反本承诺书下保密义务，应当承担违约责任，除赔偿损失外，还应依据合同向机场公司支付相应的违约金；</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9、本承诺书适用中华人民共和国法律，如因履行本承诺书发生争议，则任何一方均有权向</w:t>
      </w:r>
      <w:bookmarkStart w:id="414" w:name="_Hlk10634915"/>
      <w:r>
        <w:rPr>
          <w:rFonts w:hint="eastAsia" w:ascii="仿宋_GB2312" w:hAnsi="仿宋_GB2312" w:eastAsia="仿宋_GB2312" w:cs="仿宋_GB2312"/>
          <w:sz w:val="28"/>
          <w:szCs w:val="28"/>
        </w:rPr>
        <w:t>浙江省机场集团有限</w:t>
      </w:r>
      <w:bookmarkEnd w:id="414"/>
      <w:r>
        <w:rPr>
          <w:rFonts w:hint="eastAsia" w:ascii="仿宋_GB2312" w:hAnsi="仿宋_GB2312" w:eastAsia="仿宋_GB2312" w:cs="仿宋_GB2312"/>
          <w:sz w:val="28"/>
          <w:szCs w:val="28"/>
        </w:rPr>
        <w:t>公司所在地法院提起诉讼。</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供应商(盖章):</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法定代表人或授权代表：</w:t>
      </w: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电话/传真：</w:t>
      </w:r>
    </w:p>
    <w:p>
      <w:pPr>
        <w:spacing w:line="560" w:lineRule="exact"/>
        <w:jc w:val="center"/>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地址：</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日期：     年   月   日</w:t>
      </w:r>
    </w:p>
    <w:bookmarkEnd w:id="403"/>
    <w:bookmarkEnd w:id="404"/>
    <w:p>
      <w:pPr>
        <w:pStyle w:val="124"/>
        <w:spacing w:line="360" w:lineRule="exact"/>
        <w:ind w:firstLine="0" w:firstLineChars="0"/>
        <w:jc w:val="center"/>
        <w:rPr>
          <w:rFonts w:ascii="Calibri" w:hAnsi="Calibri" w:eastAsia="黑体" w:cs="Calibri"/>
          <w:kern w:val="0"/>
          <w:sz w:val="32"/>
        </w:rPr>
      </w:pPr>
      <w:r>
        <w:rPr>
          <w:rFonts w:hint="eastAsia" w:ascii="Calibri" w:hAnsi="Calibri" w:eastAsia="黑体" w:cs="Calibri"/>
          <w:kern w:val="0"/>
          <w:sz w:val="32"/>
        </w:rPr>
        <w:t>第五章</w:t>
      </w:r>
      <w:r>
        <w:rPr>
          <w:rFonts w:ascii="Calibri" w:hAnsi="Calibri" w:eastAsia="黑体" w:cs="Calibri"/>
          <w:kern w:val="0"/>
          <w:sz w:val="32"/>
        </w:rPr>
        <w:t xml:space="preserve">  </w:t>
      </w:r>
      <w:r>
        <w:rPr>
          <w:rFonts w:hint="eastAsia" w:ascii="Calibri" w:hAnsi="Calibri" w:eastAsia="黑体" w:cs="Calibri"/>
          <w:kern w:val="0"/>
          <w:sz w:val="32"/>
        </w:rPr>
        <w:t>评标方法及标准</w:t>
      </w:r>
    </w:p>
    <w:p>
      <w:pPr>
        <w:pStyle w:val="29"/>
        <w:spacing w:line="360" w:lineRule="exact"/>
        <w:ind w:firstLine="420"/>
        <w:rPr>
          <w:rFonts w:hAnsi="宋体" w:cs="Calibri"/>
          <w:bCs/>
          <w:sz w:val="22"/>
          <w:szCs w:val="22"/>
        </w:rPr>
      </w:pPr>
      <w:r>
        <w:rPr>
          <w:rFonts w:hint="eastAsia"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29"/>
        <w:spacing w:line="360" w:lineRule="exact"/>
        <w:rPr>
          <w:rFonts w:hAnsi="宋体" w:cs="Calibri"/>
          <w:b/>
          <w:bCs/>
          <w:sz w:val="22"/>
          <w:szCs w:val="22"/>
        </w:rPr>
      </w:pPr>
      <w:r>
        <w:rPr>
          <w:rFonts w:hint="eastAsia" w:hAnsi="宋体" w:cs="Calibri"/>
          <w:b/>
          <w:bCs/>
          <w:sz w:val="22"/>
          <w:szCs w:val="22"/>
        </w:rPr>
        <w:t>一、评标原则</w:t>
      </w:r>
    </w:p>
    <w:p>
      <w:pPr>
        <w:pStyle w:val="29"/>
        <w:spacing w:line="360" w:lineRule="exact"/>
        <w:ind w:firstLine="420"/>
        <w:rPr>
          <w:rFonts w:hAnsi="宋体" w:cs="Calibri"/>
          <w:sz w:val="22"/>
          <w:szCs w:val="22"/>
        </w:rPr>
      </w:pPr>
      <w:r>
        <w:rPr>
          <w:rFonts w:hint="eastAsia" w:hAnsi="宋体" w:cs="Calibri"/>
          <w:bCs/>
          <w:sz w:val="22"/>
          <w:szCs w:val="22"/>
        </w:rPr>
        <w:t>评标应遵循公平、公正、科学、择优的原则。</w:t>
      </w:r>
    </w:p>
    <w:p>
      <w:pPr>
        <w:pStyle w:val="29"/>
        <w:spacing w:line="360" w:lineRule="exact"/>
        <w:rPr>
          <w:rFonts w:hAnsi="宋体" w:cs="Calibri"/>
          <w:b/>
          <w:bCs/>
          <w:sz w:val="22"/>
          <w:szCs w:val="22"/>
        </w:rPr>
      </w:pPr>
      <w:r>
        <w:rPr>
          <w:rFonts w:hint="eastAsia" w:hAnsi="宋体" w:cs="Calibri"/>
          <w:b/>
          <w:bCs/>
          <w:sz w:val="22"/>
          <w:szCs w:val="22"/>
        </w:rPr>
        <w:t>二、评标组织</w:t>
      </w:r>
    </w:p>
    <w:p>
      <w:pPr>
        <w:pStyle w:val="29"/>
        <w:spacing w:line="360" w:lineRule="exact"/>
        <w:ind w:firstLine="420"/>
        <w:rPr>
          <w:rFonts w:hAnsi="宋体" w:cs="Calibri"/>
          <w:sz w:val="22"/>
          <w:szCs w:val="22"/>
        </w:rPr>
      </w:pPr>
      <w:r>
        <w:rPr>
          <w:rFonts w:hint="eastAsia" w:hAnsi="宋体" w:cs="Calibri"/>
          <w:sz w:val="22"/>
          <w:szCs w:val="22"/>
        </w:rPr>
        <w:t>评标工作由招标人依法组建的评标委员会（小组）负责。评标委员会成员为3人及以上单数，</w:t>
      </w:r>
      <w:r>
        <w:rPr>
          <w:rFonts w:hint="eastAsia" w:hAnsi="宋体"/>
          <w:sz w:val="22"/>
          <w:szCs w:val="22"/>
        </w:rPr>
        <w:t>评标委员会由招标人自行组建。</w:t>
      </w:r>
    </w:p>
    <w:p>
      <w:pPr>
        <w:pStyle w:val="29"/>
        <w:spacing w:line="360" w:lineRule="exact"/>
        <w:rPr>
          <w:rFonts w:hAnsi="宋体" w:cs="Calibri"/>
          <w:b/>
          <w:bCs/>
          <w:sz w:val="22"/>
          <w:szCs w:val="22"/>
        </w:rPr>
      </w:pPr>
      <w:r>
        <w:rPr>
          <w:rFonts w:hint="eastAsia" w:hAnsi="宋体" w:cs="Calibri"/>
          <w:b/>
          <w:bCs/>
          <w:sz w:val="22"/>
          <w:szCs w:val="22"/>
        </w:rPr>
        <w:t>三、投标文件的评审</w:t>
      </w:r>
    </w:p>
    <w:p>
      <w:pPr>
        <w:pStyle w:val="29"/>
        <w:spacing w:line="360" w:lineRule="exact"/>
        <w:ind w:firstLine="442" w:firstLineChars="200"/>
        <w:rPr>
          <w:rFonts w:hAnsi="宋体" w:cs="Calibri"/>
          <w:b/>
          <w:sz w:val="22"/>
          <w:szCs w:val="22"/>
        </w:rPr>
      </w:pPr>
      <w:r>
        <w:rPr>
          <w:rFonts w:hint="eastAsia" w:hAnsi="宋体" w:cs="Calibri"/>
          <w:b/>
          <w:sz w:val="22"/>
          <w:szCs w:val="22"/>
        </w:rPr>
        <w:t>3.1 符合性评审</w:t>
      </w:r>
    </w:p>
    <w:p>
      <w:pPr>
        <w:widowControl/>
        <w:tabs>
          <w:tab w:val="left" w:pos="709"/>
        </w:tabs>
        <w:snapToGrid w:val="0"/>
        <w:spacing w:line="360" w:lineRule="exact"/>
        <w:ind w:firstLine="444" w:firstLineChars="202"/>
        <w:rPr>
          <w:rFonts w:ascii="宋体" w:hAnsi="Cambria" w:cs="Calibri"/>
          <w:bCs/>
          <w:kern w:val="0"/>
          <w:sz w:val="22"/>
          <w:szCs w:val="22"/>
        </w:rPr>
      </w:pPr>
      <w:r>
        <w:rPr>
          <w:rFonts w:hint="eastAsia" w:ascii="宋体" w:hAnsi="宋体" w:cs="Calibri"/>
          <w:bCs/>
          <w:kern w:val="0"/>
          <w:sz w:val="22"/>
          <w:szCs w:val="22"/>
        </w:rPr>
        <w:t>3.1.1评标委员会应依照招标文件的要求和规定首先对投标人的投标资格和投标文件进行符合性审查，</w:t>
      </w:r>
      <w:r>
        <w:rPr>
          <w:rFonts w:hint="eastAsia" w:ascii="宋体" w:hAnsi="宋体" w:cs="Calibri"/>
          <w:b/>
          <w:kern w:val="0"/>
          <w:sz w:val="22"/>
          <w:szCs w:val="22"/>
        </w:rPr>
        <w:t>审查过程中评标委员会可以要求投标人提交下列审查项所需的有关证明和证件的原件，以便核验。</w:t>
      </w:r>
      <w:r>
        <w:rPr>
          <w:rFonts w:hint="eastAsia" w:ascii="宋体" w:hAnsi="宋体" w:cs="Calibri"/>
          <w:bCs/>
          <w:kern w:val="0"/>
          <w:sz w:val="22"/>
          <w:szCs w:val="22"/>
        </w:rPr>
        <w:t>投标文件如存在以下情况之一的，经评标委员会三分之二以上的成员认定，符合性审查不予通过，</w:t>
      </w:r>
      <w:r>
        <w:rPr>
          <w:rFonts w:hint="eastAsia" w:ascii="宋体" w:hAnsi="宋体" w:cs="Calibri"/>
          <w:b/>
          <w:bCs/>
          <w:kern w:val="0"/>
          <w:sz w:val="22"/>
          <w:szCs w:val="22"/>
        </w:rPr>
        <w:t>作否决投标处理，</w:t>
      </w:r>
      <w:r>
        <w:rPr>
          <w:rFonts w:hint="eastAsia" w:ascii="宋体" w:hAnsi="宋体" w:cs="Calibri"/>
          <w:bCs/>
          <w:kern w:val="0"/>
          <w:sz w:val="22"/>
          <w:szCs w:val="22"/>
        </w:rPr>
        <w:t>不再进行详细评审：</w:t>
      </w:r>
    </w:p>
    <w:p>
      <w:pPr>
        <w:spacing w:line="360" w:lineRule="exact"/>
        <w:ind w:firstLine="470" w:firstLineChars="214"/>
        <w:rPr>
          <w:rFonts w:ascii="宋体" w:cs="Calibri"/>
          <w:sz w:val="22"/>
          <w:szCs w:val="22"/>
        </w:rPr>
      </w:pPr>
      <w:r>
        <w:rPr>
          <w:rFonts w:hint="eastAsia" w:ascii="宋体" w:hAnsi="宋体" w:cs="Calibri"/>
          <w:sz w:val="22"/>
          <w:szCs w:val="22"/>
        </w:rPr>
        <w:t>1、</w:t>
      </w:r>
      <w:r>
        <w:rPr>
          <w:rFonts w:hint="eastAsia" w:ascii="宋体" w:hAnsi="宋体" w:cs="Calibri"/>
          <w:bCs/>
          <w:kern w:val="0"/>
          <w:sz w:val="22"/>
          <w:szCs w:val="22"/>
        </w:rPr>
        <w:t>投标人的投标资格不满足国家有关规定或招标文件载明的投标资格条件的；</w:t>
      </w:r>
    </w:p>
    <w:p>
      <w:pPr>
        <w:spacing w:line="360" w:lineRule="exact"/>
        <w:ind w:firstLine="470" w:firstLineChars="214"/>
        <w:rPr>
          <w:rFonts w:ascii="宋体" w:cs="Calibri"/>
          <w:sz w:val="22"/>
          <w:szCs w:val="22"/>
        </w:rPr>
      </w:pPr>
      <w:r>
        <w:rPr>
          <w:rFonts w:hint="eastAsia" w:ascii="宋体" w:hAnsi="宋体" w:cs="Calibri"/>
          <w:sz w:val="22"/>
          <w:szCs w:val="22"/>
        </w:rPr>
        <w:t>2、投标文件未按招标文件的要求签署和盖章的（仅限于单位印章和法定代表人或其委托代理人签字或盖章）；</w:t>
      </w:r>
    </w:p>
    <w:p>
      <w:pPr>
        <w:spacing w:line="360" w:lineRule="exact"/>
        <w:ind w:firstLine="470" w:firstLineChars="214"/>
        <w:rPr>
          <w:rFonts w:ascii="宋体" w:cs="Calibri"/>
          <w:sz w:val="22"/>
          <w:szCs w:val="22"/>
        </w:rPr>
      </w:pPr>
      <w:r>
        <w:rPr>
          <w:rFonts w:hint="eastAsia" w:ascii="宋体" w:hAnsi="宋体" w:cs="Calibri"/>
          <w:sz w:val="22"/>
          <w:szCs w:val="22"/>
        </w:rPr>
        <w:t>3、投标文件未按规定的格式填写，内容不全或关键字迹模糊、无法辨认的；</w:t>
      </w:r>
    </w:p>
    <w:p>
      <w:pPr>
        <w:spacing w:line="360" w:lineRule="exact"/>
        <w:ind w:firstLine="470" w:firstLineChars="214"/>
        <w:rPr>
          <w:rFonts w:ascii="宋体" w:cs="Calibri"/>
          <w:sz w:val="22"/>
          <w:szCs w:val="22"/>
        </w:rPr>
      </w:pPr>
      <w:r>
        <w:rPr>
          <w:rFonts w:hint="eastAsia"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cs="Calibri"/>
          <w:sz w:val="22"/>
          <w:szCs w:val="22"/>
        </w:rPr>
      </w:pPr>
      <w:r>
        <w:rPr>
          <w:rFonts w:hint="eastAsia" w:ascii="宋体" w:hAnsi="宋体" w:cs="Calibri"/>
          <w:sz w:val="22"/>
          <w:szCs w:val="22"/>
        </w:rPr>
        <w:t>5、供货期不满足招标文件要求的；</w:t>
      </w:r>
    </w:p>
    <w:p>
      <w:pPr>
        <w:spacing w:line="360" w:lineRule="exact"/>
        <w:ind w:firstLine="470" w:firstLineChars="214"/>
        <w:rPr>
          <w:rFonts w:ascii="宋体" w:cs="Calibri"/>
          <w:sz w:val="22"/>
          <w:szCs w:val="22"/>
        </w:rPr>
      </w:pPr>
      <w:r>
        <w:rPr>
          <w:rFonts w:hint="eastAsia" w:ascii="宋体" w:hAnsi="宋体" w:cs="Calibri"/>
          <w:sz w:val="22"/>
          <w:szCs w:val="22"/>
        </w:rPr>
        <w:t>6、不</w:t>
      </w:r>
      <w:r>
        <w:rPr>
          <w:rFonts w:hint="eastAsia" w:ascii="宋体" w:hAnsi="宋体" w:cs="Calibri"/>
          <w:kern w:val="0"/>
          <w:sz w:val="22"/>
          <w:szCs w:val="22"/>
        </w:rPr>
        <w:t>响应招标文件规定的实质性要求（包括具体条文前用</w:t>
      </w:r>
      <w:r>
        <w:rPr>
          <w:rFonts w:hint="eastAsia" w:ascii="宋体" w:cs="Calibri"/>
          <w:kern w:val="0"/>
          <w:sz w:val="22"/>
          <w:szCs w:val="22"/>
        </w:rPr>
        <w:t>“★”</w:t>
      </w:r>
      <w:r>
        <w:rPr>
          <w:rFonts w:hint="eastAsia" w:ascii="宋体" w:hAnsi="宋体" w:cs="Calibri"/>
          <w:kern w:val="0"/>
          <w:sz w:val="22"/>
          <w:szCs w:val="22"/>
        </w:rPr>
        <w:t>标示的）</w:t>
      </w:r>
    </w:p>
    <w:p>
      <w:pPr>
        <w:spacing w:line="360" w:lineRule="exact"/>
        <w:ind w:firstLine="470" w:firstLineChars="214"/>
        <w:rPr>
          <w:rFonts w:ascii="宋体" w:cs="Calibri"/>
          <w:sz w:val="22"/>
          <w:szCs w:val="22"/>
        </w:rPr>
      </w:pPr>
      <w:r>
        <w:rPr>
          <w:rFonts w:hint="eastAsia" w:ascii="宋体" w:hAnsi="宋体" w:cs="Calibri"/>
          <w:sz w:val="22"/>
          <w:szCs w:val="22"/>
        </w:rPr>
        <w:t>7、投标人不以自己的名义或未按招标文件的要求提供投标保证金或提供的保证金有缺陷而不能接受的；</w:t>
      </w:r>
    </w:p>
    <w:p>
      <w:pPr>
        <w:spacing w:line="360" w:lineRule="exact"/>
        <w:ind w:firstLine="470" w:firstLineChars="214"/>
        <w:rPr>
          <w:rFonts w:ascii="宋体" w:cs="Calibri"/>
          <w:sz w:val="22"/>
          <w:szCs w:val="22"/>
        </w:rPr>
      </w:pPr>
      <w:r>
        <w:rPr>
          <w:rFonts w:hint="eastAsia" w:ascii="宋体" w:hAnsi="宋体" w:cs="Calibri"/>
          <w:sz w:val="22"/>
          <w:szCs w:val="22"/>
        </w:rPr>
        <w:t>8、投标人以他人名义投标、或与他人串通投标、或以行贿手段谋取中标，或弄虚作假的；</w:t>
      </w:r>
    </w:p>
    <w:p>
      <w:pPr>
        <w:spacing w:line="360" w:lineRule="exact"/>
        <w:ind w:firstLine="470" w:firstLineChars="214"/>
        <w:rPr>
          <w:rFonts w:ascii="宋体" w:cs="Calibri"/>
          <w:sz w:val="22"/>
          <w:szCs w:val="22"/>
        </w:rPr>
      </w:pPr>
      <w:r>
        <w:rPr>
          <w:rFonts w:hint="eastAsia" w:ascii="宋体" w:hAnsi="宋体" w:cs="Calibri"/>
          <w:sz w:val="22"/>
          <w:szCs w:val="22"/>
        </w:rPr>
        <w:t>9、存在法律、法规、规章规定的其它无效投标情况的。</w:t>
      </w:r>
    </w:p>
    <w:p>
      <w:pPr>
        <w:widowControl/>
        <w:tabs>
          <w:tab w:val="left" w:pos="709"/>
        </w:tabs>
        <w:snapToGrid w:val="0"/>
        <w:spacing w:line="360" w:lineRule="exact"/>
        <w:ind w:firstLine="446" w:firstLineChars="202"/>
        <w:rPr>
          <w:rFonts w:ascii="宋体" w:cs="Calibri"/>
          <w:b/>
          <w:sz w:val="22"/>
          <w:szCs w:val="22"/>
        </w:rPr>
      </w:pPr>
      <w:r>
        <w:rPr>
          <w:rFonts w:hint="eastAsia" w:ascii="宋体" w:hAnsi="宋体" w:cs="Calibri"/>
          <w:b/>
          <w:sz w:val="22"/>
          <w:szCs w:val="22"/>
        </w:rPr>
        <w:t>3.1.2 报价算术性修正</w:t>
      </w:r>
    </w:p>
    <w:p>
      <w:pPr>
        <w:pStyle w:val="29"/>
        <w:spacing w:line="360" w:lineRule="exact"/>
        <w:ind w:firstLine="440" w:firstLineChars="200"/>
        <w:rPr>
          <w:rFonts w:hAnsi="宋体" w:cs="Calibri"/>
          <w:sz w:val="22"/>
          <w:szCs w:val="22"/>
        </w:rPr>
      </w:pPr>
      <w:r>
        <w:rPr>
          <w:rFonts w:hint="eastAsia" w:hAnsi="宋体" w:cs="Calibri"/>
          <w:sz w:val="22"/>
          <w:szCs w:val="22"/>
        </w:rPr>
        <w:t>评标委员会按以下原则对通过符合性审查的投标文件报价进行算术性修正：</w:t>
      </w:r>
    </w:p>
    <w:p>
      <w:pPr>
        <w:pStyle w:val="29"/>
        <w:numPr>
          <w:ilvl w:val="0"/>
          <w:numId w:val="39"/>
        </w:numPr>
        <w:adjustRightInd w:val="0"/>
        <w:spacing w:line="360" w:lineRule="exact"/>
        <w:ind w:left="0" w:firstLine="440" w:firstLineChars="200"/>
        <w:rPr>
          <w:rFonts w:hAnsi="宋体" w:cs="Calibri"/>
          <w:sz w:val="22"/>
          <w:szCs w:val="22"/>
        </w:rPr>
      </w:pPr>
      <w:r>
        <w:rPr>
          <w:rFonts w:hint="eastAsia" w:hAnsi="宋体" w:cs="Calibri"/>
          <w:sz w:val="22"/>
          <w:szCs w:val="22"/>
        </w:rPr>
        <w:t>投标文件中的大写金额与小写金额不一致的，以大写金额为准；</w:t>
      </w:r>
    </w:p>
    <w:p>
      <w:pPr>
        <w:pStyle w:val="29"/>
        <w:numPr>
          <w:ilvl w:val="0"/>
          <w:numId w:val="39"/>
        </w:numPr>
        <w:adjustRightInd w:val="0"/>
        <w:spacing w:line="360" w:lineRule="exact"/>
        <w:ind w:left="0" w:firstLine="440" w:firstLineChars="200"/>
        <w:rPr>
          <w:rFonts w:hAnsi="宋体" w:cs="Calibri"/>
          <w:sz w:val="22"/>
          <w:szCs w:val="22"/>
        </w:rPr>
      </w:pPr>
      <w:r>
        <w:rPr>
          <w:rFonts w:hint="eastAsia" w:hAnsi="宋体" w:cs="Calibri"/>
          <w:sz w:val="22"/>
          <w:szCs w:val="22"/>
        </w:rPr>
        <w:t>总价金额与依据单价（或各分项合计）计算出的结果不一致的，以单价金额（或各分项合计）为准修正总价，但单价金额小数点有明显错误的除外。</w:t>
      </w:r>
    </w:p>
    <w:p>
      <w:pPr>
        <w:pStyle w:val="29"/>
        <w:spacing w:line="360" w:lineRule="exact"/>
        <w:ind w:firstLine="440" w:firstLineChars="200"/>
        <w:rPr>
          <w:rFonts w:hAnsi="宋体" w:cs="Calibri"/>
          <w:b/>
          <w:sz w:val="22"/>
          <w:szCs w:val="22"/>
        </w:rPr>
      </w:pPr>
      <w:r>
        <w:rPr>
          <w:rFonts w:hint="eastAsia" w:hAnsi="宋体" w:cs="Calibri"/>
          <w:sz w:val="22"/>
          <w:szCs w:val="22"/>
        </w:rPr>
        <w:t>★修正的价格经投标人书面确认后具有约束力。投标人不接受修正价格的，其投标作</w:t>
      </w:r>
      <w:r>
        <w:rPr>
          <w:rFonts w:hint="eastAsia" w:hAnsi="宋体" w:cs="Calibri"/>
          <w:b/>
          <w:sz w:val="22"/>
          <w:szCs w:val="22"/>
        </w:rPr>
        <w:t>否决投标处理</w:t>
      </w:r>
      <w:r>
        <w:rPr>
          <w:rFonts w:hint="eastAsia" w:hAnsi="宋体" w:cs="Calibri"/>
          <w:sz w:val="22"/>
          <w:szCs w:val="22"/>
        </w:rPr>
        <w:t>。</w:t>
      </w:r>
    </w:p>
    <w:p>
      <w:pPr>
        <w:pStyle w:val="29"/>
        <w:spacing w:line="360" w:lineRule="exact"/>
        <w:ind w:firstLine="440" w:firstLineChars="200"/>
        <w:rPr>
          <w:rFonts w:hAnsi="宋体" w:cs="Calibri"/>
          <w:b/>
          <w:sz w:val="22"/>
          <w:szCs w:val="22"/>
        </w:rPr>
      </w:pPr>
      <w:r>
        <w:rPr>
          <w:rFonts w:hint="eastAsia" w:hAnsi="宋体" w:cs="Calibri"/>
          <w:sz w:val="22"/>
          <w:szCs w:val="22"/>
        </w:rPr>
        <w:t>当通过符合性评审的单位少于三家时（不包括三家），应由评标委员会确认是否具有竞争性，如果有竞争性，则评标继续进行。</w:t>
      </w:r>
    </w:p>
    <w:p>
      <w:pPr>
        <w:pStyle w:val="29"/>
        <w:spacing w:line="360" w:lineRule="exact"/>
        <w:ind w:firstLine="442" w:firstLineChars="200"/>
        <w:rPr>
          <w:rFonts w:hAnsi="宋体" w:cs="Calibri"/>
          <w:b/>
          <w:sz w:val="22"/>
          <w:szCs w:val="22"/>
        </w:rPr>
      </w:pPr>
      <w:r>
        <w:rPr>
          <w:rFonts w:hint="eastAsia" w:hAnsi="宋体" w:cs="Calibri"/>
          <w:b/>
          <w:sz w:val="22"/>
          <w:szCs w:val="22"/>
        </w:rPr>
        <w:t>3.2 投标文件的澄清和补正</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3.2.2澄清、说明和补正不得改变投标文件的实质性内容（算术性错误修正的除外）。投标人的书面澄清、说明和补正属于投标文件的组成部分。</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Cambria" w:cs="Times New Roman"/>
          <w:b/>
          <w:color w:val="000000"/>
          <w:sz w:val="22"/>
          <w:szCs w:val="22"/>
        </w:rPr>
      </w:pPr>
      <w:r>
        <w:rPr>
          <w:rFonts w:hint="eastAsia" w:ascii="宋体" w:hAnsi="宋体" w:cs="Calibri"/>
          <w:b/>
          <w:sz w:val="22"/>
          <w:szCs w:val="22"/>
        </w:rPr>
        <w:t>3.3</w:t>
      </w:r>
      <w:r>
        <w:rPr>
          <w:rFonts w:hint="eastAsia" w:ascii="宋体" w:hAnsi="宋体"/>
          <w:b/>
          <w:color w:val="000000"/>
          <w:sz w:val="22"/>
          <w:szCs w:val="22"/>
        </w:rPr>
        <w:t>评标细则</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估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29"/>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29"/>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3.3.1商务报价分60分</w:t>
      </w:r>
    </w:p>
    <w:p>
      <w:pPr>
        <w:pStyle w:val="29"/>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算术平均值与次低价的算术平均值作为评标基准价，如有效投标报价的数量小于4个，则评标基准价为所有有效投标报价的算术平均值与最低价的算术平均值。</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投标人的投标价等于评标基准价的得60分，每高于评标基准价1%的扣1分，每低于评标基准价1%的扣0.5分（不足1个百分点按插值法计算，小数点后保留二位，四舍五入，商务分最低得分为30分）</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2、资信及技术评分   0-40分</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该评分分值由评标委员会成员独立打分（具体分值设定详见下表），小数点后保留1位小数。每个投标人的最终资信及技术得分为评标委员会打分的算术平均值（小数点后保留2位，第三位四舍五入）。</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tbl>
      <w:tblPr>
        <w:tblStyle w:val="5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3102"/>
        <w:gridCol w:w="793"/>
        <w:gridCol w:w="1901"/>
        <w:gridCol w:w="1743"/>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exact"/>
        </w:trPr>
        <w:tc>
          <w:tcPr>
            <w:tcW w:w="824" w:type="dxa"/>
            <w:tcBorders>
              <w:top w:val="single" w:color="auto" w:sz="4" w:space="0"/>
              <w:left w:val="single" w:color="auto" w:sz="4" w:space="0"/>
              <w:bottom w:val="single" w:color="auto" w:sz="4" w:space="0"/>
              <w:right w:val="single" w:color="auto" w:sz="4" w:space="0"/>
            </w:tcBorders>
            <w:vAlign w:val="center"/>
          </w:tcPr>
          <w:p>
            <w:pPr>
              <w:rPr>
                <w:rFonts w:ascii="宋体" w:hAnsi="宋体" w:cs="Arial"/>
                <w:szCs w:val="21"/>
              </w:rPr>
            </w:pPr>
            <w:r>
              <w:rPr>
                <w:rFonts w:hint="eastAsia" w:ascii="宋体" w:hAnsi="宋体" w:cs="Arial"/>
                <w:szCs w:val="21"/>
              </w:rPr>
              <w:t>序号</w:t>
            </w:r>
          </w:p>
        </w:tc>
        <w:tc>
          <w:tcPr>
            <w:tcW w:w="310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项           目</w:t>
            </w: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满分</w:t>
            </w:r>
          </w:p>
        </w:tc>
        <w:tc>
          <w:tcPr>
            <w:tcW w:w="19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好</w:t>
            </w:r>
          </w:p>
        </w:tc>
        <w:tc>
          <w:tcPr>
            <w:tcW w:w="17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较好</w:t>
            </w:r>
          </w:p>
        </w:tc>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1</w:t>
            </w:r>
          </w:p>
        </w:tc>
        <w:tc>
          <w:tcPr>
            <w:tcW w:w="3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highlight w:val="red"/>
              </w:rPr>
            </w:pPr>
            <w:r>
              <w:rPr>
                <w:rFonts w:hint="eastAsia" w:ascii="宋体" w:hAnsi="宋体" w:cs="宋体"/>
                <w:kern w:val="0"/>
                <w:szCs w:val="21"/>
              </w:rPr>
              <w:t>技术规格及基本功能符合性、先进性</w:t>
            </w: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18</w:t>
            </w:r>
          </w:p>
        </w:tc>
        <w:tc>
          <w:tcPr>
            <w:tcW w:w="490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Arial"/>
                <w:szCs w:val="21"/>
              </w:rPr>
            </w:pPr>
            <w:r>
              <w:rPr>
                <w:rFonts w:hint="eastAsia" w:ascii="宋体" w:hAnsi="宋体" w:cs="宋体"/>
                <w:kern w:val="0"/>
                <w:szCs w:val="21"/>
              </w:rPr>
              <w:t>基本分值得10分，每条负偏离扣减1分，超过3条负偏离得0分；每一条正偏离加1分，*号技术条款正偏离加2分，最高加8分，带</w:t>
            </w:r>
            <w:r>
              <w:rPr>
                <w:rFonts w:hint="eastAsia" w:ascii="宋体" w:hAnsi="宋体"/>
                <w:szCs w:val="21"/>
                <w:u w:val="single"/>
              </w:rPr>
              <w:t>*技术</w:t>
            </w:r>
            <w:r>
              <w:rPr>
                <w:rFonts w:hint="eastAsia" w:ascii="宋体" w:hAnsi="宋体" w:cs="宋体"/>
                <w:kern w:val="0"/>
                <w:szCs w:val="21"/>
              </w:rPr>
              <w:t>条款一项不满足的得0分。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2</w:t>
            </w:r>
          </w:p>
        </w:tc>
        <w:tc>
          <w:tcPr>
            <w:tcW w:w="3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所投设备的制作工艺及所投设备的主要配件通用性</w:t>
            </w: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10</w:t>
            </w:r>
          </w:p>
        </w:tc>
        <w:tc>
          <w:tcPr>
            <w:tcW w:w="490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评标委员会根据所投设备制作工艺及所投设备主要配件的通用性进行横向比较后打分。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3</w:t>
            </w:r>
          </w:p>
        </w:tc>
        <w:tc>
          <w:tcPr>
            <w:tcW w:w="31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kern w:val="0"/>
                <w:szCs w:val="21"/>
              </w:rPr>
            </w:pPr>
            <w:r>
              <w:rPr>
                <w:rFonts w:hint="eastAsia" w:ascii="宋体" w:hAnsi="宋体" w:cs="宋体"/>
                <w:kern w:val="0"/>
                <w:szCs w:val="21"/>
              </w:rPr>
              <w:t>关键部件价格</w:t>
            </w: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4</w:t>
            </w:r>
          </w:p>
        </w:tc>
        <w:tc>
          <w:tcPr>
            <w:tcW w:w="4909"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Arial"/>
                <w:szCs w:val="21"/>
              </w:rPr>
            </w:pPr>
            <w:r>
              <w:rPr>
                <w:rFonts w:hint="eastAsia" w:ascii="宋体" w:hAnsi="宋体" w:cs="Arial"/>
                <w:szCs w:val="21"/>
              </w:rPr>
              <w:t>评标委员会根据所投设备X射线源，X射线控制器，探测器板，图形工作站价格进行横向比较后打分。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4</w:t>
            </w:r>
          </w:p>
        </w:tc>
        <w:tc>
          <w:tcPr>
            <w:tcW w:w="310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Cs w:val="21"/>
              </w:rPr>
            </w:pPr>
            <w:r>
              <w:rPr>
                <w:rFonts w:hint="eastAsia" w:ascii="宋体" w:hAnsi="宋体" w:cs="宋体"/>
                <w:kern w:val="0"/>
                <w:szCs w:val="21"/>
              </w:rPr>
              <w:t>设备安全性、可靠性提示</w:t>
            </w: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2</w:t>
            </w:r>
          </w:p>
        </w:tc>
        <w:tc>
          <w:tcPr>
            <w:tcW w:w="4909"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szCs w:val="21"/>
              </w:rPr>
            </w:pPr>
            <w:r>
              <w:rPr>
                <w:rFonts w:hint="eastAsia" w:ascii="宋体" w:hAnsi="宋体" w:cs="Arial"/>
                <w:szCs w:val="21"/>
              </w:rPr>
              <w:t>招标文件要求的各种标识标牌等清晰明确得1分，在投标文件中有标明张贴位置的得1分，否则不得分。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5</w:t>
            </w:r>
          </w:p>
        </w:tc>
        <w:tc>
          <w:tcPr>
            <w:tcW w:w="31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Arial"/>
                <w:szCs w:val="21"/>
              </w:rPr>
            </w:pPr>
            <w:r>
              <w:rPr>
                <w:rFonts w:hint="eastAsia" w:ascii="宋体" w:hAnsi="宋体" w:cs="宋体"/>
                <w:kern w:val="0"/>
                <w:szCs w:val="21"/>
              </w:rPr>
              <w:t>技术培训及售后服务承诺</w:t>
            </w: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2</w:t>
            </w:r>
          </w:p>
        </w:tc>
        <w:tc>
          <w:tcPr>
            <w:tcW w:w="4909"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szCs w:val="21"/>
              </w:rPr>
            </w:pPr>
            <w:r>
              <w:rPr>
                <w:rFonts w:hint="eastAsia" w:ascii="宋体" w:hAnsi="宋体" w:cs="Arial"/>
                <w:szCs w:val="21"/>
              </w:rPr>
              <w:t>有专职的培训机构提供培训服务并提供详细的培训计划的得1分；符合招标文件要求的售后服务承诺的得1分。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6</w:t>
            </w:r>
          </w:p>
        </w:tc>
        <w:tc>
          <w:tcPr>
            <w:tcW w:w="31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kern w:val="0"/>
                <w:szCs w:val="21"/>
              </w:rPr>
            </w:pPr>
            <w:r>
              <w:rPr>
                <w:rFonts w:hint="eastAsia" w:ascii="宋体" w:hAnsi="宋体" w:cs="宋体"/>
                <w:kern w:val="0"/>
                <w:szCs w:val="21"/>
              </w:rPr>
              <w:t>本地化售后服务</w:t>
            </w:r>
          </w:p>
        </w:tc>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4</w:t>
            </w:r>
          </w:p>
        </w:tc>
        <w:tc>
          <w:tcPr>
            <w:tcW w:w="4909"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cs="Arial"/>
                <w:szCs w:val="21"/>
              </w:rPr>
            </w:pPr>
            <w:r>
              <w:rPr>
                <w:rFonts w:hint="eastAsia" w:ascii="宋体" w:hAnsi="宋体" w:cs="Arial"/>
                <w:szCs w:val="21"/>
              </w:rPr>
              <w:t>满足维保基本要求得1分，在杭州地区设立维修中心，并在2小时内到达杭州机场，3小时内到达义乌机场加2分，各提早30分钟加0.5分，本项最高得4分。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39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合计得分</w:t>
            </w:r>
          </w:p>
        </w:tc>
        <w:tc>
          <w:tcPr>
            <w:tcW w:w="570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szCs w:val="21"/>
              </w:rPr>
            </w:pPr>
            <w:r>
              <w:rPr>
                <w:rFonts w:hint="eastAsia" w:ascii="宋体" w:hAnsi="宋体" w:cs="Arial"/>
                <w:szCs w:val="21"/>
              </w:rPr>
              <w:t>40</w:t>
            </w:r>
          </w:p>
        </w:tc>
      </w:tr>
    </w:tbl>
    <w:p>
      <w:pPr>
        <w:pStyle w:val="29"/>
        <w:spacing w:line="360" w:lineRule="exact"/>
        <w:rPr>
          <w:rFonts w:hAnsi="宋体" w:cs="Calibri"/>
          <w:b/>
          <w:sz w:val="22"/>
          <w:szCs w:val="22"/>
        </w:rPr>
      </w:pPr>
      <w:r>
        <w:rPr>
          <w:rFonts w:hint="eastAsia" w:hAnsi="宋体" w:cs="Calibri"/>
          <w:b/>
          <w:sz w:val="22"/>
          <w:szCs w:val="22"/>
        </w:rPr>
        <w:t>3.4推荐中标候选人</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3.4.1当有效投标文件大于等于二名时，评标委员会得分最高、次高的投标人为中标候选人（如果得分相同则按投标人报价从低到高顺序推荐为中标候选人，如果投标报价也相同，则抽签决定）。</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3.4.3当有效投标文件只有一名时，则由评标委员会确定是否推荐为中标候选人。</w:t>
      </w:r>
    </w:p>
    <w:p>
      <w:pPr>
        <w:pStyle w:val="29"/>
        <w:spacing w:line="360" w:lineRule="exact"/>
        <w:rPr>
          <w:rFonts w:hAnsi="宋体" w:cs="Calibri"/>
          <w:b/>
          <w:sz w:val="22"/>
          <w:szCs w:val="22"/>
        </w:rPr>
      </w:pPr>
      <w:r>
        <w:rPr>
          <w:rFonts w:hint="eastAsia" w:hAnsi="宋体" w:cs="Calibri"/>
          <w:b/>
          <w:sz w:val="22"/>
          <w:szCs w:val="22"/>
        </w:rPr>
        <w:t>3.5评标报告</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29"/>
        <w:spacing w:line="360" w:lineRule="exact"/>
        <w:rPr>
          <w:rFonts w:hAnsi="宋体" w:cs="Calibri"/>
          <w:b/>
          <w:sz w:val="22"/>
          <w:szCs w:val="22"/>
        </w:rPr>
      </w:pPr>
      <w:r>
        <w:rPr>
          <w:rFonts w:hint="eastAsia" w:hAnsi="宋体" w:cs="Calibri"/>
          <w:b/>
          <w:sz w:val="22"/>
          <w:szCs w:val="22"/>
        </w:rPr>
        <w:t>四、定标</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4.1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4.2中标候选人因不可抗力之外的原因放弃中标权的，必须按文件规定没收其投标保证金，没收的投标保证金不能弥补由于其放弃中标权而给招标人造成报价的差额部分，由放弃中标权的中标候选人承担。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29"/>
        <w:adjustRightInd w:val="0"/>
        <w:snapToGrid w:val="0"/>
        <w:spacing w:line="360" w:lineRule="exact"/>
        <w:ind w:firstLine="440" w:firstLineChars="200"/>
        <w:rPr>
          <w:rFonts w:hAnsi="宋体" w:cs="Calibri"/>
          <w:sz w:val="22"/>
          <w:szCs w:val="22"/>
        </w:rPr>
      </w:pPr>
      <w:r>
        <w:rPr>
          <w:rFonts w:hint="eastAsia" w:hAnsi="宋体" w:cs="Calibri"/>
          <w:sz w:val="22"/>
          <w:szCs w:val="22"/>
        </w:rPr>
        <w:t>4.3 如发生投诉争议等情况时，经查实中标候选人存在违法、违规行为，不符合中标条件，且该行为在评标时是无法发现和确认的，招标人可以在其他中标候选人中按照推荐的排序确定中标人或重新招标。</w:t>
      </w:r>
    </w:p>
    <w:p>
      <w:pPr>
        <w:pStyle w:val="29"/>
        <w:adjustRightInd w:val="0"/>
        <w:snapToGrid w:val="0"/>
        <w:spacing w:line="360" w:lineRule="exact"/>
        <w:ind w:firstLine="442" w:firstLineChars="200"/>
        <w:rPr>
          <w:rFonts w:hAnsi="宋体" w:cs="Calibri"/>
          <w:b/>
          <w:sz w:val="22"/>
          <w:szCs w:val="22"/>
        </w:rPr>
      </w:pPr>
      <w:r>
        <w:rPr>
          <w:rFonts w:hAnsi="宋体" w:cs="Calibri"/>
          <w:b/>
          <w:sz w:val="22"/>
          <w:szCs w:val="22"/>
        </w:rPr>
        <w:t>4.4</w:t>
      </w:r>
      <w:r>
        <w:rPr>
          <w:rFonts w:hint="eastAsia" w:hAnsi="宋体" w:cs="Calibri"/>
          <w:b/>
          <w:sz w:val="22"/>
          <w:szCs w:val="22"/>
        </w:rPr>
        <w:t>招标人对评标、定标结果不负责解释。</w:t>
      </w:r>
    </w:p>
    <w:p>
      <w:pPr>
        <w:widowControl/>
        <w:jc w:val="left"/>
        <w:rPr>
          <w:rFonts w:ascii="Cambria" w:hAnsi="Cambria" w:eastAsia="黑体" w:cs="Times New Roman"/>
          <w:b/>
          <w:bCs/>
          <w:kern w:val="0"/>
          <w:sz w:val="32"/>
          <w:szCs w:val="32"/>
        </w:rPr>
      </w:pPr>
      <w:r>
        <w:br w:type="page"/>
      </w:r>
    </w:p>
    <w:p>
      <w:pPr>
        <w:pStyle w:val="48"/>
      </w:pPr>
      <w:bookmarkStart w:id="415" w:name="_Toc321925457"/>
      <w:r>
        <w:t>第</w:t>
      </w:r>
      <w:r>
        <w:rPr>
          <w:rFonts w:hint="eastAsia"/>
        </w:rPr>
        <w:t>六</w:t>
      </w:r>
      <w:r>
        <w:t>章投标文件格式</w:t>
      </w:r>
      <w:bookmarkEnd w:id="405"/>
      <w:bookmarkEnd w:id="415"/>
    </w:p>
    <w:p>
      <w:pPr>
        <w:spacing w:line="440" w:lineRule="exact"/>
        <w:jc w:val="center"/>
        <w:rPr>
          <w:rFonts w:cs="Calibri"/>
          <w:b/>
          <w:color w:val="000000"/>
          <w:sz w:val="28"/>
          <w:szCs w:val="28"/>
        </w:rPr>
      </w:pPr>
      <w:r>
        <w:rPr>
          <w:rFonts w:cs="Calibri"/>
          <w:b/>
          <w:color w:val="000000"/>
          <w:sz w:val="28"/>
          <w:szCs w:val="28"/>
        </w:rPr>
        <w:t>目录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二、</w:t>
      </w:r>
      <w:r>
        <w:rPr>
          <w:rFonts w:cs="Calibri" w:asciiTheme="minorEastAsia" w:hAnsiTheme="minorEastAsia"/>
          <w:color w:val="000000"/>
          <w:sz w:val="22"/>
          <w:szCs w:val="22"/>
        </w:rPr>
        <w:t>法定代表人资格证明书；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三、</w:t>
      </w:r>
      <w:r>
        <w:rPr>
          <w:rFonts w:cs="Calibri" w:asciiTheme="minorEastAsia" w:hAnsiTheme="minorEastAsia"/>
          <w:color w:val="000000"/>
          <w:sz w:val="22"/>
          <w:szCs w:val="22"/>
        </w:rPr>
        <w:t>授权委托书；</w:t>
      </w:r>
    </w:p>
    <w:p>
      <w:pPr>
        <w:adjustRightInd w:val="0"/>
        <w:snapToGrid w:val="0"/>
        <w:spacing w:line="400" w:lineRule="exact"/>
        <w:ind w:firstLine="440" w:firstLineChars="200"/>
        <w:rPr>
          <w:rFonts w:cs="Calibri" w:asciiTheme="minorEastAsia" w:hAnsiTheme="minorEastAsia"/>
          <w:color w:val="000000"/>
          <w:sz w:val="22"/>
          <w:szCs w:val="22"/>
        </w:rPr>
      </w:pPr>
      <w:r>
        <w:rPr>
          <w:rFonts w:hint="eastAsia" w:cs="Calibri" w:asciiTheme="minorEastAsia" w:hAnsiTheme="minorEastAsia"/>
          <w:color w:val="000000"/>
          <w:sz w:val="22"/>
          <w:szCs w:val="22"/>
        </w:rPr>
        <w:t>四、</w:t>
      </w:r>
      <w:r>
        <w:rPr>
          <w:rFonts w:cs="Calibri" w:asciiTheme="minorEastAsia" w:hAnsiTheme="minorEastAsia"/>
          <w:color w:val="000000"/>
          <w:sz w:val="22"/>
          <w:szCs w:val="22"/>
        </w:rPr>
        <w:t>投标报价表；</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五、</w:t>
      </w:r>
      <w:r>
        <w:rPr>
          <w:rFonts w:ascii="宋体" w:hAnsi="宋体" w:cs="Calibri"/>
          <w:sz w:val="22"/>
          <w:szCs w:val="22"/>
        </w:rPr>
        <w:t>投标人资格证明文件：</w:t>
      </w:r>
    </w:p>
    <w:p>
      <w:pPr>
        <w:adjustRightInd w:val="0"/>
        <w:snapToGrid w:val="0"/>
        <w:spacing w:line="400" w:lineRule="exact"/>
        <w:ind w:firstLine="440" w:firstLineChars="200"/>
        <w:rPr>
          <w:rFonts w:ascii="宋体" w:hAnsi="宋体" w:cs="Calibri"/>
          <w:sz w:val="22"/>
          <w:szCs w:val="22"/>
        </w:rPr>
      </w:pPr>
      <w:r>
        <w:rPr>
          <w:rFonts w:ascii="宋体" w:hAnsi="宋体" w:cs="Calibri"/>
          <w:sz w:val="22"/>
          <w:szCs w:val="22"/>
        </w:rPr>
        <w:t>（1）</w:t>
      </w:r>
      <w:r>
        <w:rPr>
          <w:rFonts w:cs="Calibri" w:asciiTheme="minorEastAsia" w:hAnsiTheme="minorEastAsia"/>
          <w:color w:val="000000"/>
          <w:sz w:val="22"/>
          <w:szCs w:val="22"/>
        </w:rPr>
        <w:t>投标人一般情况</w:t>
      </w:r>
      <w:r>
        <w:rPr>
          <w:rFonts w:hint="eastAsia" w:cs="Calibri" w:asciiTheme="minorEastAsia" w:hAnsiTheme="minorEastAsia"/>
          <w:color w:val="000000"/>
          <w:sz w:val="22"/>
          <w:szCs w:val="22"/>
        </w:rPr>
        <w:t>及</w:t>
      </w:r>
      <w:r>
        <w:rPr>
          <w:rFonts w:cs="Calibri" w:asciiTheme="minorEastAsia" w:hAnsiTheme="minorEastAsia"/>
          <w:color w:val="000000"/>
          <w:sz w:val="22"/>
          <w:szCs w:val="22"/>
        </w:rPr>
        <w:t>有关证明投标人法律地位的文件</w:t>
      </w:r>
      <w:r>
        <w:rPr>
          <w:rFonts w:hint="eastAsia" w:ascii="宋体" w:hAnsi="宋体" w:cs="Calibri"/>
          <w:sz w:val="22"/>
          <w:szCs w:val="22"/>
        </w:rPr>
        <w:t>（附营业执照、税务登记证、</w:t>
      </w:r>
      <w:r>
        <w:rPr>
          <w:rFonts w:ascii="宋体" w:hAnsi="宋体" w:cs="Calibri"/>
          <w:sz w:val="22"/>
          <w:szCs w:val="22"/>
        </w:rPr>
        <w:t>一般纳税人证明材料</w:t>
      </w:r>
      <w:r>
        <w:rPr>
          <w:rFonts w:hint="eastAsia" w:ascii="宋体" w:hAnsi="宋体" w:cs="Calibri"/>
          <w:sz w:val="22"/>
          <w:szCs w:val="22"/>
        </w:rPr>
        <w:t>、相关</w:t>
      </w:r>
      <w:r>
        <w:rPr>
          <w:rFonts w:ascii="宋体" w:hAnsi="宋体" w:cs="Calibri"/>
          <w:sz w:val="22"/>
          <w:szCs w:val="22"/>
        </w:rPr>
        <w:t>产品质量认证证书</w:t>
      </w:r>
      <w:r>
        <w:rPr>
          <w:rFonts w:hint="eastAsia" w:ascii="宋体" w:hAnsi="宋体" w:cs="Arial"/>
          <w:kern w:val="0"/>
          <w:sz w:val="22"/>
          <w:szCs w:val="22"/>
        </w:rPr>
        <w:t>、</w:t>
      </w:r>
      <w:r>
        <w:rPr>
          <w:rFonts w:hint="eastAsia" w:ascii="宋体" w:hAnsi="宋体" w:cs="Calibri"/>
          <w:sz w:val="22"/>
          <w:szCs w:val="22"/>
        </w:rPr>
        <w:t>相关</w:t>
      </w:r>
      <w:r>
        <w:rPr>
          <w:rFonts w:ascii="宋体" w:hAnsi="宋体" w:cs="Calibri"/>
          <w:sz w:val="22"/>
          <w:szCs w:val="22"/>
        </w:rPr>
        <w:t>产品鉴定证书</w:t>
      </w:r>
      <w:r>
        <w:rPr>
          <w:rFonts w:hint="eastAsia" w:ascii="宋体" w:hAnsi="宋体" w:cs="Calibri"/>
          <w:sz w:val="22"/>
          <w:szCs w:val="22"/>
        </w:rPr>
        <w:t>等）。</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Calibri"/>
          <w:sz w:val="22"/>
          <w:szCs w:val="22"/>
        </w:rPr>
        <w:t>（2）</w:t>
      </w:r>
      <w:r>
        <w:rPr>
          <w:rFonts w:hint="eastAsia" w:ascii="宋体" w:hAnsi="宋体" w:cs="宋体"/>
          <w:sz w:val="22"/>
          <w:szCs w:val="22"/>
        </w:rPr>
        <w:t>制造商资格声明</w:t>
      </w:r>
      <w:r>
        <w:rPr>
          <w:rFonts w:hint="eastAsia" w:ascii="宋体" w:hAnsi="宋体" w:cs="Arial"/>
          <w:kern w:val="0"/>
          <w:sz w:val="22"/>
          <w:szCs w:val="22"/>
        </w:rPr>
        <w:t>。</w:t>
      </w:r>
    </w:p>
    <w:p>
      <w:pPr>
        <w:adjustRightInd w:val="0"/>
        <w:snapToGrid w:val="0"/>
        <w:spacing w:line="400" w:lineRule="exact"/>
        <w:ind w:firstLine="440" w:firstLineChars="200"/>
        <w:rPr>
          <w:rFonts w:ascii="宋体" w:hAnsi="宋体" w:cs="Arial"/>
          <w:kern w:val="0"/>
          <w:sz w:val="22"/>
          <w:szCs w:val="22"/>
        </w:rPr>
      </w:pPr>
      <w:r>
        <w:rPr>
          <w:rFonts w:hint="eastAsia" w:ascii="宋体" w:hAnsi="宋体" w:cs="Arial"/>
          <w:kern w:val="0"/>
          <w:sz w:val="22"/>
          <w:szCs w:val="22"/>
        </w:rPr>
        <w:t>（3）</w:t>
      </w:r>
      <w:r>
        <w:rPr>
          <w:rFonts w:ascii="宋体" w:hAnsi="宋体" w:cs="Calibri"/>
          <w:color w:val="000000"/>
          <w:sz w:val="22"/>
          <w:szCs w:val="22"/>
        </w:rPr>
        <w:t>设备制造商的授权书</w:t>
      </w:r>
      <w:r>
        <w:rPr>
          <w:rFonts w:hint="eastAsia" w:ascii="宋体" w:hAnsi="宋体" w:cs="Calibri"/>
          <w:color w:val="000000"/>
          <w:sz w:val="22"/>
          <w:szCs w:val="22"/>
        </w:rPr>
        <w:t>（代理商投标时提供）</w:t>
      </w:r>
    </w:p>
    <w:p>
      <w:pPr>
        <w:adjustRightInd w:val="0"/>
        <w:snapToGrid w:val="0"/>
        <w:spacing w:line="400" w:lineRule="exact"/>
        <w:ind w:firstLine="440" w:firstLineChars="200"/>
        <w:rPr>
          <w:rFonts w:ascii="宋体" w:hAnsi="宋体" w:cs="Calibri"/>
          <w:sz w:val="22"/>
          <w:szCs w:val="22"/>
        </w:rPr>
      </w:pPr>
      <w:r>
        <w:rPr>
          <w:rFonts w:hint="eastAsia" w:ascii="宋体" w:hAnsi="宋体" w:cs="Arial"/>
          <w:kern w:val="0"/>
          <w:sz w:val="22"/>
          <w:szCs w:val="22"/>
        </w:rPr>
        <w:t>（4）</w:t>
      </w:r>
      <w:r>
        <w:rPr>
          <w:rFonts w:hint="eastAsia" w:ascii="宋体" w:hAnsi="宋体" w:cs="Calibri"/>
          <w:sz w:val="22"/>
          <w:szCs w:val="22"/>
        </w:rPr>
        <w:t>投标产品近三年的销售业绩一览表（附业绩的合同）。</w:t>
      </w:r>
    </w:p>
    <w:p>
      <w:pPr>
        <w:adjustRightInd w:val="0"/>
        <w:snapToGrid w:val="0"/>
        <w:spacing w:line="400" w:lineRule="exact"/>
        <w:ind w:firstLine="440" w:firstLineChars="200"/>
        <w:rPr>
          <w:rFonts w:ascii="宋体" w:hAnsi="宋体" w:cs="宋体"/>
          <w:sz w:val="22"/>
          <w:szCs w:val="22"/>
        </w:rPr>
      </w:pPr>
      <w:r>
        <w:rPr>
          <w:rFonts w:hint="eastAsia" w:ascii="宋体" w:hAnsi="宋体" w:cs="Calibri"/>
          <w:sz w:val="22"/>
          <w:szCs w:val="22"/>
        </w:rPr>
        <w:t>六、</w:t>
      </w:r>
      <w:r>
        <w:rPr>
          <w:rFonts w:hint="eastAsia" w:ascii="宋体" w:hAnsi="宋体" w:cs="宋体"/>
          <w:sz w:val="22"/>
          <w:szCs w:val="22"/>
        </w:rPr>
        <w:t>技术规格偏离表；</w:t>
      </w:r>
    </w:p>
    <w:p>
      <w:pPr>
        <w:adjustRightInd w:val="0"/>
        <w:snapToGrid w:val="0"/>
        <w:spacing w:line="400" w:lineRule="exact"/>
        <w:ind w:firstLine="440" w:firstLineChars="200"/>
        <w:rPr>
          <w:rFonts w:ascii="宋体" w:hAnsi="宋体" w:cs="Calibri"/>
          <w:sz w:val="22"/>
          <w:szCs w:val="22"/>
        </w:rPr>
      </w:pPr>
      <w:r>
        <w:rPr>
          <w:rFonts w:hint="eastAsia" w:ascii="宋体" w:hAnsi="宋体" w:cs="宋体"/>
          <w:sz w:val="22"/>
          <w:szCs w:val="22"/>
        </w:rPr>
        <w:t>七、商务条款响应偏离表；</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八、系统设备供货范围（包括设备数量、型号规格、产地、品牌），进口零部件详细清单（需说明产地、品牌）；</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九、技术参数、结构及性能特点等产品技术规格书；</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十、主要原材料及部件性能和生产厂家；</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十一、产品制造、安装、验收标准和验收方法；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十二、现场指导、调试；</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十三、</w:t>
      </w:r>
      <w:r>
        <w:rPr>
          <w:rFonts w:ascii="宋体" w:hAnsi="宋体" w:cs="宋体"/>
          <w:sz w:val="22"/>
          <w:szCs w:val="22"/>
        </w:rPr>
        <w:t>产品的技术服务和售后服务的内容、措施、承诺</w:t>
      </w:r>
      <w:r>
        <w:rPr>
          <w:rFonts w:hint="eastAsia" w:ascii="宋体" w:hAnsi="宋体" w:cs="宋体"/>
          <w:sz w:val="22"/>
          <w:szCs w:val="22"/>
        </w:rPr>
        <w:t>；</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十四、提供详细的培训计划，包括培训内容、培训时间、培训人数等；</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十五、关于质量保证期的说明；</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十六、优惠条件：投标人承诺给予用户的其他优惠条款，包括付款条件、培训服务、质量保证期等方面的优惠；</w:t>
      </w:r>
    </w:p>
    <w:p>
      <w:pPr>
        <w:adjustRightInd w:val="0"/>
        <w:snapToGrid w:val="0"/>
        <w:spacing w:line="400" w:lineRule="exact"/>
        <w:ind w:firstLine="440" w:firstLineChars="200"/>
        <w:rPr>
          <w:rFonts w:ascii="宋体" w:hAnsi="宋体" w:cs="宋体"/>
          <w:sz w:val="22"/>
          <w:szCs w:val="22"/>
        </w:rPr>
      </w:pPr>
      <w:r>
        <w:rPr>
          <w:rFonts w:hint="eastAsia" w:ascii="宋体" w:hAnsi="宋体" w:cs="宋体"/>
          <w:sz w:val="22"/>
          <w:szCs w:val="22"/>
        </w:rPr>
        <w:t>十七、</w:t>
      </w:r>
      <w:r>
        <w:rPr>
          <w:rFonts w:hint="eastAsia" w:cs="Arial" w:asciiTheme="minorEastAsia" w:hAnsiTheme="minorEastAsia"/>
          <w:color w:val="000000"/>
          <w:sz w:val="22"/>
          <w:szCs w:val="22"/>
        </w:rPr>
        <w:t>投标人认为</w:t>
      </w:r>
      <w:r>
        <w:rPr>
          <w:rFonts w:cs="Arial" w:asciiTheme="minorEastAsia" w:hAnsiTheme="minorEastAsia"/>
          <w:color w:val="000000"/>
          <w:sz w:val="22"/>
          <w:szCs w:val="22"/>
        </w:rPr>
        <w:t>应该提供的其他材料</w:t>
      </w:r>
      <w:r>
        <w:rPr>
          <w:rFonts w:hint="eastAsia" w:ascii="宋体" w:hAnsi="宋体" w:cs="宋体"/>
          <w:sz w:val="22"/>
          <w:szCs w:val="22"/>
        </w:rPr>
        <w:t>。</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416" w:name="_Toc171421958"/>
      <w:r>
        <w:rPr>
          <w:rFonts w:cs="Calibri"/>
          <w:color w:val="000000"/>
        </w:rPr>
        <w:t>封面</w:t>
      </w:r>
      <w:bookmarkEnd w:id="416"/>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浙江省机场集团有限公司采购</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（盖单位章）</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（签字或盖章）</w:t>
      </w:r>
    </w:p>
    <w:p>
      <w:pPr>
        <w:spacing w:line="360" w:lineRule="auto"/>
        <w:ind w:firstLine="1400" w:firstLineChars="500"/>
        <w:rPr>
          <w:rFonts w:cs="Calibri"/>
          <w:color w:val="000000"/>
          <w:sz w:val="28"/>
          <w:szCs w:val="28"/>
        </w:rPr>
      </w:pPr>
      <w:r>
        <w:rPr>
          <w:rFonts w:cs="Calibri"/>
          <w:color w:val="000000"/>
          <w:sz w:val="28"/>
          <w:szCs w:val="28"/>
        </w:rPr>
        <w:t>日期：年月日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浙江省机场集团有限公司</w:t>
      </w:r>
    </w:p>
    <w:p>
      <w:pPr>
        <w:overflowPunct w:val="0"/>
        <w:autoSpaceDE w:val="0"/>
        <w:autoSpaceDN w:val="0"/>
        <w:spacing w:line="440" w:lineRule="exact"/>
        <w:ind w:firstLine="440" w:firstLineChars="200"/>
        <w:rPr>
          <w:rFonts w:ascii="宋体" w:hAnsi="宋体"/>
          <w:sz w:val="22"/>
          <w:szCs w:val="22"/>
        </w:rPr>
      </w:pPr>
      <w:r>
        <w:rPr>
          <w:rFonts w:ascii="宋体" w:hAnsi="宋体"/>
          <w:sz w:val="22"/>
          <w:szCs w:val="22"/>
        </w:rPr>
        <w:t>根据贵方</w:t>
      </w:r>
      <w:r>
        <w:rPr>
          <w:rFonts w:hint="eastAsia" w:ascii="宋体" w:hAnsi="宋体"/>
          <w:sz w:val="22"/>
          <w:szCs w:val="22"/>
        </w:rPr>
        <w:t>浙江省机场集团有限公司</w:t>
      </w:r>
      <w:r>
        <w:rPr>
          <w:rFonts w:ascii="宋体" w:hAnsi="宋体"/>
          <w:sz w:val="22"/>
          <w:szCs w:val="22"/>
        </w:rPr>
        <w:t>采购项</w:t>
      </w:r>
      <w:r>
        <w:rPr>
          <w:rFonts w:hint="eastAsia" w:ascii="宋体" w:hAnsi="宋体"/>
          <w:sz w:val="22"/>
          <w:szCs w:val="22"/>
        </w:rPr>
        <w:t>目</w:t>
      </w:r>
      <w:r>
        <w:rPr>
          <w:rFonts w:ascii="宋体" w:hAnsi="宋体"/>
          <w:sz w:val="22"/>
          <w:szCs w:val="22"/>
        </w:rPr>
        <w:t>的</w:t>
      </w:r>
      <w:r>
        <w:rPr>
          <w:rFonts w:hint="eastAsia" w:ascii="宋体" w:hAnsi="宋体"/>
          <w:sz w:val="22"/>
          <w:szCs w:val="22"/>
        </w:rPr>
        <w:t>招标文件</w:t>
      </w:r>
      <w:r>
        <w:rPr>
          <w:rFonts w:ascii="宋体" w:hAnsi="宋体"/>
          <w:sz w:val="22"/>
          <w:szCs w:val="22"/>
        </w:rPr>
        <w:t>，授权代表(全名、职务)经正式授权</w:t>
      </w:r>
      <w:r>
        <w:rPr>
          <w:rFonts w:hint="eastAsia" w:ascii="宋体" w:hAnsi="宋体"/>
          <w:sz w:val="22"/>
          <w:szCs w:val="22"/>
        </w:rPr>
        <w:t>，</w:t>
      </w:r>
      <w:r>
        <w:rPr>
          <w:rFonts w:ascii="宋体" w:hAnsi="宋体"/>
          <w:sz w:val="22"/>
          <w:szCs w:val="22"/>
        </w:rPr>
        <w:t>代表投标人(投标人名称、地址)递交下述文件正本一份</w:t>
      </w:r>
      <w:r>
        <w:rPr>
          <w:rFonts w:hint="eastAsia" w:ascii="宋体" w:hAnsi="宋体"/>
          <w:sz w:val="22"/>
          <w:szCs w:val="22"/>
        </w:rPr>
        <w:t>、</w:t>
      </w:r>
      <w:r>
        <w:rPr>
          <w:rFonts w:ascii="宋体" w:hAnsi="宋体"/>
          <w:sz w:val="22"/>
          <w:szCs w:val="22"/>
        </w:rPr>
        <w:t>副本</w:t>
      </w:r>
      <w:r>
        <w:rPr>
          <w:rFonts w:hint="eastAsia" w:ascii="宋体" w:hAnsi="宋体"/>
          <w:sz w:val="22"/>
          <w:szCs w:val="22"/>
        </w:rPr>
        <w:t>二</w:t>
      </w:r>
      <w:r>
        <w:rPr>
          <w:rFonts w:ascii="宋体" w:hAnsi="宋体"/>
          <w:sz w:val="22"/>
          <w:szCs w:val="22"/>
        </w:rPr>
        <w:t>份。</w:t>
      </w:r>
    </w:p>
    <w:p>
      <w:pPr>
        <w:overflowPunct w:val="0"/>
        <w:autoSpaceDE w:val="0"/>
        <w:autoSpaceDN w:val="0"/>
        <w:spacing w:line="440" w:lineRule="exact"/>
        <w:ind w:firstLine="440" w:firstLineChars="200"/>
        <w:rPr>
          <w:rFonts w:ascii="宋体" w:hAnsi="宋体" w:cs="Arial"/>
          <w:sz w:val="22"/>
          <w:szCs w:val="22"/>
        </w:rPr>
      </w:pPr>
      <w:r>
        <w:rPr>
          <w:rFonts w:ascii="宋体" w:hAnsi="宋体" w:cs="Arial"/>
          <w:sz w:val="22"/>
          <w:szCs w:val="22"/>
        </w:rPr>
        <w:t>据此函，本授权代表宣布同意如下：</w:t>
      </w:r>
    </w:p>
    <w:p>
      <w:pPr>
        <w:numPr>
          <w:ilvl w:val="0"/>
          <w:numId w:val="40"/>
        </w:numPr>
        <w:tabs>
          <w:tab w:val="left" w:pos="840"/>
        </w:tabs>
        <w:overflowPunct w:val="0"/>
        <w:autoSpaceDE w:val="0"/>
        <w:autoSpaceDN w:val="0"/>
        <w:spacing w:line="440" w:lineRule="exact"/>
        <w:rPr>
          <w:rFonts w:ascii="宋体" w:hAnsi="宋体"/>
          <w:sz w:val="22"/>
          <w:szCs w:val="22"/>
        </w:rPr>
      </w:pPr>
      <w:r>
        <w:rPr>
          <w:rFonts w:ascii="宋体" w:hAnsi="宋体"/>
          <w:sz w:val="22"/>
          <w:szCs w:val="22"/>
        </w:rPr>
        <w:t>所投标报价汇总表中规定的应提供的货物和服务，投标总价为人民币：</w:t>
      </w:r>
    </w:p>
    <w:p>
      <w:pPr>
        <w:overflowPunct w:val="0"/>
        <w:autoSpaceDE w:val="0"/>
        <w:autoSpaceDN w:val="0"/>
        <w:spacing w:line="440" w:lineRule="exact"/>
        <w:ind w:left="475" w:leftChars="198" w:firstLine="440" w:firstLineChars="200"/>
        <w:rPr>
          <w:rFonts w:ascii="宋体" w:hAnsi="宋体"/>
          <w:sz w:val="22"/>
          <w:szCs w:val="22"/>
        </w:rPr>
      </w:pPr>
      <w:r>
        <w:rPr>
          <w:rFonts w:ascii="宋体" w:hAnsi="宋体"/>
          <w:sz w:val="22"/>
          <w:szCs w:val="22"/>
        </w:rPr>
        <w:t>(大写)(小写)。</w:t>
      </w:r>
    </w:p>
    <w:p>
      <w:pPr>
        <w:overflowPunct w:val="0"/>
        <w:autoSpaceDE w:val="0"/>
        <w:autoSpaceDN w:val="0"/>
        <w:spacing w:line="440" w:lineRule="exact"/>
        <w:ind w:left="475" w:leftChars="198" w:firstLine="440" w:firstLineChars="200"/>
        <w:rPr>
          <w:rFonts w:ascii="宋体" w:hAnsi="宋体"/>
          <w:sz w:val="22"/>
          <w:szCs w:val="22"/>
        </w:rPr>
      </w:pPr>
      <w:r>
        <w:rPr>
          <w:rFonts w:hint="eastAsia" w:ascii="宋体" w:hAnsi="宋体"/>
          <w:sz w:val="22"/>
          <w:szCs w:val="22"/>
        </w:rPr>
        <w:t>供货期：合同签订后日历天、投标品牌：</w:t>
      </w:r>
    </w:p>
    <w:p>
      <w:pPr>
        <w:numPr>
          <w:ilvl w:val="0"/>
          <w:numId w:val="4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投标人将按投标文件的规定履行合同责任和义务。</w:t>
      </w:r>
    </w:p>
    <w:p>
      <w:pPr>
        <w:numPr>
          <w:ilvl w:val="0"/>
          <w:numId w:val="4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投标人已详细审查全部招标文件包括澄清函和修改文件(如果有)、所有已提供的资料以及有关附件，</w:t>
      </w:r>
      <w:r>
        <w:rPr>
          <w:rFonts w:hint="eastAsia"/>
          <w:sz w:val="22"/>
          <w:szCs w:val="22"/>
        </w:rPr>
        <w:t>投标人已完全理解上述文件的全部内容，并放弃提出任何误解或不明作为抗辩的权利</w:t>
      </w:r>
      <w:r>
        <w:rPr>
          <w:rFonts w:ascii="宋体" w:hAnsi="宋体"/>
          <w:sz w:val="22"/>
          <w:szCs w:val="22"/>
        </w:rPr>
        <w:t>。</w:t>
      </w:r>
    </w:p>
    <w:p>
      <w:pPr>
        <w:numPr>
          <w:ilvl w:val="0"/>
          <w:numId w:val="4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本投标的投标有效期为自</w:t>
      </w:r>
      <w:r>
        <w:rPr>
          <w:rFonts w:hint="eastAsia" w:ascii="宋体" w:hAnsi="宋体"/>
          <w:sz w:val="22"/>
          <w:szCs w:val="22"/>
        </w:rPr>
        <w:t>投标截止</w:t>
      </w:r>
      <w:r>
        <w:rPr>
          <w:rFonts w:ascii="宋体" w:hAnsi="宋体"/>
          <w:sz w:val="22"/>
          <w:szCs w:val="22"/>
        </w:rPr>
        <w:t>之日起</w:t>
      </w:r>
      <w:r>
        <w:rPr>
          <w:rFonts w:hint="eastAsia" w:ascii="宋体" w:hAnsi="宋体"/>
          <w:sz w:val="22"/>
          <w:szCs w:val="22"/>
        </w:rPr>
        <w:t>120</w:t>
      </w:r>
      <w:r>
        <w:rPr>
          <w:rFonts w:ascii="宋体" w:hAnsi="宋体"/>
          <w:sz w:val="22"/>
          <w:szCs w:val="22"/>
        </w:rPr>
        <w:t>日</w:t>
      </w:r>
      <w:r>
        <w:rPr>
          <w:rFonts w:hint="eastAsia" w:ascii="宋体" w:hAnsi="宋体"/>
          <w:sz w:val="22"/>
          <w:szCs w:val="22"/>
        </w:rPr>
        <w:t>内</w:t>
      </w:r>
      <w:r>
        <w:rPr>
          <w:rFonts w:ascii="宋体" w:hAnsi="宋体"/>
          <w:sz w:val="22"/>
          <w:szCs w:val="22"/>
        </w:rPr>
        <w:t>。</w:t>
      </w:r>
    </w:p>
    <w:p>
      <w:pPr>
        <w:numPr>
          <w:ilvl w:val="0"/>
          <w:numId w:val="4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投标人完全清楚并理解在投标有效期期满之前撤回投标，招标人有权</w:t>
      </w:r>
      <w:r>
        <w:rPr>
          <w:rFonts w:hint="eastAsia" w:ascii="宋体" w:hAnsi="宋体" w:cs="宋体"/>
          <w:sz w:val="22"/>
          <w:szCs w:val="22"/>
        </w:rPr>
        <w:t>不予退还</w:t>
      </w:r>
      <w:r>
        <w:rPr>
          <w:rFonts w:ascii="宋体" w:hAnsi="宋体"/>
          <w:sz w:val="22"/>
          <w:szCs w:val="22"/>
        </w:rPr>
        <w:t>投标人的</w:t>
      </w:r>
      <w:r>
        <w:rPr>
          <w:rFonts w:hint="eastAsia" w:ascii="宋体" w:hAnsi="宋体"/>
          <w:sz w:val="22"/>
          <w:szCs w:val="22"/>
        </w:rPr>
        <w:t>投标保证金及银行同期存款利息</w:t>
      </w:r>
      <w:r>
        <w:rPr>
          <w:rFonts w:ascii="宋体" w:hAnsi="宋体"/>
          <w:sz w:val="22"/>
          <w:szCs w:val="22"/>
        </w:rPr>
        <w:t>。</w:t>
      </w:r>
    </w:p>
    <w:p>
      <w:pPr>
        <w:numPr>
          <w:ilvl w:val="0"/>
          <w:numId w:val="4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投标人同意按照贵方可能提出的要求提供与其投标有关的任何其它数字或资料，并对贵方可能不接受最低价投标及任何投标表示理解。</w:t>
      </w:r>
    </w:p>
    <w:p>
      <w:pPr>
        <w:numPr>
          <w:ilvl w:val="0"/>
          <w:numId w:val="40"/>
        </w:numPr>
        <w:tabs>
          <w:tab w:val="left" w:pos="840"/>
        </w:tabs>
        <w:overflowPunct w:val="0"/>
        <w:autoSpaceDE w:val="0"/>
        <w:autoSpaceDN w:val="0"/>
        <w:spacing w:line="440" w:lineRule="exact"/>
        <w:ind w:left="840" w:hanging="420"/>
        <w:rPr>
          <w:rFonts w:ascii="宋体" w:hAnsi="宋体"/>
          <w:sz w:val="22"/>
          <w:szCs w:val="22"/>
        </w:rPr>
      </w:pPr>
      <w:r>
        <w:rPr>
          <w:rFonts w:ascii="宋体" w:hAnsi="宋体"/>
          <w:sz w:val="22"/>
          <w:szCs w:val="22"/>
        </w:rPr>
        <w:t>如果我方中标，我方将提供金额相当于合同价的10%的履约保证金，作为履行合同的担保。</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投标人：（盖单位章）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法定代表人或其委托代理人：（签字或盖章）</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地    址：</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邮政编码：</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电    话：</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传    真：</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开户银行：</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账    号：</w:t>
      </w:r>
    </w:p>
    <w:p>
      <w:pPr>
        <w:snapToGrid w:val="0"/>
        <w:spacing w:line="440" w:lineRule="exact"/>
        <w:ind w:firstLine="3300" w:firstLineChars="1500"/>
        <w:rPr>
          <w:rFonts w:cs="Calibri" w:asciiTheme="minorEastAsia" w:hAnsiTheme="minorEastAsia"/>
          <w:color w:val="000000"/>
          <w:sz w:val="22"/>
          <w:szCs w:val="22"/>
        </w:rPr>
      </w:pPr>
      <w:r>
        <w:rPr>
          <w:rFonts w:cs="Calibri" w:asciiTheme="minorEastAsia" w:hAnsiTheme="minorEastAsia"/>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p>
    <w:p>
      <w:pPr>
        <w:spacing w:after="120" w:afterLines="50" w:line="440" w:lineRule="exact"/>
        <w:rPr>
          <w:rFonts w:cs="Calibri"/>
          <w:color w:val="000000"/>
          <w:sz w:val="22"/>
          <w:szCs w:val="22"/>
          <w:u w:val="single"/>
        </w:rPr>
      </w:pPr>
      <w:r>
        <w:rPr>
          <w:rFonts w:cs="Calibri"/>
          <w:color w:val="000000"/>
          <w:sz w:val="22"/>
          <w:szCs w:val="22"/>
        </w:rPr>
        <w:t>单位性质：</w:t>
      </w:r>
    </w:p>
    <w:p>
      <w:pPr>
        <w:spacing w:after="120" w:afterLines="50" w:line="440" w:lineRule="exact"/>
        <w:rPr>
          <w:rFonts w:cs="Calibri"/>
          <w:color w:val="000000"/>
          <w:sz w:val="22"/>
          <w:szCs w:val="22"/>
          <w:u w:val="single"/>
        </w:rPr>
      </w:pPr>
      <w:r>
        <w:rPr>
          <w:rFonts w:cs="Calibri"/>
          <w:color w:val="000000"/>
          <w:sz w:val="22"/>
          <w:szCs w:val="22"/>
        </w:rPr>
        <w:t>地址：</w:t>
      </w:r>
    </w:p>
    <w:p>
      <w:pPr>
        <w:spacing w:after="120" w:afterLines="50" w:line="440" w:lineRule="exact"/>
        <w:rPr>
          <w:rFonts w:cs="Calibri"/>
          <w:color w:val="000000"/>
          <w:sz w:val="22"/>
          <w:szCs w:val="22"/>
          <w:u w:val="single"/>
        </w:rPr>
      </w:pPr>
      <w:r>
        <w:rPr>
          <w:rFonts w:cs="Calibri"/>
          <w:color w:val="000000"/>
          <w:sz w:val="22"/>
          <w:szCs w:val="22"/>
        </w:rPr>
        <w:t>成立时间：年月日</w:t>
      </w:r>
    </w:p>
    <w:p>
      <w:pPr>
        <w:spacing w:after="120" w:afterLines="50" w:line="440" w:lineRule="exact"/>
        <w:rPr>
          <w:rFonts w:cs="Calibri"/>
          <w:color w:val="000000"/>
          <w:sz w:val="22"/>
          <w:szCs w:val="22"/>
          <w:u w:val="single"/>
        </w:rPr>
      </w:pPr>
      <w:r>
        <w:rPr>
          <w:rFonts w:cs="Calibri"/>
          <w:color w:val="000000"/>
          <w:sz w:val="22"/>
          <w:szCs w:val="22"/>
        </w:rPr>
        <w:t>经营期限：</w:t>
      </w:r>
    </w:p>
    <w:p>
      <w:pPr>
        <w:spacing w:after="120" w:afterLines="50" w:line="440" w:lineRule="exact"/>
        <w:rPr>
          <w:rFonts w:cs="Calibri"/>
          <w:color w:val="000000"/>
          <w:sz w:val="22"/>
          <w:szCs w:val="22"/>
          <w:u w:val="single"/>
        </w:rPr>
      </w:pPr>
      <w:r>
        <w:rPr>
          <w:rFonts w:cs="Calibri"/>
          <w:color w:val="000000"/>
          <w:sz w:val="22"/>
          <w:szCs w:val="22"/>
        </w:rPr>
        <w:t>姓名：性别：年龄：职务：</w:t>
      </w:r>
    </w:p>
    <w:p>
      <w:pPr>
        <w:spacing w:after="120" w:afterLines="50" w:line="440" w:lineRule="exact"/>
        <w:rPr>
          <w:rFonts w:cs="Calibri"/>
          <w:color w:val="000000"/>
          <w:sz w:val="22"/>
          <w:szCs w:val="22"/>
          <w:u w:val="single"/>
        </w:rPr>
      </w:pPr>
      <w:r>
        <w:rPr>
          <w:rFonts w:cs="Calibri"/>
          <w:color w:val="000000"/>
          <w:sz w:val="22"/>
          <w:szCs w:val="22"/>
        </w:rPr>
        <w:t>身份证号码：</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系（投标人名称）的法定代表人。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投标人：（盖单位章）</w:t>
      </w:r>
    </w:p>
    <w:p>
      <w:pPr>
        <w:spacing w:line="440" w:lineRule="exact"/>
        <w:ind w:firstLine="4936" w:firstLineChars="2235"/>
        <w:rPr>
          <w:rFonts w:cs="Calibri"/>
          <w:b/>
          <w:color w:val="000000"/>
          <w:sz w:val="22"/>
          <w:szCs w:val="22"/>
        </w:rPr>
      </w:pPr>
      <w:r>
        <w:rPr>
          <w:rFonts w:cs="Calibri"/>
          <w:b/>
          <w:color w:val="000000"/>
          <w:sz w:val="22"/>
          <w:szCs w:val="22"/>
        </w:rPr>
        <w:pict>
          <v:shape id="Text Box 6" o:spid="_x0000_s1026" o:spt="202" type="#_x0000_t202" style="position:absolute;left:0pt;margin-left:0pt;margin-top:63.25pt;height:171.6pt;width:423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 w:val="22"/>
          <w:szCs w:val="22"/>
        </w:rPr>
        <w:t>日期：年月日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姓名）系（投标人名称）的法定代表人，现委托（姓名）为我方代理人。代理人根据授权，以我方名义签署、澄清、说明、补正、递交、撤回、修改（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日期：年月日</w:t>
      </w:r>
    </w:p>
    <w:p>
      <w:pPr>
        <w:snapToGrid w:val="0"/>
        <w:spacing w:line="440" w:lineRule="exact"/>
        <w:rPr>
          <w:rFonts w:cs="Calibri"/>
          <w:color w:val="000000"/>
          <w:szCs w:val="21"/>
        </w:rPr>
      </w:pPr>
      <w:r>
        <w:rPr>
          <w:rFonts w:cs="Calibri"/>
          <w:b/>
          <w:color w:val="000000"/>
          <w:szCs w:val="21"/>
        </w:rPr>
        <w:pict>
          <v:shape id="Text Box 7" o:spid="_x0000_s1027" o:spt="202" type="#_x0000_t202" style="position:absolute;left:0pt;margin-left:9.15pt;margin-top:20.8pt;height:171.6pt;width:423pt;mso-wrap-distance-bottom:0pt;mso-wrap-distance-left:9pt;mso-wrap-distance-right:9pt;mso-wrap-distance-top:0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p>
    <w:p>
      <w:pPr>
        <w:spacing w:line="440" w:lineRule="exact"/>
        <w:rPr>
          <w:rFonts w:cs="Calibri"/>
          <w:b/>
          <w:bCs/>
          <w:color w:val="000000"/>
          <w:szCs w:val="21"/>
        </w:rPr>
      </w:pP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p>
    <w:p>
      <w:pPr>
        <w:spacing w:line="360" w:lineRule="auto"/>
        <w:jc w:val="left"/>
        <w:rPr>
          <w:rFonts w:ascii="宋体" w:hAnsi="宋体" w:cs="宋体"/>
          <w:sz w:val="22"/>
        </w:rPr>
      </w:pPr>
    </w:p>
    <w:p>
      <w:pPr>
        <w:pStyle w:val="29"/>
        <w:spacing w:after="120" w:afterLines="50" w:line="360" w:lineRule="auto"/>
        <w:jc w:val="left"/>
        <w:rPr>
          <w:rFonts w:hAnsi="宋体" w:cs="宋体"/>
          <w:b/>
        </w:rPr>
      </w:pPr>
      <w:r>
        <w:rPr>
          <w:rFonts w:hAnsi="宋体" w:cs="宋体"/>
          <w:b/>
        </w:rPr>
        <w:br w:type="page"/>
      </w:r>
      <w:bookmarkStart w:id="417" w:name="_Toc133214102"/>
      <w:bookmarkStart w:id="418" w:name="_Toc133214309"/>
      <w:bookmarkStart w:id="419" w:name="_Toc133470542"/>
      <w:bookmarkStart w:id="420" w:name="_Toc137373398"/>
      <w:bookmarkStart w:id="421" w:name="_Toc144265958"/>
    </w:p>
    <w:p>
      <w:pPr>
        <w:pStyle w:val="29"/>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四、投标报价表</w:t>
      </w:r>
    </w:p>
    <w:p>
      <w:pPr>
        <w:pStyle w:val="29"/>
        <w:spacing w:after="120" w:afterLines="50" w:line="360" w:lineRule="auto"/>
        <w:jc w:val="center"/>
        <w:rPr>
          <w:rFonts w:hAnsi="宋体" w:cs="宋体"/>
        </w:rPr>
      </w:pPr>
    </w:p>
    <w:p>
      <w:pPr>
        <w:pStyle w:val="29"/>
        <w:numPr>
          <w:ilvl w:val="1"/>
          <w:numId w:val="4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29"/>
        <w:numPr>
          <w:ilvl w:val="1"/>
          <w:numId w:val="4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29"/>
        <w:numPr>
          <w:ilvl w:val="1"/>
          <w:numId w:val="42"/>
        </w:numPr>
        <w:snapToGrid w:val="0"/>
        <w:spacing w:before="120" w:beforeLines="50" w:line="360" w:lineRule="exact"/>
        <w:rPr>
          <w:rFonts w:hAnsi="宋体" w:cs="宋体"/>
          <w:sz w:val="22"/>
          <w:szCs w:val="22"/>
        </w:rPr>
      </w:pPr>
      <w:r>
        <w:rPr>
          <w:rFonts w:hint="eastAsia" w:hAnsi="宋体" w:cs="宋体"/>
          <w:sz w:val="22"/>
          <w:szCs w:val="22"/>
        </w:rPr>
        <w:t>报价应包含本项目所有税项。如招标人根据法规和国家有关规定获减免税或退税，利益完全归招标人。</w:t>
      </w:r>
    </w:p>
    <w:p>
      <w:pPr>
        <w:pStyle w:val="29"/>
        <w:numPr>
          <w:ilvl w:val="1"/>
          <w:numId w:val="4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29"/>
        <w:numPr>
          <w:ilvl w:val="1"/>
          <w:numId w:val="4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29"/>
        <w:numPr>
          <w:ilvl w:val="1"/>
          <w:numId w:val="42"/>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29"/>
        <w:numPr>
          <w:ilvl w:val="1"/>
          <w:numId w:val="4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本总则上列各条中提及的“投标人”在合同执行过程中应作为“乙方”解释。</w:t>
      </w:r>
    </w:p>
    <w:p>
      <w:pPr>
        <w:pStyle w:val="29"/>
        <w:numPr>
          <w:ilvl w:val="1"/>
          <w:numId w:val="41"/>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bookmarkEnd w:id="417"/>
    <w:bookmarkEnd w:id="418"/>
    <w:bookmarkEnd w:id="419"/>
    <w:bookmarkEnd w:id="420"/>
    <w:bookmarkEnd w:id="421"/>
    <w:p>
      <w:pPr>
        <w:snapToGrid w:val="0"/>
        <w:spacing w:before="120"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120" w:beforeLines="50" w:line="360" w:lineRule="exact"/>
        <w:ind w:left="1134"/>
        <w:rPr>
          <w:rFonts w:ascii="宋体" w:hAnsi="宋体" w:cs="宋体"/>
          <w:sz w:val="22"/>
        </w:rPr>
      </w:pPr>
      <w:r>
        <w:rPr>
          <w:rFonts w:hint="eastAsia" w:ascii="宋体" w:hAnsi="宋体" w:cs="宋体"/>
          <w:sz w:val="22"/>
        </w:rPr>
        <w:t>(2)设备费分项报价表</w:t>
      </w:r>
    </w:p>
    <w:p>
      <w:pPr>
        <w:snapToGrid w:val="0"/>
        <w:spacing w:before="120" w:beforeLines="50" w:line="360" w:lineRule="exact"/>
        <w:ind w:left="1134"/>
        <w:rPr>
          <w:rFonts w:ascii="宋体" w:hAnsi="宋体" w:cs="宋体"/>
          <w:sz w:val="22"/>
        </w:rPr>
      </w:pPr>
      <w:r>
        <w:rPr>
          <w:rFonts w:hint="eastAsia" w:ascii="宋体" w:hAnsi="宋体" w:cs="宋体"/>
          <w:sz w:val="22"/>
        </w:rPr>
        <w:t>(3)随机配件和专用工具分项报价表</w:t>
      </w:r>
    </w:p>
    <w:p>
      <w:pPr>
        <w:snapToGrid w:val="0"/>
        <w:spacing w:before="120" w:beforeLines="50" w:line="360" w:lineRule="exact"/>
        <w:ind w:left="1134"/>
        <w:rPr>
          <w:rFonts w:ascii="宋体" w:hAnsi="宋体" w:cs="宋体"/>
          <w:sz w:val="22"/>
        </w:rPr>
      </w:pPr>
      <w:r>
        <w:rPr>
          <w:rFonts w:hint="eastAsia" w:ascii="宋体" w:hAnsi="宋体" w:cs="宋体"/>
          <w:sz w:val="22"/>
        </w:rPr>
        <w:t>(4)备品备件分项报价表（不计入总价）</w:t>
      </w:r>
    </w:p>
    <w:p>
      <w:pPr>
        <w:snapToGrid w:val="0"/>
        <w:spacing w:before="120" w:beforeLines="50" w:line="360" w:lineRule="exact"/>
        <w:ind w:left="1134"/>
        <w:rPr>
          <w:rFonts w:ascii="宋体" w:hAnsi="宋体" w:cs="宋体"/>
          <w:sz w:val="22"/>
        </w:rPr>
      </w:pP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4.1 投标报价汇总表</w:t>
      </w:r>
    </w:p>
    <w:p>
      <w:pPr>
        <w:spacing w:line="360" w:lineRule="auto"/>
        <w:rPr>
          <w:rFonts w:ascii="宋体" w:hAnsi="宋体" w:cs="宋体"/>
        </w:rPr>
      </w:pPr>
    </w:p>
    <w:p>
      <w:pPr>
        <w:spacing w:line="360" w:lineRule="auto"/>
        <w:jc w:val="right"/>
        <w:rPr>
          <w:rFonts w:ascii="宋体" w:hAnsi="宋体" w:cs="宋体"/>
          <w:sz w:val="22"/>
        </w:rPr>
      </w:pPr>
      <w:r>
        <w:rPr>
          <w:rFonts w:hint="eastAsia" w:ascii="宋体" w:hAnsi="宋体" w:cs="宋体"/>
          <w:sz w:val="22"/>
        </w:rPr>
        <w:t>[货币单位：人民币元]</w:t>
      </w:r>
    </w:p>
    <w:tbl>
      <w:tblPr>
        <w:tblStyle w:val="52"/>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设备费(表4.2)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2</w:t>
            </w:r>
          </w:p>
        </w:tc>
        <w:tc>
          <w:tcPr>
            <w:tcW w:w="2976" w:type="dxa"/>
            <w:vAlign w:val="center"/>
          </w:tcPr>
          <w:p>
            <w:pPr>
              <w:snapToGrid w:val="0"/>
              <w:jc w:val="center"/>
              <w:rPr>
                <w:rFonts w:ascii="宋体" w:hAnsi="宋体" w:cs="宋体"/>
                <w:sz w:val="22"/>
              </w:rPr>
            </w:pPr>
            <w:r>
              <w:rPr>
                <w:rFonts w:hint="eastAsia" w:ascii="宋体" w:hAnsi="宋体" w:cs="宋体"/>
                <w:sz w:val="22"/>
              </w:rPr>
              <w:t>随机配件和专用工具(表4.3)</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spacing w:line="360" w:lineRule="auto"/>
        <w:jc w:val="right"/>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r>
        <w:rPr>
          <w:rFonts w:hint="eastAsia" w:ascii="宋体" w:hAnsi="宋体" w:cs="宋体"/>
          <w:sz w:val="22"/>
        </w:rPr>
        <w:t>注：</w:t>
      </w:r>
    </w:p>
    <w:p>
      <w:pPr>
        <w:numPr>
          <w:ilvl w:val="2"/>
          <w:numId w:val="43"/>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此表的“总计”系所有需招标人支付的投标金额总数即投标总价，投标总价中已包含投标人完成本招标项目的一切费用包括税费。</w:t>
      </w:r>
    </w:p>
    <w:p>
      <w:pPr>
        <w:numPr>
          <w:ilvl w:val="2"/>
          <w:numId w:val="43"/>
        </w:numPr>
        <w:adjustRightInd w:val="0"/>
        <w:snapToGrid w:val="0"/>
        <w:spacing w:line="360" w:lineRule="auto"/>
        <w:jc w:val="left"/>
        <w:textAlignment w:val="baseline"/>
        <w:rPr>
          <w:rFonts w:ascii="宋体" w:hAnsi="宋体" w:cs="宋体"/>
          <w:sz w:val="22"/>
        </w:rPr>
      </w:pPr>
      <w:r>
        <w:rPr>
          <w:rFonts w:hint="eastAsia" w:ascii="宋体" w:hAnsi="宋体" w:cs="宋体"/>
          <w:sz w:val="22"/>
        </w:rPr>
        <w:t>此表为表4.2、表4.3的汇总表。</w:t>
      </w:r>
    </w:p>
    <w:p>
      <w:pPr>
        <w:snapToGrid w:val="0"/>
        <w:spacing w:line="360" w:lineRule="auto"/>
        <w:rPr>
          <w:rFonts w:ascii="宋体" w:hAnsi="宋体" w:cs="宋体"/>
          <w:sz w:val="22"/>
        </w:rPr>
      </w:pPr>
    </w:p>
    <w:p>
      <w:pPr>
        <w:spacing w:before="120" w:beforeLines="50" w:line="360" w:lineRule="auto"/>
        <w:ind w:firstLine="3960"/>
        <w:rPr>
          <w:rFonts w:ascii="宋体" w:hAnsi="宋体" w:cs="宋体"/>
        </w:rPr>
      </w:pPr>
      <w:bookmarkStart w:id="422" w:name="_Toc133470544"/>
      <w:bookmarkStart w:id="423" w:name="_Toc133214103"/>
      <w:bookmarkStart w:id="424" w:name="_Toc133214310"/>
      <w:bookmarkStart w:id="425" w:name="_Toc137373399"/>
    </w:p>
    <w:p>
      <w:pPr>
        <w:spacing w:line="360" w:lineRule="auto"/>
        <w:jc w:val="center"/>
        <w:rPr>
          <w:rFonts w:ascii="宋体" w:hAnsi="宋体" w:cs="宋体"/>
          <w:b/>
          <w:sz w:val="32"/>
          <w:szCs w:val="32"/>
        </w:rPr>
      </w:pPr>
      <w:bookmarkStart w:id="426" w:name="_Toc144265959"/>
      <w:r>
        <w:rPr>
          <w:rFonts w:hint="eastAsia" w:ascii="宋体" w:hAnsi="宋体" w:cs="宋体"/>
          <w:b/>
          <w:sz w:val="32"/>
          <w:szCs w:val="32"/>
        </w:rPr>
        <w:br w:type="page"/>
      </w:r>
    </w:p>
    <w:bookmarkEnd w:id="422"/>
    <w:bookmarkEnd w:id="423"/>
    <w:bookmarkEnd w:id="424"/>
    <w:bookmarkEnd w:id="425"/>
    <w:bookmarkEnd w:id="426"/>
    <w:p>
      <w:pPr>
        <w:snapToGrid w:val="0"/>
        <w:spacing w:line="360" w:lineRule="auto"/>
        <w:jc w:val="center"/>
        <w:rPr>
          <w:rFonts w:ascii="宋体" w:hAnsi="宋体" w:cs="宋体"/>
          <w:b/>
          <w:sz w:val="32"/>
          <w:szCs w:val="32"/>
        </w:rPr>
      </w:pPr>
      <w:r>
        <w:rPr>
          <w:rFonts w:hint="eastAsia" w:ascii="宋体" w:hAnsi="宋体" w:cs="宋体"/>
          <w:b/>
          <w:sz w:val="32"/>
          <w:szCs w:val="32"/>
        </w:rPr>
        <w:t>4.2设备费分项报价表</w:t>
      </w:r>
    </w:p>
    <w:p>
      <w:pPr>
        <w:spacing w:line="360" w:lineRule="auto"/>
        <w:rPr>
          <w:rFonts w:ascii="宋体" w:hAnsi="宋体" w:cs="宋体"/>
          <w:bCs/>
          <w:sz w:val="22"/>
        </w:rPr>
      </w:pPr>
    </w:p>
    <w:tbl>
      <w:tblPr>
        <w:tblStyle w:val="52"/>
        <w:tblW w:w="940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523"/>
        <w:gridCol w:w="1134"/>
        <w:gridCol w:w="1032"/>
        <w:gridCol w:w="755"/>
        <w:gridCol w:w="637"/>
        <w:gridCol w:w="578"/>
        <w:gridCol w:w="1533"/>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2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34"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3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价（不含税）</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vMerge w:val="continue"/>
            <w:shd w:val="clear" w:color="auto" w:fill="auto"/>
            <w:vAlign w:val="center"/>
          </w:tcPr>
          <w:p>
            <w:pPr>
              <w:widowControl/>
              <w:jc w:val="left"/>
              <w:rPr>
                <w:rFonts w:ascii="宋体" w:hAnsi="宋体" w:cs="宋体"/>
                <w:b/>
                <w:bCs/>
                <w:kern w:val="0"/>
                <w:sz w:val="20"/>
              </w:rPr>
            </w:pPr>
          </w:p>
        </w:tc>
        <w:tc>
          <w:tcPr>
            <w:tcW w:w="1523" w:type="dxa"/>
            <w:vMerge w:val="continue"/>
            <w:shd w:val="clear" w:color="auto" w:fill="auto"/>
            <w:vAlign w:val="center"/>
          </w:tcPr>
          <w:p>
            <w:pPr>
              <w:widowControl/>
              <w:jc w:val="left"/>
              <w:rPr>
                <w:rFonts w:ascii="宋体" w:hAnsi="宋体" w:cs="宋体"/>
                <w:b/>
                <w:bCs/>
                <w:kern w:val="0"/>
                <w:sz w:val="20"/>
              </w:rPr>
            </w:pPr>
          </w:p>
        </w:tc>
        <w:tc>
          <w:tcPr>
            <w:tcW w:w="1134" w:type="dxa"/>
            <w:vMerge w:val="continue"/>
            <w:shd w:val="clear" w:color="auto" w:fill="auto"/>
            <w:vAlign w:val="center"/>
          </w:tcPr>
          <w:p>
            <w:pPr>
              <w:widowControl/>
              <w:jc w:val="left"/>
              <w:rPr>
                <w:rFonts w:ascii="宋体" w:hAnsi="宋体" w:cs="宋体"/>
                <w:b/>
                <w:bCs/>
                <w:kern w:val="0"/>
                <w:sz w:val="20"/>
              </w:rPr>
            </w:pPr>
          </w:p>
        </w:tc>
        <w:tc>
          <w:tcPr>
            <w:tcW w:w="1032"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5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23" w:type="dxa"/>
            <w:shd w:val="clear" w:color="000000" w:fill="FFFFFF"/>
            <w:vAlign w:val="center"/>
          </w:tcPr>
          <w:p>
            <w:pPr>
              <w:widowControl/>
              <w:jc w:val="center"/>
              <w:rPr>
                <w:rFonts w:ascii="宋体" w:hAnsi="宋体"/>
                <w:b/>
                <w:bCs/>
                <w:kern w:val="0"/>
                <w:szCs w:val="21"/>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0" w:type="dxa"/>
            <w:shd w:val="clear" w:color="000000" w:fill="FFFFFF"/>
            <w:vAlign w:val="center"/>
          </w:tcPr>
          <w:p>
            <w:pPr>
              <w:widowControl/>
              <w:jc w:val="left"/>
              <w:rPr>
                <w:rFonts w:ascii="宋体" w:hAnsi="宋体" w:cs="宋体"/>
                <w:b/>
                <w:bCs/>
                <w:kern w:val="0"/>
                <w:sz w:val="20"/>
              </w:rPr>
            </w:pPr>
          </w:p>
        </w:tc>
        <w:tc>
          <w:tcPr>
            <w:tcW w:w="1523" w:type="dxa"/>
            <w:shd w:val="clear" w:color="000000" w:fill="FFFFFF"/>
            <w:vAlign w:val="center"/>
          </w:tcPr>
          <w:p>
            <w:pPr>
              <w:widowControl/>
              <w:jc w:val="center"/>
              <w:rPr>
                <w:rFonts w:ascii="宋体" w:hAnsi="宋体" w:cs="宋体"/>
                <w:b/>
                <w:bCs/>
                <w:kern w:val="0"/>
                <w:sz w:val="20"/>
              </w:rPr>
            </w:pPr>
          </w:p>
        </w:tc>
        <w:tc>
          <w:tcPr>
            <w:tcW w:w="1134"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32"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55" w:type="dxa"/>
            <w:tcBorders>
              <w:bottom w:val="single" w:color="auto" w:sz="4" w:space="0"/>
            </w:tcBorders>
            <w:shd w:val="clear" w:color="000000" w:fill="FFFFFF"/>
            <w:vAlign w:val="center"/>
          </w:tcPr>
          <w:p>
            <w:pPr>
              <w:widowControl/>
              <w:rPr>
                <w:rFonts w:ascii="宋体" w:hAnsi="宋体" w:cs="宋体"/>
                <w:b/>
                <w:bCs/>
                <w:kern w:val="0"/>
                <w:sz w:val="20"/>
              </w:rPr>
            </w:pPr>
          </w:p>
        </w:tc>
        <w:tc>
          <w:tcPr>
            <w:tcW w:w="637" w:type="dxa"/>
            <w:tcBorders>
              <w:bottom w:val="single" w:color="auto" w:sz="4" w:space="0"/>
            </w:tcBorders>
            <w:shd w:val="clear" w:color="000000" w:fill="FFFFFF"/>
            <w:vAlign w:val="center"/>
          </w:tcPr>
          <w:p>
            <w:pPr>
              <w:widowControl/>
              <w:rPr>
                <w:rFonts w:ascii="宋体" w:hAnsi="宋体" w:cs="宋体"/>
                <w:b/>
                <w:bCs/>
                <w:kern w:val="0"/>
                <w:sz w:val="20"/>
              </w:rPr>
            </w:pPr>
          </w:p>
        </w:tc>
        <w:tc>
          <w:tcPr>
            <w:tcW w:w="57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33" w:type="dxa"/>
            <w:shd w:val="clear" w:color="000000" w:fill="FFFFFF"/>
            <w:vAlign w:val="center"/>
          </w:tcPr>
          <w:p>
            <w:pPr>
              <w:widowControl/>
              <w:jc w:val="center"/>
              <w:rPr>
                <w:rFonts w:ascii="宋体" w:hAnsi="宋体" w:cs="宋体"/>
                <w:b/>
                <w:bCs/>
                <w:kern w:val="0"/>
                <w:sz w:val="20"/>
              </w:rPr>
            </w:pP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计（不含税）</w:t>
            </w: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5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w:t>
            </w:r>
          </w:p>
        </w:tc>
        <w:tc>
          <w:tcPr>
            <w:tcW w:w="145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44"/>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综合单价包括但不限于产品生产、包装、运至指定地点的运输、装卸、保险、安装、调试及各种税费及所有第三章要求的伴随服务等招标文件规定的全部相关费用。</w:t>
      </w:r>
    </w:p>
    <w:p>
      <w:pPr>
        <w:spacing w:line="360" w:lineRule="auto"/>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4.3随机配件和专用工具分项报价表</w:t>
      </w:r>
    </w:p>
    <w:tbl>
      <w:tblPr>
        <w:tblStyle w:val="52"/>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价（不含税）</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价（不含税）</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sz w:val="22"/>
        </w:rPr>
      </w:pPr>
      <w:r>
        <w:rPr>
          <w:rFonts w:hint="eastAsia" w:ascii="宋体" w:hAnsi="宋体" w:cs="宋体"/>
          <w:sz w:val="22"/>
        </w:rPr>
        <w:t>注：根据第三章要求</w:t>
      </w:r>
      <w:r>
        <w:rPr>
          <w:rFonts w:hint="eastAsia" w:ascii="宋体" w:hAnsi="宋体"/>
          <w:sz w:val="22"/>
        </w:rPr>
        <w:t>自行填报。</w:t>
      </w:r>
    </w:p>
    <w:p>
      <w:pPr>
        <w:spacing w:line="360" w:lineRule="auto"/>
        <w:rPr>
          <w:rFonts w:ascii="宋体" w:hAnsi="宋体"/>
          <w:sz w:val="22"/>
        </w:rPr>
      </w:pPr>
      <w:r>
        <w:rPr>
          <w:rFonts w:ascii="宋体" w:hAnsi="宋体"/>
          <w:sz w:val="22"/>
        </w:rPr>
        <w:br w:type="page"/>
      </w:r>
    </w:p>
    <w:p>
      <w:pPr>
        <w:spacing w:line="360" w:lineRule="auto"/>
        <w:jc w:val="center"/>
        <w:rPr>
          <w:rFonts w:ascii="宋体" w:hAnsi="宋体" w:cs="宋体"/>
          <w:b/>
          <w:sz w:val="32"/>
          <w:szCs w:val="32"/>
        </w:rPr>
      </w:pPr>
      <w:r>
        <w:rPr>
          <w:rFonts w:hint="eastAsia" w:ascii="宋体" w:hAnsi="宋体" w:cs="宋体"/>
          <w:b/>
          <w:sz w:val="32"/>
          <w:szCs w:val="32"/>
        </w:rPr>
        <w:t>4.4备品备件分项报价表</w:t>
      </w:r>
    </w:p>
    <w:tbl>
      <w:tblPr>
        <w:tblStyle w:val="52"/>
        <w:tblpPr w:leftFromText="180" w:rightFromText="180" w:vertAnchor="text" w:tblpY="1"/>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2552"/>
        <w:gridCol w:w="953"/>
        <w:gridCol w:w="617"/>
        <w:gridCol w:w="755"/>
        <w:gridCol w:w="637"/>
        <w:gridCol w:w="578"/>
        <w:gridCol w:w="1138"/>
        <w:gridCol w:w="1134"/>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58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2552"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953"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61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5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63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价（不含税）</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价（不含税）</w:t>
            </w:r>
          </w:p>
        </w:tc>
        <w:tc>
          <w:tcPr>
            <w:tcW w:w="567"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vMerge w:val="continue"/>
            <w:shd w:val="clear" w:color="auto" w:fill="auto"/>
            <w:vAlign w:val="center"/>
          </w:tcPr>
          <w:p>
            <w:pPr>
              <w:widowControl/>
              <w:jc w:val="center"/>
              <w:rPr>
                <w:rFonts w:ascii="宋体" w:hAnsi="宋体" w:cs="宋体"/>
                <w:b/>
                <w:bCs/>
                <w:kern w:val="0"/>
                <w:sz w:val="20"/>
              </w:rPr>
            </w:pPr>
          </w:p>
        </w:tc>
        <w:tc>
          <w:tcPr>
            <w:tcW w:w="2552" w:type="dxa"/>
            <w:vMerge w:val="continue"/>
            <w:shd w:val="clear" w:color="auto" w:fill="auto"/>
            <w:vAlign w:val="center"/>
          </w:tcPr>
          <w:p>
            <w:pPr>
              <w:widowControl/>
              <w:jc w:val="left"/>
              <w:rPr>
                <w:rFonts w:ascii="宋体" w:hAnsi="宋体" w:cs="宋体"/>
                <w:b/>
                <w:bCs/>
                <w:kern w:val="0"/>
                <w:sz w:val="20"/>
              </w:rPr>
            </w:pPr>
          </w:p>
        </w:tc>
        <w:tc>
          <w:tcPr>
            <w:tcW w:w="953" w:type="dxa"/>
            <w:vMerge w:val="continue"/>
            <w:shd w:val="clear" w:color="auto" w:fill="auto"/>
            <w:vAlign w:val="center"/>
          </w:tcPr>
          <w:p>
            <w:pPr>
              <w:widowControl/>
              <w:jc w:val="left"/>
              <w:rPr>
                <w:rFonts w:ascii="宋体" w:hAnsi="宋体" w:cs="宋体"/>
                <w:b/>
                <w:bCs/>
                <w:kern w:val="0"/>
                <w:sz w:val="20"/>
              </w:rPr>
            </w:pPr>
          </w:p>
        </w:tc>
        <w:tc>
          <w:tcPr>
            <w:tcW w:w="617" w:type="dxa"/>
            <w:vMerge w:val="continue"/>
            <w:shd w:val="clear" w:color="auto" w:fill="auto"/>
            <w:vAlign w:val="center"/>
          </w:tcPr>
          <w:p>
            <w:pPr>
              <w:widowControl/>
              <w:jc w:val="left"/>
              <w:rPr>
                <w:rFonts w:ascii="宋体" w:hAnsi="宋体" w:cs="宋体"/>
                <w:b/>
                <w:bCs/>
                <w:kern w:val="0"/>
                <w:sz w:val="20"/>
              </w:rPr>
            </w:pPr>
          </w:p>
        </w:tc>
        <w:tc>
          <w:tcPr>
            <w:tcW w:w="755" w:type="dxa"/>
            <w:vMerge w:val="continue"/>
            <w:shd w:val="clear" w:color="auto" w:fill="auto"/>
            <w:vAlign w:val="center"/>
          </w:tcPr>
          <w:p>
            <w:pPr>
              <w:widowControl/>
              <w:jc w:val="left"/>
              <w:rPr>
                <w:rFonts w:ascii="宋体" w:hAnsi="宋体" w:cs="宋体"/>
                <w:b/>
                <w:bCs/>
                <w:kern w:val="0"/>
                <w:sz w:val="20"/>
              </w:rPr>
            </w:pPr>
          </w:p>
        </w:tc>
        <w:tc>
          <w:tcPr>
            <w:tcW w:w="637" w:type="dxa"/>
            <w:vMerge w:val="continue"/>
            <w:shd w:val="clear" w:color="auto" w:fill="auto"/>
            <w:vAlign w:val="center"/>
          </w:tcPr>
          <w:p>
            <w:pPr>
              <w:widowControl/>
              <w:jc w:val="left"/>
              <w:rPr>
                <w:rFonts w:ascii="宋体" w:hAnsi="宋体" w:cs="宋体"/>
                <w:b/>
                <w:bCs/>
                <w:kern w:val="0"/>
                <w:sz w:val="20"/>
              </w:rPr>
            </w:pPr>
          </w:p>
        </w:tc>
        <w:tc>
          <w:tcPr>
            <w:tcW w:w="578" w:type="dxa"/>
            <w:vMerge w:val="continue"/>
            <w:shd w:val="clear" w:color="auto" w:fill="auto"/>
            <w:vAlign w:val="center"/>
          </w:tcPr>
          <w:p>
            <w:pPr>
              <w:widowControl/>
              <w:jc w:val="left"/>
              <w:rPr>
                <w:rFonts w:ascii="宋体" w:hAnsi="宋体" w:cs="宋体"/>
                <w:b/>
                <w:bCs/>
                <w:kern w:val="0"/>
                <w:sz w:val="20"/>
              </w:rPr>
            </w:pPr>
          </w:p>
        </w:tc>
        <w:tc>
          <w:tcPr>
            <w:tcW w:w="113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3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567"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2552" w:type="dxa"/>
            <w:shd w:val="clear" w:color="000000" w:fill="FFFFFF"/>
            <w:vAlign w:val="center"/>
          </w:tcPr>
          <w:p>
            <w:pPr>
              <w:widowControl/>
              <w:jc w:val="center"/>
              <w:rPr>
                <w:rFonts w:ascii="宋体" w:hAnsi="宋体" w:cs="宋体"/>
                <w:b/>
                <w:bCs/>
                <w:kern w:val="0"/>
                <w:sz w:val="20"/>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center"/>
              <w:rPr>
                <w:rFonts w:ascii="宋体" w:hAnsi="宋体" w:cs="宋体"/>
                <w:b/>
                <w:kern w:val="0"/>
                <w:sz w:val="20"/>
              </w:rPr>
            </w:pPr>
          </w:p>
        </w:tc>
        <w:tc>
          <w:tcPr>
            <w:tcW w:w="2552" w:type="dxa"/>
            <w:shd w:val="clear" w:color="000000" w:fill="FFFFFF"/>
            <w:vAlign w:val="center"/>
          </w:tcPr>
          <w:p>
            <w:pPr>
              <w:widowControl/>
              <w:jc w:val="center"/>
              <w:rPr>
                <w:rFonts w:ascii="宋体" w:hAnsi="宋体"/>
                <w:b/>
                <w:bCs/>
                <w:kern w:val="0"/>
                <w:szCs w:val="21"/>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582" w:type="dxa"/>
            <w:shd w:val="clear" w:color="000000" w:fill="FFFFFF"/>
            <w:vAlign w:val="center"/>
          </w:tcPr>
          <w:p>
            <w:pPr>
              <w:widowControl/>
              <w:jc w:val="left"/>
              <w:rPr>
                <w:rFonts w:ascii="宋体" w:hAnsi="宋体" w:cs="宋体"/>
                <w:b/>
                <w:bCs/>
                <w:kern w:val="0"/>
                <w:sz w:val="20"/>
              </w:rPr>
            </w:pPr>
          </w:p>
        </w:tc>
        <w:tc>
          <w:tcPr>
            <w:tcW w:w="2552" w:type="dxa"/>
            <w:shd w:val="clear" w:color="000000" w:fill="FFFFFF"/>
            <w:vAlign w:val="center"/>
          </w:tcPr>
          <w:p>
            <w:pPr>
              <w:widowControl/>
              <w:snapToGrid w:val="0"/>
              <w:rPr>
                <w:rFonts w:ascii="宋体" w:hAnsi="宋体" w:cs="宋体"/>
                <w:kern w:val="0"/>
                <w:sz w:val="22"/>
              </w:rPr>
            </w:pPr>
          </w:p>
        </w:tc>
        <w:tc>
          <w:tcPr>
            <w:tcW w:w="953" w:type="dxa"/>
            <w:shd w:val="clear" w:color="000000" w:fill="FFFFFF"/>
            <w:vAlign w:val="center"/>
          </w:tcPr>
          <w:p>
            <w:pPr>
              <w:widowControl/>
              <w:snapToGrid w:val="0"/>
              <w:rPr>
                <w:rFonts w:ascii="宋体" w:hAnsi="宋体"/>
                <w:b/>
                <w:bCs/>
                <w:kern w:val="0"/>
                <w:sz w:val="22"/>
              </w:rPr>
            </w:pPr>
          </w:p>
        </w:tc>
        <w:tc>
          <w:tcPr>
            <w:tcW w:w="617" w:type="dxa"/>
            <w:shd w:val="clear" w:color="000000" w:fill="FFFFFF"/>
            <w:vAlign w:val="center"/>
          </w:tcPr>
          <w:p>
            <w:pPr>
              <w:widowControl/>
              <w:snapToGrid w:val="0"/>
              <w:jc w:val="center"/>
              <w:rPr>
                <w:rFonts w:ascii="宋体" w:hAnsi="宋体" w:cs="宋体"/>
                <w:kern w:val="0"/>
                <w:sz w:val="20"/>
              </w:rPr>
            </w:pPr>
          </w:p>
        </w:tc>
        <w:tc>
          <w:tcPr>
            <w:tcW w:w="755" w:type="dxa"/>
            <w:shd w:val="clear" w:color="000000" w:fill="FFFFFF"/>
            <w:vAlign w:val="center"/>
          </w:tcPr>
          <w:p>
            <w:pPr>
              <w:widowControl/>
              <w:snapToGrid w:val="0"/>
              <w:jc w:val="center"/>
              <w:rPr>
                <w:rFonts w:ascii="宋体" w:hAnsi="宋体" w:cs="宋体"/>
                <w:b/>
                <w:bCs/>
                <w:kern w:val="0"/>
                <w:sz w:val="20"/>
              </w:rPr>
            </w:pPr>
          </w:p>
        </w:tc>
        <w:tc>
          <w:tcPr>
            <w:tcW w:w="637" w:type="dxa"/>
            <w:shd w:val="clear" w:color="000000" w:fill="FFFFFF"/>
            <w:vAlign w:val="center"/>
          </w:tcPr>
          <w:p>
            <w:pPr>
              <w:snapToGrid w:val="0"/>
              <w:jc w:val="center"/>
              <w:rPr>
                <w:rFonts w:ascii="宋体" w:hAnsi="宋体"/>
                <w:sz w:val="20"/>
              </w:rPr>
            </w:pPr>
          </w:p>
        </w:tc>
        <w:tc>
          <w:tcPr>
            <w:tcW w:w="578" w:type="dxa"/>
            <w:shd w:val="clear" w:color="000000" w:fill="FFFFFF"/>
            <w:vAlign w:val="center"/>
          </w:tcPr>
          <w:p>
            <w:pPr>
              <w:widowControl/>
              <w:snapToGrid w:val="0"/>
              <w:rPr>
                <w:rFonts w:ascii="宋体" w:hAnsi="宋体"/>
                <w:b/>
                <w:bCs/>
                <w:kern w:val="0"/>
                <w:sz w:val="22"/>
              </w:rPr>
            </w:pPr>
          </w:p>
        </w:tc>
        <w:tc>
          <w:tcPr>
            <w:tcW w:w="1138" w:type="dxa"/>
            <w:shd w:val="clear" w:color="000000" w:fill="FFFFFF"/>
            <w:vAlign w:val="center"/>
          </w:tcPr>
          <w:p>
            <w:pPr>
              <w:widowControl/>
              <w:jc w:val="center"/>
              <w:rPr>
                <w:rFonts w:ascii="宋体" w:hAnsi="宋体" w:cs="宋体"/>
                <w:b/>
                <w:bCs/>
                <w:kern w:val="0"/>
                <w:sz w:val="20"/>
              </w:rPr>
            </w:pPr>
          </w:p>
        </w:tc>
        <w:tc>
          <w:tcPr>
            <w:tcW w:w="1134" w:type="dxa"/>
            <w:shd w:val="clear" w:color="000000" w:fill="FFFFFF"/>
            <w:vAlign w:val="center"/>
          </w:tcPr>
          <w:p>
            <w:pPr>
              <w:widowControl/>
              <w:jc w:val="left"/>
              <w:rPr>
                <w:rFonts w:ascii="宋体" w:hAnsi="宋体" w:cs="宋体"/>
                <w:bCs/>
                <w:kern w:val="0"/>
                <w:sz w:val="20"/>
              </w:rPr>
            </w:pPr>
          </w:p>
        </w:tc>
        <w:tc>
          <w:tcPr>
            <w:tcW w:w="567"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1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w:t>
            </w:r>
          </w:p>
        </w:tc>
        <w:tc>
          <w:tcPr>
            <w:tcW w:w="1134" w:type="dxa"/>
            <w:vAlign w:val="center"/>
          </w:tcPr>
          <w:p>
            <w:pPr>
              <w:widowControl/>
              <w:jc w:val="center"/>
              <w:rPr>
                <w:rFonts w:ascii="宋体" w:hAnsi="宋体" w:cs="宋体"/>
                <w:kern w:val="0"/>
                <w:sz w:val="20"/>
              </w:rPr>
            </w:pPr>
            <w:r>
              <w:rPr>
                <w:rFonts w:hint="eastAsia" w:ascii="宋体" w:hAnsi="宋体" w:cs="宋体"/>
                <w:kern w:val="0"/>
                <w:sz w:val="20"/>
              </w:rPr>
              <w:t>　　</w:t>
            </w:r>
          </w:p>
        </w:tc>
        <w:tc>
          <w:tcPr>
            <w:tcW w:w="567" w:type="dxa"/>
            <w:vAlign w:val="center"/>
          </w:tcPr>
          <w:p>
            <w:pPr>
              <w:widowControl/>
              <w:jc w:val="center"/>
              <w:rPr>
                <w:rFonts w:ascii="宋体" w:hAnsi="宋体" w:cs="宋体"/>
                <w:kern w:val="0"/>
                <w:sz w:val="20"/>
              </w:rPr>
            </w:pPr>
            <w:r>
              <w:rPr>
                <w:rFonts w:hint="eastAsia" w:ascii="宋体" w:hAnsi="宋体" w:cs="宋体"/>
                <w:kern w:val="0"/>
                <w:sz w:val="20"/>
              </w:rPr>
              <w:t>　</w:t>
            </w: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jc w:val="center"/>
        <w:rPr>
          <w:rFonts w:ascii="宋体" w:hAnsi="宋体" w:cs="宋体"/>
          <w:sz w:val="22"/>
        </w:rPr>
      </w:pPr>
      <w:r>
        <w:rPr>
          <w:rFonts w:ascii="宋体" w:hAnsi="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w:t>
      </w:r>
      <w:r>
        <w:rPr>
          <w:rFonts w:ascii="Calibri" w:hAnsi="Calibri" w:eastAsia="黑体" w:cs="Calibri"/>
          <w:color w:val="000000"/>
          <w:sz w:val="32"/>
          <w:szCs w:val="32"/>
        </w:rPr>
        <w:t>投标人资格证明文件</w:t>
      </w:r>
    </w:p>
    <w:p>
      <w:pPr>
        <w:overflowPunct w:val="0"/>
        <w:autoSpaceDE w:val="0"/>
        <w:autoSpaceDN w:val="0"/>
        <w:spacing w:line="440" w:lineRule="exact"/>
        <w:ind w:left="839" w:hanging="839"/>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（一）投标人一般情况</w:t>
      </w:r>
    </w:p>
    <w:tbl>
      <w:tblPr>
        <w:tblStyle w:val="52"/>
        <w:tblW w:w="9098"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028"/>
        <w:gridCol w:w="525"/>
        <w:gridCol w:w="187"/>
        <w:gridCol w:w="863"/>
        <w:gridCol w:w="562"/>
        <w:gridCol w:w="278"/>
        <w:gridCol w:w="1440"/>
        <w:gridCol w:w="30"/>
        <w:gridCol w:w="73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企业名称</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主管部门</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经济类型</w:t>
            </w:r>
          </w:p>
        </w:tc>
        <w:tc>
          <w:tcPr>
            <w:tcW w:w="3165" w:type="dxa"/>
            <w:gridSpan w:val="5"/>
            <w:vAlign w:val="center"/>
          </w:tcPr>
          <w:p>
            <w:pPr>
              <w:snapToGrid w:val="0"/>
              <w:ind w:left="-170" w:right="-170"/>
              <w:jc w:val="center"/>
              <w:rPr>
                <w:rFonts w:ascii="宋体" w:hAnsi="宋体" w:cs="宋体"/>
                <w:sz w:val="22"/>
              </w:rPr>
            </w:pPr>
          </w:p>
        </w:tc>
        <w:tc>
          <w:tcPr>
            <w:tcW w:w="1748" w:type="dxa"/>
            <w:gridSpan w:val="3"/>
            <w:vAlign w:val="center"/>
          </w:tcPr>
          <w:p>
            <w:pPr>
              <w:snapToGrid w:val="0"/>
              <w:ind w:left="-170" w:right="-170"/>
              <w:jc w:val="center"/>
              <w:rPr>
                <w:rFonts w:ascii="宋体" w:hAnsi="宋体" w:cs="宋体"/>
                <w:sz w:val="22"/>
              </w:rPr>
            </w:pPr>
            <w:r>
              <w:rPr>
                <w:rFonts w:hint="eastAsia" w:ascii="宋体" w:hAnsi="宋体" w:cs="宋体"/>
                <w:sz w:val="22"/>
              </w:rPr>
              <w:t>法定代表人</w:t>
            </w:r>
          </w:p>
        </w:tc>
        <w:tc>
          <w:tcPr>
            <w:tcW w:w="2730" w:type="dxa"/>
            <w:gridSpan w:val="2"/>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单位简历</w:t>
            </w:r>
          </w:p>
        </w:tc>
        <w:tc>
          <w:tcPr>
            <w:tcW w:w="7643" w:type="dxa"/>
            <w:gridSpan w:val="10"/>
            <w:vAlign w:val="center"/>
          </w:tcPr>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单位优势</w:t>
            </w:r>
          </w:p>
          <w:p>
            <w:pPr>
              <w:snapToGrid w:val="0"/>
              <w:ind w:left="-170" w:right="-170"/>
              <w:jc w:val="center"/>
              <w:rPr>
                <w:rFonts w:ascii="宋体" w:hAnsi="宋体" w:cs="宋体"/>
                <w:sz w:val="22"/>
              </w:rPr>
            </w:pPr>
            <w:r>
              <w:rPr>
                <w:rFonts w:hint="eastAsia" w:ascii="宋体" w:hAnsi="宋体" w:cs="宋体"/>
                <w:sz w:val="22"/>
              </w:rPr>
              <w:t>及 特 长</w:t>
            </w:r>
          </w:p>
        </w:tc>
        <w:tc>
          <w:tcPr>
            <w:tcW w:w="7643" w:type="dxa"/>
            <w:gridSpan w:val="10"/>
            <w:vAlign w:val="center"/>
          </w:tcPr>
          <w:p>
            <w:pPr>
              <w:pStyle w:val="36"/>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textDirection w:val="tbRlV"/>
            <w:vAlign w:val="center"/>
          </w:tcPr>
          <w:p>
            <w:pPr>
              <w:snapToGrid w:val="0"/>
              <w:ind w:left="-170" w:right="-170"/>
              <w:jc w:val="center"/>
              <w:rPr>
                <w:rFonts w:ascii="宋体" w:hAnsi="宋体" w:cs="宋体"/>
                <w:sz w:val="22"/>
              </w:rPr>
            </w:pPr>
            <w:r>
              <w:rPr>
                <w:rFonts w:hint="eastAsia" w:ascii="宋体" w:hAnsi="宋体" w:cs="宋体"/>
                <w:sz w:val="22"/>
              </w:rPr>
              <w:t>单 位 概 况</w:t>
            </w: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职工总人数</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工程技术人员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740" w:type="dxa"/>
            <w:gridSpan w:val="3"/>
            <w:vAlign w:val="center"/>
          </w:tcPr>
          <w:p>
            <w:pPr>
              <w:snapToGrid w:val="0"/>
              <w:ind w:left="-170" w:right="-170"/>
              <w:jc w:val="center"/>
              <w:rPr>
                <w:rFonts w:ascii="宋体" w:hAnsi="宋体" w:cs="宋体"/>
                <w:sz w:val="22"/>
              </w:rPr>
            </w:pPr>
            <w:r>
              <w:rPr>
                <w:rFonts w:hint="eastAsia" w:ascii="宋体" w:hAnsi="宋体" w:cs="宋体"/>
                <w:sz w:val="22"/>
              </w:rPr>
              <w:t>生产工人</w:t>
            </w:r>
          </w:p>
        </w:tc>
        <w:tc>
          <w:tcPr>
            <w:tcW w:w="1703" w:type="dxa"/>
            <w:gridSpan w:val="3"/>
            <w:vAlign w:val="center"/>
          </w:tcPr>
          <w:p>
            <w:pPr>
              <w:snapToGrid w:val="0"/>
              <w:ind w:left="-170" w:right="-170"/>
              <w:jc w:val="center"/>
              <w:rPr>
                <w:rFonts w:ascii="宋体" w:hAnsi="宋体" w:cs="宋体"/>
                <w:sz w:val="22"/>
              </w:rPr>
            </w:pPr>
            <w:r>
              <w:rPr>
                <w:rFonts w:hint="eastAsia" w:ascii="宋体" w:hAnsi="宋体" w:cs="宋体"/>
                <w:sz w:val="22"/>
              </w:rPr>
              <w:t>人</w:t>
            </w:r>
          </w:p>
        </w:tc>
        <w:tc>
          <w:tcPr>
            <w:tcW w:w="2205" w:type="dxa"/>
            <w:gridSpan w:val="3"/>
            <w:vAlign w:val="center"/>
          </w:tcPr>
          <w:p>
            <w:pPr>
              <w:snapToGrid w:val="0"/>
              <w:ind w:left="-170" w:right="-170"/>
              <w:jc w:val="center"/>
              <w:rPr>
                <w:rFonts w:ascii="宋体" w:hAnsi="宋体" w:cs="宋体"/>
                <w:sz w:val="22"/>
              </w:rPr>
            </w:pPr>
            <w:r>
              <w:rPr>
                <w:rFonts w:hint="eastAsia" w:ascii="宋体" w:hAnsi="宋体" w:cs="宋体"/>
                <w:sz w:val="22"/>
              </w:rPr>
              <w:t>销售人员</w:t>
            </w:r>
          </w:p>
        </w:tc>
        <w:tc>
          <w:tcPr>
            <w:tcW w:w="1995" w:type="dxa"/>
            <w:vAlign w:val="center"/>
          </w:tcPr>
          <w:p>
            <w:pPr>
              <w:snapToGrid w:val="0"/>
              <w:ind w:left="-170" w:right="-17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固定</w:t>
            </w:r>
          </w:p>
          <w:p>
            <w:pPr>
              <w:snapToGrid w:val="0"/>
              <w:ind w:left="-170" w:right="-170"/>
              <w:jc w:val="center"/>
              <w:rPr>
                <w:rFonts w:ascii="宋体" w:hAnsi="宋体" w:cs="宋体"/>
                <w:sz w:val="22"/>
              </w:rPr>
            </w:pPr>
            <w:r>
              <w:rPr>
                <w:rFonts w:hint="eastAsia" w:ascii="宋体" w:hAnsi="宋体" w:cs="宋体"/>
                <w:sz w:val="22"/>
              </w:rPr>
              <w:t>资产</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性质</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非生产性</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restart"/>
            <w:vAlign w:val="center"/>
          </w:tcPr>
          <w:p>
            <w:pPr>
              <w:snapToGrid w:val="0"/>
              <w:ind w:left="-170" w:right="-170"/>
              <w:jc w:val="center"/>
              <w:rPr>
                <w:rFonts w:ascii="宋体" w:hAnsi="宋体" w:cs="宋体"/>
                <w:sz w:val="22"/>
              </w:rPr>
            </w:pPr>
            <w:r>
              <w:rPr>
                <w:rFonts w:hint="eastAsia" w:ascii="宋体" w:hAnsi="宋体" w:cs="宋体"/>
                <w:sz w:val="22"/>
              </w:rPr>
              <w:t>流动</w:t>
            </w:r>
          </w:p>
          <w:p>
            <w:pPr>
              <w:snapToGrid w:val="0"/>
              <w:ind w:left="-170" w:right="-170"/>
              <w:jc w:val="center"/>
              <w:rPr>
                <w:rFonts w:ascii="宋体" w:hAnsi="宋体" w:cs="宋体"/>
                <w:sz w:val="22"/>
              </w:rPr>
            </w:pPr>
            <w:r>
              <w:rPr>
                <w:rFonts w:hint="eastAsia" w:ascii="宋体" w:hAnsi="宋体" w:cs="宋体"/>
                <w:sz w:val="22"/>
              </w:rPr>
              <w:t>资金</w:t>
            </w:r>
          </w:p>
        </w:tc>
        <w:tc>
          <w:tcPr>
            <w:tcW w:w="1575" w:type="dxa"/>
            <w:gridSpan w:val="3"/>
            <w:vMerge w:val="restart"/>
            <w:vAlign w:val="center"/>
          </w:tcPr>
          <w:p>
            <w:pPr>
              <w:snapToGrid w:val="0"/>
              <w:ind w:left="-170" w:right="-170"/>
              <w:jc w:val="center"/>
              <w:rPr>
                <w:rFonts w:ascii="宋体" w:hAnsi="宋体" w:cs="宋体"/>
                <w:sz w:val="22"/>
              </w:rPr>
            </w:pPr>
            <w:r>
              <w:rPr>
                <w:rFonts w:hint="eastAsia" w:ascii="宋体" w:hAnsi="宋体" w:cs="宋体"/>
                <w:sz w:val="22"/>
              </w:rPr>
              <w:t>万元</w:t>
            </w:r>
          </w:p>
        </w:tc>
        <w:tc>
          <w:tcPr>
            <w:tcW w:w="840" w:type="dxa"/>
            <w:gridSpan w:val="2"/>
            <w:vMerge w:val="restart"/>
            <w:vAlign w:val="center"/>
          </w:tcPr>
          <w:p>
            <w:pPr>
              <w:snapToGrid w:val="0"/>
              <w:ind w:left="-170" w:right="-170"/>
              <w:jc w:val="center"/>
              <w:rPr>
                <w:rFonts w:ascii="宋体" w:hAnsi="宋体" w:cs="宋体"/>
                <w:sz w:val="22"/>
              </w:rPr>
            </w:pPr>
            <w:r>
              <w:rPr>
                <w:rFonts w:hint="eastAsia" w:ascii="宋体" w:hAnsi="宋体" w:cs="宋体"/>
                <w:sz w:val="22"/>
              </w:rPr>
              <w:t>资金</w:t>
            </w:r>
          </w:p>
          <w:p>
            <w:pPr>
              <w:snapToGrid w:val="0"/>
              <w:ind w:left="-170" w:right="-170"/>
              <w:jc w:val="center"/>
              <w:rPr>
                <w:rFonts w:ascii="宋体" w:hAnsi="宋体" w:cs="宋体"/>
                <w:sz w:val="22"/>
              </w:rPr>
            </w:pPr>
            <w:r>
              <w:rPr>
                <w:rFonts w:hint="eastAsia" w:ascii="宋体" w:hAnsi="宋体" w:cs="宋体"/>
                <w:sz w:val="22"/>
              </w:rPr>
              <w:t>来源</w:t>
            </w: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自有资金</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028" w:type="dxa"/>
            <w:vMerge w:val="continue"/>
            <w:vAlign w:val="center"/>
          </w:tcPr>
          <w:p>
            <w:pPr>
              <w:snapToGrid w:val="0"/>
              <w:ind w:left="-170" w:right="-170"/>
              <w:jc w:val="center"/>
              <w:rPr>
                <w:rFonts w:ascii="宋体" w:hAnsi="宋体" w:cs="宋体"/>
                <w:sz w:val="22"/>
              </w:rPr>
            </w:pPr>
          </w:p>
        </w:tc>
        <w:tc>
          <w:tcPr>
            <w:tcW w:w="1575" w:type="dxa"/>
            <w:gridSpan w:val="3"/>
            <w:vMerge w:val="continue"/>
            <w:vAlign w:val="center"/>
          </w:tcPr>
          <w:p>
            <w:pPr>
              <w:snapToGrid w:val="0"/>
              <w:ind w:left="-170" w:right="-170"/>
              <w:jc w:val="center"/>
              <w:rPr>
                <w:rFonts w:ascii="宋体" w:hAnsi="宋体" w:cs="宋体"/>
                <w:sz w:val="22"/>
              </w:rPr>
            </w:pPr>
          </w:p>
        </w:tc>
        <w:tc>
          <w:tcPr>
            <w:tcW w:w="840" w:type="dxa"/>
            <w:gridSpan w:val="2"/>
            <w:vMerge w:val="continue"/>
            <w:vAlign w:val="center"/>
          </w:tcPr>
          <w:p>
            <w:pPr>
              <w:snapToGrid w:val="0"/>
              <w:ind w:left="-170" w:right="-170"/>
              <w:jc w:val="center"/>
              <w:rPr>
                <w:rFonts w:ascii="宋体" w:hAnsi="宋体" w:cs="宋体"/>
                <w:sz w:val="22"/>
              </w:rPr>
            </w:pPr>
          </w:p>
        </w:tc>
        <w:tc>
          <w:tcPr>
            <w:tcW w:w="1440" w:type="dxa"/>
            <w:vAlign w:val="center"/>
          </w:tcPr>
          <w:p>
            <w:pPr>
              <w:snapToGrid w:val="0"/>
              <w:ind w:left="-170" w:right="-170"/>
              <w:jc w:val="center"/>
              <w:rPr>
                <w:rFonts w:ascii="宋体" w:hAnsi="宋体" w:cs="宋体"/>
                <w:sz w:val="22"/>
              </w:rPr>
            </w:pPr>
            <w:r>
              <w:rPr>
                <w:rFonts w:hint="eastAsia" w:ascii="宋体" w:hAnsi="宋体" w:cs="宋体"/>
                <w:sz w:val="22"/>
              </w:rPr>
              <w:t>银行贷款</w:t>
            </w:r>
          </w:p>
        </w:tc>
        <w:tc>
          <w:tcPr>
            <w:tcW w:w="2760" w:type="dxa"/>
            <w:gridSpan w:val="3"/>
            <w:vAlign w:val="center"/>
          </w:tcPr>
          <w:p>
            <w:pPr>
              <w:snapToGrid w:val="0"/>
              <w:ind w:left="-170" w:right="-17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455" w:type="dxa"/>
            <w:vAlign w:val="center"/>
          </w:tcPr>
          <w:p>
            <w:pPr>
              <w:snapToGrid w:val="0"/>
              <w:ind w:left="-170" w:right="-170"/>
              <w:jc w:val="center"/>
              <w:rPr>
                <w:rFonts w:ascii="宋体" w:hAnsi="宋体" w:cs="宋体"/>
                <w:sz w:val="22"/>
              </w:rPr>
            </w:pPr>
            <w:r>
              <w:rPr>
                <w:rFonts w:hint="eastAsia" w:ascii="宋体" w:hAnsi="宋体" w:cs="宋体"/>
                <w:sz w:val="22"/>
              </w:rPr>
              <w:t>经营</w:t>
            </w:r>
          </w:p>
          <w:p>
            <w:pPr>
              <w:snapToGrid w:val="0"/>
              <w:ind w:left="-170" w:right="-170"/>
              <w:jc w:val="center"/>
              <w:rPr>
                <w:rFonts w:ascii="宋体" w:hAnsi="宋体" w:cs="宋体"/>
                <w:sz w:val="22"/>
              </w:rPr>
            </w:pPr>
            <w:r>
              <w:rPr>
                <w:rFonts w:hint="eastAsia" w:ascii="宋体" w:hAnsi="宋体" w:cs="宋体"/>
                <w:sz w:val="22"/>
              </w:rPr>
              <w:t>范围</w:t>
            </w:r>
          </w:p>
        </w:tc>
        <w:tc>
          <w:tcPr>
            <w:tcW w:w="7643" w:type="dxa"/>
            <w:gridSpan w:val="10"/>
            <w:vAlign w:val="center"/>
          </w:tcPr>
          <w:p>
            <w:pPr>
              <w:snapToGrid w:val="0"/>
              <w:ind w:left="-170" w:right="-170"/>
              <w:jc w:val="center"/>
              <w:rPr>
                <w:rFonts w:ascii="宋体" w:hAnsi="宋体" w:cs="宋体"/>
                <w:sz w:val="22"/>
              </w:rPr>
            </w:pPr>
          </w:p>
          <w:p>
            <w:pPr>
              <w:snapToGrid w:val="0"/>
              <w:ind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restart"/>
            <w:vAlign w:val="center"/>
          </w:tcPr>
          <w:p>
            <w:pPr>
              <w:snapToGrid w:val="0"/>
              <w:ind w:left="-170" w:right="-170"/>
              <w:jc w:val="center"/>
              <w:rPr>
                <w:rFonts w:ascii="宋体" w:hAnsi="宋体" w:cs="宋体"/>
                <w:sz w:val="22"/>
              </w:rPr>
            </w:pPr>
            <w:r>
              <w:rPr>
                <w:rFonts w:hint="eastAsia" w:ascii="宋体" w:hAnsi="宋体" w:cs="宋体"/>
                <w:sz w:val="22"/>
              </w:rPr>
              <w:t>经 济</w:t>
            </w:r>
          </w:p>
          <w:p>
            <w:pPr>
              <w:snapToGrid w:val="0"/>
              <w:ind w:left="-170" w:right="-170"/>
              <w:jc w:val="center"/>
              <w:rPr>
                <w:rFonts w:ascii="宋体" w:hAnsi="宋体" w:cs="宋体"/>
                <w:sz w:val="22"/>
              </w:rPr>
            </w:pPr>
            <w:r>
              <w:rPr>
                <w:rFonts w:hint="eastAsia" w:ascii="宋体" w:hAnsi="宋体" w:cs="宋体"/>
                <w:sz w:val="22"/>
              </w:rPr>
              <w:t>指 标</w:t>
            </w:r>
          </w:p>
        </w:tc>
        <w:tc>
          <w:tcPr>
            <w:tcW w:w="1553" w:type="dxa"/>
            <w:gridSpan w:val="2"/>
            <w:vAlign w:val="center"/>
          </w:tcPr>
          <w:p>
            <w:pPr>
              <w:snapToGrid w:val="0"/>
              <w:ind w:left="-170" w:right="-170"/>
              <w:jc w:val="center"/>
              <w:rPr>
                <w:rFonts w:ascii="宋体" w:hAnsi="宋体" w:cs="宋体"/>
                <w:sz w:val="22"/>
              </w:rPr>
            </w:pPr>
            <w:r>
              <w:rPr>
                <w:rFonts w:hint="eastAsia" w:ascii="宋体" w:hAnsi="宋体" w:cs="宋体"/>
                <w:sz w:val="22"/>
              </w:rPr>
              <w:t>年份</w:t>
            </w:r>
          </w:p>
        </w:tc>
        <w:tc>
          <w:tcPr>
            <w:tcW w:w="6090" w:type="dxa"/>
            <w:gridSpan w:val="8"/>
            <w:vAlign w:val="center"/>
          </w:tcPr>
          <w:p>
            <w:pPr>
              <w:snapToGrid w:val="0"/>
              <w:ind w:left="-170" w:right="-17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vAlign w:val="center"/>
          </w:tcPr>
          <w:p>
            <w:pPr>
              <w:snapToGrid w:val="0"/>
              <w:ind w:left="-170" w:right="-170"/>
              <w:jc w:val="center"/>
              <w:rPr>
                <w:rFonts w:ascii="宋体" w:hAnsi="宋体" w:cs="宋体"/>
                <w:sz w:val="22"/>
              </w:rPr>
            </w:pPr>
          </w:p>
        </w:tc>
        <w:tc>
          <w:tcPr>
            <w:tcW w:w="1553" w:type="dxa"/>
            <w:gridSpan w:val="2"/>
            <w:vAlign w:val="center"/>
          </w:tcPr>
          <w:p>
            <w:pPr>
              <w:snapToGrid w:val="0"/>
              <w:ind w:left="-170" w:right="-170"/>
              <w:jc w:val="center"/>
              <w:rPr>
                <w:rFonts w:ascii="宋体" w:hAnsi="宋体" w:cs="宋体"/>
                <w:sz w:val="22"/>
              </w:rPr>
            </w:pPr>
          </w:p>
        </w:tc>
        <w:tc>
          <w:tcPr>
            <w:tcW w:w="6090" w:type="dxa"/>
            <w:gridSpan w:val="8"/>
            <w:vAlign w:val="center"/>
          </w:tcPr>
          <w:p>
            <w:pPr>
              <w:snapToGrid w:val="0"/>
              <w:ind w:left="-170" w:right="-17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455" w:type="dxa"/>
            <w:vMerge w:val="continue"/>
            <w:tcBorders>
              <w:bottom w:val="single" w:color="auto" w:sz="4" w:space="0"/>
            </w:tcBorders>
            <w:vAlign w:val="center"/>
          </w:tcPr>
          <w:p>
            <w:pPr>
              <w:snapToGrid w:val="0"/>
              <w:ind w:left="-170" w:right="-170"/>
              <w:jc w:val="center"/>
              <w:rPr>
                <w:rFonts w:ascii="宋体" w:hAnsi="宋体" w:cs="宋体"/>
                <w:sz w:val="22"/>
              </w:rPr>
            </w:pPr>
          </w:p>
        </w:tc>
        <w:tc>
          <w:tcPr>
            <w:tcW w:w="1553" w:type="dxa"/>
            <w:gridSpan w:val="2"/>
            <w:tcBorders>
              <w:bottom w:val="single" w:color="auto" w:sz="4" w:space="0"/>
            </w:tcBorders>
            <w:vAlign w:val="center"/>
          </w:tcPr>
          <w:p>
            <w:pPr>
              <w:snapToGrid w:val="0"/>
              <w:ind w:left="-170" w:right="-170"/>
              <w:jc w:val="center"/>
              <w:rPr>
                <w:rFonts w:ascii="宋体" w:hAnsi="宋体" w:cs="宋体"/>
                <w:sz w:val="22"/>
              </w:rPr>
            </w:pPr>
          </w:p>
        </w:tc>
        <w:tc>
          <w:tcPr>
            <w:tcW w:w="6090" w:type="dxa"/>
            <w:gridSpan w:val="8"/>
            <w:tcBorders>
              <w:bottom w:val="single" w:color="auto" w:sz="4" w:space="0"/>
            </w:tcBorders>
            <w:vAlign w:val="center"/>
          </w:tcPr>
          <w:p>
            <w:pPr>
              <w:snapToGrid w:val="0"/>
              <w:ind w:left="-170" w:right="-170"/>
              <w:jc w:val="center"/>
              <w:rPr>
                <w:rFonts w:ascii="宋体" w:hAnsi="宋体" w:cs="宋体"/>
                <w:sz w:val="22"/>
              </w:rPr>
            </w:pPr>
          </w:p>
        </w:tc>
      </w:tr>
    </w:tbl>
    <w:p>
      <w:pPr>
        <w:overflowPunct w:val="0"/>
        <w:autoSpaceDE w:val="0"/>
        <w:autoSpaceDN w:val="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spacing w:line="360" w:lineRule="auto"/>
        <w:jc w:val="center"/>
        <w:rPr>
          <w:rFonts w:ascii="宋体" w:hAnsi="宋体" w:cs="宋体"/>
          <w:b/>
          <w:sz w:val="32"/>
          <w:szCs w:val="32"/>
        </w:rPr>
      </w:pPr>
      <w:r>
        <w:rPr>
          <w:rFonts w:ascii="宋体" w:hAnsi="宋体" w:cs="Calibri"/>
          <w:sz w:val="22"/>
        </w:rPr>
        <w:br w:type="page"/>
      </w:r>
      <w:r>
        <w:rPr>
          <w:rFonts w:hint="eastAsia" w:ascii="宋体" w:hAnsi="宋体" w:cs="宋体"/>
          <w:b/>
          <w:sz w:val="32"/>
          <w:szCs w:val="32"/>
        </w:rPr>
        <w:t>（二）制造商资格声明</w:t>
      </w:r>
    </w:p>
    <w:p>
      <w:pPr>
        <w:numPr>
          <w:ilvl w:val="0"/>
          <w:numId w:val="45"/>
        </w:numPr>
        <w:adjustRightInd w:val="0"/>
        <w:spacing w:before="120" w:beforeLines="50" w:line="360" w:lineRule="auto"/>
        <w:textAlignment w:val="baseline"/>
        <w:rPr>
          <w:rFonts w:ascii="宋体" w:hAnsi="宋体" w:cs="宋体"/>
          <w:sz w:val="22"/>
          <w:szCs w:val="22"/>
        </w:rPr>
      </w:pPr>
      <w:r>
        <w:rPr>
          <w:rFonts w:hint="eastAsia" w:ascii="宋体" w:hAnsi="宋体" w:cs="宋体"/>
          <w:sz w:val="22"/>
          <w:szCs w:val="22"/>
        </w:rPr>
        <w:t>名称及概况：</w:t>
      </w:r>
    </w:p>
    <w:p>
      <w:pPr>
        <w:numPr>
          <w:ilvl w:val="0"/>
          <w:numId w:val="46"/>
        </w:numPr>
        <w:adjustRightInd w:val="0"/>
        <w:spacing w:line="360" w:lineRule="auto"/>
        <w:textAlignment w:val="baseline"/>
        <w:rPr>
          <w:rFonts w:ascii="宋体" w:hAnsi="宋体" w:cs="宋体"/>
          <w:sz w:val="22"/>
          <w:szCs w:val="22"/>
        </w:rPr>
      </w:pPr>
      <w:r>
        <w:rPr>
          <w:rFonts w:hint="eastAsia" w:ascii="宋体" w:hAnsi="宋体" w:cs="宋体"/>
          <w:sz w:val="22"/>
          <w:szCs w:val="22"/>
        </w:rPr>
        <w:t>制造商名称：</w:t>
      </w:r>
    </w:p>
    <w:p>
      <w:pPr>
        <w:numPr>
          <w:ilvl w:val="0"/>
          <w:numId w:val="46"/>
        </w:numPr>
        <w:adjustRightInd w:val="0"/>
        <w:spacing w:line="360" w:lineRule="auto"/>
        <w:textAlignment w:val="baseline"/>
        <w:rPr>
          <w:rFonts w:ascii="宋体" w:hAnsi="宋体" w:cs="宋体"/>
          <w:sz w:val="22"/>
          <w:szCs w:val="22"/>
        </w:rPr>
      </w:pPr>
      <w:r>
        <w:rPr>
          <w:rFonts w:hint="eastAsia" w:ascii="宋体" w:hAnsi="宋体" w:cs="宋体"/>
          <w:sz w:val="22"/>
          <w:szCs w:val="22"/>
        </w:rPr>
        <w:t>总部地址：</w:t>
      </w:r>
    </w:p>
    <w:p>
      <w:pPr>
        <w:spacing w:line="360" w:lineRule="auto"/>
        <w:ind w:left="840" w:firstLine="120"/>
        <w:rPr>
          <w:rFonts w:ascii="宋体" w:hAnsi="宋体" w:cs="宋体"/>
          <w:sz w:val="22"/>
          <w:szCs w:val="22"/>
          <w:u w:val="single"/>
        </w:rPr>
      </w:pPr>
      <w:r>
        <w:rPr>
          <w:rFonts w:hint="eastAsia" w:ascii="宋体" w:hAnsi="宋体" w:cs="宋体"/>
          <w:sz w:val="22"/>
          <w:szCs w:val="22"/>
        </w:rPr>
        <w:t>电传/传真/电话号码：</w:t>
      </w:r>
    </w:p>
    <w:p>
      <w:pPr>
        <w:numPr>
          <w:ilvl w:val="0"/>
          <w:numId w:val="46"/>
        </w:numPr>
        <w:adjustRightInd w:val="0"/>
        <w:spacing w:line="360" w:lineRule="auto"/>
        <w:textAlignment w:val="baseline"/>
        <w:rPr>
          <w:rFonts w:ascii="宋体" w:hAnsi="宋体" w:cs="宋体"/>
          <w:sz w:val="22"/>
          <w:szCs w:val="22"/>
          <w:u w:val="single"/>
        </w:rPr>
      </w:pPr>
      <w:r>
        <w:rPr>
          <w:rFonts w:hint="eastAsia" w:ascii="宋体" w:hAnsi="宋体" w:cs="宋体"/>
          <w:sz w:val="22"/>
          <w:szCs w:val="22"/>
        </w:rPr>
        <w:t>成立和/或注册日期：</w:t>
      </w:r>
    </w:p>
    <w:p>
      <w:pPr>
        <w:numPr>
          <w:ilvl w:val="0"/>
          <w:numId w:val="46"/>
        </w:numPr>
        <w:adjustRightInd w:val="0"/>
        <w:spacing w:line="360" w:lineRule="auto"/>
        <w:textAlignment w:val="baseline"/>
        <w:rPr>
          <w:rFonts w:ascii="宋体" w:hAnsi="宋体" w:cs="宋体"/>
          <w:sz w:val="22"/>
          <w:szCs w:val="22"/>
        </w:rPr>
      </w:pPr>
      <w:r>
        <w:rPr>
          <w:rFonts w:hint="eastAsia" w:ascii="宋体" w:hAnsi="宋体" w:cs="宋体"/>
          <w:sz w:val="22"/>
          <w:szCs w:val="22"/>
        </w:rPr>
        <w:t>实收资本：</w:t>
      </w:r>
    </w:p>
    <w:p>
      <w:pPr>
        <w:numPr>
          <w:ilvl w:val="0"/>
          <w:numId w:val="46"/>
        </w:numPr>
        <w:adjustRightInd w:val="0"/>
        <w:spacing w:line="360" w:lineRule="auto"/>
        <w:textAlignment w:val="baseline"/>
        <w:rPr>
          <w:rFonts w:ascii="宋体" w:hAnsi="宋体" w:cs="宋体"/>
          <w:sz w:val="22"/>
          <w:szCs w:val="22"/>
        </w:rPr>
      </w:pPr>
      <w:r>
        <w:rPr>
          <w:rFonts w:hint="eastAsia" w:ascii="宋体" w:hAnsi="宋体" w:cs="宋体"/>
          <w:sz w:val="22"/>
          <w:szCs w:val="22"/>
        </w:rPr>
        <w:t>近期资产负债表（到年月日止）</w:t>
      </w:r>
    </w:p>
    <w:p>
      <w:pPr>
        <w:numPr>
          <w:ilvl w:val="0"/>
          <w:numId w:val="47"/>
        </w:numPr>
        <w:adjustRightInd w:val="0"/>
        <w:spacing w:line="360" w:lineRule="auto"/>
        <w:textAlignment w:val="baseline"/>
        <w:rPr>
          <w:rFonts w:ascii="宋体" w:hAnsi="宋体" w:cs="宋体"/>
          <w:sz w:val="22"/>
          <w:szCs w:val="22"/>
        </w:rPr>
      </w:pPr>
      <w:r>
        <w:rPr>
          <w:rFonts w:hint="eastAsia" w:ascii="宋体" w:hAnsi="宋体" w:cs="宋体"/>
          <w:sz w:val="22"/>
          <w:szCs w:val="22"/>
        </w:rPr>
        <w:t>固定资产：</w:t>
      </w:r>
    </w:p>
    <w:p>
      <w:pPr>
        <w:numPr>
          <w:ilvl w:val="0"/>
          <w:numId w:val="47"/>
        </w:numPr>
        <w:adjustRightInd w:val="0"/>
        <w:spacing w:line="360" w:lineRule="auto"/>
        <w:textAlignment w:val="baseline"/>
        <w:rPr>
          <w:rFonts w:ascii="宋体" w:hAnsi="宋体" w:cs="宋体"/>
          <w:sz w:val="22"/>
          <w:szCs w:val="22"/>
        </w:rPr>
      </w:pPr>
      <w:r>
        <w:rPr>
          <w:rFonts w:hint="eastAsia" w:ascii="宋体" w:hAnsi="宋体" w:cs="宋体"/>
          <w:sz w:val="22"/>
          <w:szCs w:val="22"/>
        </w:rPr>
        <w:t>流动资产：</w:t>
      </w:r>
    </w:p>
    <w:p>
      <w:pPr>
        <w:numPr>
          <w:ilvl w:val="0"/>
          <w:numId w:val="47"/>
        </w:numPr>
        <w:adjustRightInd w:val="0"/>
        <w:spacing w:line="360" w:lineRule="auto"/>
        <w:textAlignment w:val="baseline"/>
        <w:rPr>
          <w:rFonts w:ascii="宋体" w:hAnsi="宋体" w:cs="宋体"/>
          <w:sz w:val="22"/>
          <w:szCs w:val="22"/>
        </w:rPr>
      </w:pPr>
      <w:r>
        <w:rPr>
          <w:rFonts w:hint="eastAsia" w:ascii="宋体" w:hAnsi="宋体" w:cs="宋体"/>
          <w:sz w:val="22"/>
          <w:szCs w:val="22"/>
        </w:rPr>
        <w:t>长期负债：</w:t>
      </w:r>
    </w:p>
    <w:p>
      <w:pPr>
        <w:numPr>
          <w:ilvl w:val="0"/>
          <w:numId w:val="47"/>
        </w:numPr>
        <w:adjustRightInd w:val="0"/>
        <w:spacing w:line="360" w:lineRule="auto"/>
        <w:textAlignment w:val="baseline"/>
        <w:rPr>
          <w:rFonts w:ascii="宋体" w:hAnsi="宋体" w:cs="宋体"/>
          <w:sz w:val="22"/>
          <w:szCs w:val="22"/>
        </w:rPr>
      </w:pPr>
      <w:r>
        <w:rPr>
          <w:rFonts w:hint="eastAsia" w:ascii="宋体" w:hAnsi="宋体" w:cs="宋体"/>
          <w:sz w:val="22"/>
          <w:szCs w:val="22"/>
        </w:rPr>
        <w:t>流动负债：</w:t>
      </w:r>
    </w:p>
    <w:p>
      <w:pPr>
        <w:numPr>
          <w:ilvl w:val="0"/>
          <w:numId w:val="47"/>
        </w:numPr>
        <w:adjustRightInd w:val="0"/>
        <w:spacing w:line="360" w:lineRule="auto"/>
        <w:textAlignment w:val="baseline"/>
        <w:rPr>
          <w:rFonts w:ascii="宋体" w:hAnsi="宋体" w:cs="宋体"/>
          <w:sz w:val="22"/>
          <w:szCs w:val="22"/>
        </w:rPr>
      </w:pPr>
      <w:r>
        <w:rPr>
          <w:rFonts w:hint="eastAsia" w:ascii="宋体" w:hAnsi="宋体" w:cs="宋体"/>
          <w:sz w:val="22"/>
          <w:szCs w:val="22"/>
        </w:rPr>
        <w:t>净值：</w:t>
      </w:r>
    </w:p>
    <w:p>
      <w:pPr>
        <w:numPr>
          <w:ilvl w:val="0"/>
          <w:numId w:val="48"/>
        </w:numPr>
        <w:adjustRightInd w:val="0"/>
        <w:spacing w:line="360" w:lineRule="auto"/>
        <w:textAlignment w:val="baseline"/>
        <w:rPr>
          <w:rFonts w:ascii="宋体" w:hAnsi="宋体" w:cs="宋体"/>
          <w:sz w:val="22"/>
          <w:szCs w:val="22"/>
        </w:rPr>
      </w:pPr>
      <w:r>
        <w:rPr>
          <w:rFonts w:hint="eastAsia" w:ascii="宋体" w:hAnsi="宋体" w:cs="宋体"/>
          <w:sz w:val="22"/>
          <w:szCs w:val="22"/>
        </w:rPr>
        <w:t>主要负责人姓名：（可选填）</w:t>
      </w:r>
    </w:p>
    <w:p>
      <w:pPr>
        <w:numPr>
          <w:ilvl w:val="0"/>
          <w:numId w:val="48"/>
        </w:numPr>
        <w:adjustRightInd w:val="0"/>
        <w:spacing w:line="360" w:lineRule="auto"/>
        <w:textAlignment w:val="baseline"/>
        <w:rPr>
          <w:rFonts w:ascii="宋体" w:hAnsi="宋体" w:cs="宋体"/>
          <w:sz w:val="22"/>
          <w:szCs w:val="22"/>
        </w:rPr>
      </w:pPr>
      <w:r>
        <w:rPr>
          <w:rFonts w:hint="eastAsia" w:ascii="宋体" w:hAnsi="宋体" w:cs="宋体"/>
          <w:sz w:val="22"/>
          <w:szCs w:val="22"/>
        </w:rPr>
        <w:t>制造商在中国的代表的姓名和地址：（如有的话）</w:t>
      </w:r>
    </w:p>
    <w:p>
      <w:pPr>
        <w:spacing w:line="360" w:lineRule="auto"/>
        <w:ind w:left="425"/>
        <w:rPr>
          <w:rFonts w:ascii="宋体" w:hAnsi="宋体" w:cs="宋体"/>
          <w:sz w:val="22"/>
          <w:szCs w:val="22"/>
        </w:rPr>
      </w:pPr>
    </w:p>
    <w:p>
      <w:pPr>
        <w:numPr>
          <w:ilvl w:val="0"/>
          <w:numId w:val="41"/>
        </w:numPr>
        <w:adjustRightInd w:val="0"/>
        <w:spacing w:line="360" w:lineRule="auto"/>
        <w:textAlignment w:val="baseline"/>
        <w:rPr>
          <w:rFonts w:ascii="宋体" w:hAnsi="宋体" w:cs="宋体"/>
          <w:sz w:val="22"/>
          <w:szCs w:val="22"/>
        </w:rPr>
      </w:pPr>
      <w:r>
        <w:rPr>
          <w:rFonts w:hint="eastAsia" w:ascii="宋体" w:hAnsi="宋体" w:cs="宋体"/>
          <w:sz w:val="22"/>
          <w:szCs w:val="22"/>
        </w:rPr>
        <w:t>(1) 关于制造投标货物的设施及其它情况：</w:t>
      </w:r>
    </w:p>
    <w:p>
      <w:pPr>
        <w:spacing w:line="360" w:lineRule="auto"/>
        <w:ind w:firstLine="360"/>
        <w:rPr>
          <w:rFonts w:ascii="宋体" w:hAnsi="宋体" w:cs="宋体"/>
          <w:sz w:val="22"/>
          <w:szCs w:val="22"/>
        </w:rPr>
      </w:pPr>
      <w:r>
        <w:rPr>
          <w:rFonts w:hint="eastAsia" w:ascii="宋体" w:hAnsi="宋体" w:cs="宋体"/>
          <w:sz w:val="22"/>
          <w:szCs w:val="22"/>
        </w:rPr>
        <w:t>工厂名称地址       生产的项目       年生产能力       职工人数</w:t>
      </w:r>
    </w:p>
    <w:p>
      <w:pPr>
        <w:spacing w:line="360" w:lineRule="auto"/>
        <w:rPr>
          <w:rFonts w:ascii="宋体" w:hAnsi="宋体" w:cs="宋体"/>
          <w:sz w:val="22"/>
          <w:szCs w:val="22"/>
        </w:rPr>
      </w:pPr>
    </w:p>
    <w:p>
      <w:pPr>
        <w:spacing w:line="360" w:lineRule="auto"/>
        <w:rPr>
          <w:rFonts w:ascii="宋体" w:hAnsi="宋体" w:cs="宋体"/>
          <w:sz w:val="22"/>
          <w:szCs w:val="22"/>
        </w:rPr>
      </w:pPr>
    </w:p>
    <w:p>
      <w:pPr>
        <w:numPr>
          <w:ilvl w:val="1"/>
          <w:numId w:val="49"/>
        </w:numPr>
        <w:tabs>
          <w:tab w:val="left" w:pos="780"/>
          <w:tab w:val="clear" w:pos="840"/>
        </w:tabs>
        <w:adjustRightInd w:val="0"/>
        <w:spacing w:line="360" w:lineRule="auto"/>
        <w:ind w:left="780" w:hanging="360"/>
        <w:textAlignment w:val="baseline"/>
        <w:rPr>
          <w:rFonts w:ascii="宋体" w:hAnsi="宋体" w:cs="宋体"/>
          <w:sz w:val="22"/>
          <w:szCs w:val="22"/>
        </w:rPr>
      </w:pPr>
      <w:r>
        <w:rPr>
          <w:rFonts w:hint="eastAsia" w:ascii="宋体" w:hAnsi="宋体" w:cs="宋体"/>
          <w:sz w:val="22"/>
          <w:szCs w:val="22"/>
        </w:rPr>
        <w:t xml:space="preserve"> 本制造商不生产，而需从其它制造商购买的主要零部件：</w:t>
      </w:r>
    </w:p>
    <w:p>
      <w:pPr>
        <w:spacing w:line="360" w:lineRule="auto"/>
        <w:ind w:firstLine="360"/>
        <w:rPr>
          <w:rFonts w:ascii="宋体" w:hAnsi="宋体" w:cs="宋体"/>
          <w:sz w:val="22"/>
          <w:szCs w:val="22"/>
        </w:rPr>
      </w:pPr>
      <w:r>
        <w:rPr>
          <w:rFonts w:hint="eastAsia" w:ascii="宋体" w:hAnsi="宋体" w:cs="宋体"/>
          <w:sz w:val="22"/>
          <w:szCs w:val="22"/>
        </w:rPr>
        <w:t>制造商名称和地址               主要零部件名称</w:t>
      </w:r>
    </w:p>
    <w:p>
      <w:pPr>
        <w:spacing w:line="360" w:lineRule="auto"/>
        <w:rPr>
          <w:rFonts w:ascii="宋体" w:hAnsi="宋体" w:cs="宋体"/>
          <w:sz w:val="22"/>
          <w:szCs w:val="22"/>
          <w:u w:val="single"/>
        </w:rPr>
      </w:pPr>
    </w:p>
    <w:p>
      <w:pPr>
        <w:spacing w:line="360" w:lineRule="auto"/>
        <w:rPr>
          <w:rFonts w:ascii="宋体" w:hAnsi="宋体" w:cs="宋体"/>
          <w:sz w:val="22"/>
          <w:szCs w:val="22"/>
          <w:u w:val="single"/>
        </w:rPr>
      </w:pPr>
    </w:p>
    <w:p>
      <w:pPr>
        <w:numPr>
          <w:ilvl w:val="0"/>
          <w:numId w:val="50"/>
        </w:numPr>
        <w:adjustRightInd w:val="0"/>
        <w:spacing w:line="360" w:lineRule="auto"/>
        <w:ind w:right="506" w:rightChars="211"/>
        <w:textAlignment w:val="baseline"/>
        <w:rPr>
          <w:rFonts w:ascii="宋体" w:hAnsi="宋体" w:cs="宋体"/>
          <w:sz w:val="22"/>
          <w:szCs w:val="22"/>
        </w:rPr>
      </w:pPr>
      <w:r>
        <w:rPr>
          <w:rFonts w:hint="eastAsia" w:ascii="宋体" w:hAnsi="宋体" w:cs="宋体"/>
          <w:sz w:val="22"/>
          <w:szCs w:val="22"/>
        </w:rPr>
        <w:t>本制造商生产投标货物的经验（包括年限、项目业主、额定能力、商业运营的起始日期等）：</w:t>
      </w:r>
    </w:p>
    <w:p>
      <w:pPr>
        <w:spacing w:line="360" w:lineRule="auto"/>
        <w:ind w:firstLine="360"/>
        <w:rPr>
          <w:rFonts w:ascii="宋体" w:hAnsi="宋体" w:cs="宋体"/>
          <w:sz w:val="22"/>
          <w:szCs w:val="22"/>
        </w:rPr>
      </w:pPr>
    </w:p>
    <w:p>
      <w:pPr>
        <w:spacing w:line="360" w:lineRule="auto"/>
        <w:ind w:firstLine="360"/>
        <w:rPr>
          <w:rFonts w:ascii="宋体" w:hAnsi="宋体" w:cs="宋体"/>
          <w:sz w:val="22"/>
          <w:szCs w:val="22"/>
        </w:rPr>
      </w:pPr>
    </w:p>
    <w:p>
      <w:pPr>
        <w:numPr>
          <w:ilvl w:val="0"/>
          <w:numId w:val="50"/>
        </w:numPr>
        <w:adjustRightInd w:val="0"/>
        <w:spacing w:line="360" w:lineRule="auto"/>
        <w:textAlignment w:val="baseline"/>
        <w:rPr>
          <w:rFonts w:ascii="宋体" w:hAnsi="宋体" w:cs="宋体"/>
          <w:sz w:val="22"/>
          <w:szCs w:val="22"/>
        </w:rPr>
      </w:pPr>
      <w:r>
        <w:rPr>
          <w:rFonts w:hint="eastAsia" w:ascii="宋体" w:hAnsi="宋体" w:cs="宋体"/>
          <w:sz w:val="22"/>
          <w:szCs w:val="22"/>
        </w:rPr>
        <w:t>近3年该货物主要销售给国内、外主要客户的名称地址：</w:t>
      </w:r>
    </w:p>
    <w:p>
      <w:pPr>
        <w:numPr>
          <w:ilvl w:val="0"/>
          <w:numId w:val="51"/>
        </w:numPr>
        <w:adjustRightInd w:val="0"/>
        <w:spacing w:line="360" w:lineRule="auto"/>
        <w:textAlignment w:val="baseline"/>
        <w:rPr>
          <w:rFonts w:ascii="宋体" w:hAnsi="宋体" w:cs="宋体"/>
          <w:sz w:val="22"/>
          <w:szCs w:val="22"/>
        </w:rPr>
      </w:pPr>
      <w:r>
        <w:rPr>
          <w:rFonts w:hint="eastAsia" w:ascii="宋体" w:hAnsi="宋体" w:cs="宋体"/>
          <w:sz w:val="22"/>
          <w:szCs w:val="22"/>
        </w:rPr>
        <w:t>出口销售</w:t>
      </w:r>
    </w:p>
    <w:p>
      <w:pPr>
        <w:spacing w:line="360" w:lineRule="auto"/>
        <w:ind w:firstLine="840"/>
        <w:rPr>
          <w:rFonts w:ascii="宋体" w:hAnsi="宋体" w:cs="宋体"/>
          <w:sz w:val="22"/>
          <w:szCs w:val="22"/>
          <w:u w:val="single"/>
        </w:rPr>
      </w:pPr>
      <w:r>
        <w:rPr>
          <w:rFonts w:hint="eastAsia" w:ascii="宋体" w:hAnsi="宋体" w:cs="宋体"/>
          <w:sz w:val="22"/>
          <w:szCs w:val="22"/>
        </w:rPr>
        <w:t>（</w:t>
      </w:r>
      <w:r>
        <w:rPr>
          <w:rFonts w:hint="eastAsia" w:ascii="宋体" w:hAnsi="宋体" w:cs="宋体"/>
          <w:i/>
          <w:sz w:val="22"/>
          <w:szCs w:val="22"/>
          <w:u w:val="single"/>
        </w:rPr>
        <w:t>名称和地址</w:t>
      </w:r>
      <w:r>
        <w:rPr>
          <w:rFonts w:hint="eastAsia" w:ascii="宋体" w:hAnsi="宋体" w:cs="宋体"/>
          <w:sz w:val="22"/>
          <w:szCs w:val="22"/>
        </w:rPr>
        <w:t>）（</w:t>
      </w:r>
      <w:r>
        <w:rPr>
          <w:rFonts w:hint="eastAsia" w:ascii="宋体" w:hAnsi="宋体" w:cs="宋体"/>
          <w:i/>
          <w:sz w:val="22"/>
          <w:szCs w:val="22"/>
          <w:u w:val="single"/>
        </w:rPr>
        <w:t>销售项目</w:t>
      </w:r>
      <w:r>
        <w:rPr>
          <w:rFonts w:hint="eastAsia" w:ascii="宋体" w:hAnsi="宋体" w:cs="宋体"/>
          <w:sz w:val="22"/>
          <w:szCs w:val="22"/>
        </w:rPr>
        <w:t>）</w:t>
      </w:r>
    </w:p>
    <w:p>
      <w:pPr>
        <w:numPr>
          <w:ilvl w:val="0"/>
          <w:numId w:val="51"/>
        </w:numPr>
        <w:adjustRightInd w:val="0"/>
        <w:spacing w:line="360" w:lineRule="auto"/>
        <w:textAlignment w:val="baseline"/>
        <w:rPr>
          <w:rFonts w:ascii="宋体" w:hAnsi="宋体" w:cs="宋体"/>
          <w:sz w:val="22"/>
          <w:szCs w:val="22"/>
        </w:rPr>
      </w:pPr>
      <w:r>
        <w:rPr>
          <w:rFonts w:hint="eastAsia" w:ascii="宋体" w:hAnsi="宋体" w:cs="宋体"/>
          <w:sz w:val="22"/>
          <w:szCs w:val="22"/>
        </w:rPr>
        <w:t>国内销售</w:t>
      </w:r>
    </w:p>
    <w:p>
      <w:pPr>
        <w:spacing w:line="360" w:lineRule="auto"/>
        <w:ind w:firstLine="840"/>
        <w:rPr>
          <w:rFonts w:ascii="宋体" w:hAnsi="宋体" w:cs="宋体"/>
          <w:sz w:val="22"/>
          <w:szCs w:val="22"/>
          <w:u w:val="single"/>
        </w:rPr>
      </w:pPr>
      <w:r>
        <w:rPr>
          <w:rFonts w:hint="eastAsia" w:ascii="宋体" w:hAnsi="宋体" w:cs="宋体"/>
          <w:sz w:val="22"/>
          <w:szCs w:val="22"/>
        </w:rPr>
        <w:t>（</w:t>
      </w:r>
      <w:r>
        <w:rPr>
          <w:rFonts w:hint="eastAsia" w:ascii="宋体" w:hAnsi="宋体" w:cs="宋体"/>
          <w:i/>
          <w:sz w:val="22"/>
          <w:szCs w:val="22"/>
          <w:u w:val="single"/>
        </w:rPr>
        <w:t>名称和地址</w:t>
      </w:r>
      <w:r>
        <w:rPr>
          <w:rFonts w:hint="eastAsia" w:ascii="宋体" w:hAnsi="宋体" w:cs="宋体"/>
          <w:sz w:val="22"/>
          <w:szCs w:val="22"/>
        </w:rPr>
        <w:t>）（</w:t>
      </w:r>
      <w:r>
        <w:rPr>
          <w:rFonts w:hint="eastAsia" w:ascii="宋体" w:hAnsi="宋体" w:cs="宋体"/>
          <w:i/>
          <w:sz w:val="22"/>
          <w:szCs w:val="22"/>
          <w:u w:val="single"/>
        </w:rPr>
        <w:t>销售项目</w:t>
      </w:r>
      <w:r>
        <w:rPr>
          <w:rFonts w:hint="eastAsia" w:ascii="宋体" w:hAnsi="宋体" w:cs="宋体"/>
          <w:sz w:val="22"/>
          <w:szCs w:val="22"/>
        </w:rPr>
        <w:t>）</w:t>
      </w:r>
    </w:p>
    <w:p>
      <w:pPr>
        <w:numPr>
          <w:ilvl w:val="0"/>
          <w:numId w:val="52"/>
        </w:numPr>
        <w:adjustRightInd w:val="0"/>
        <w:spacing w:line="360" w:lineRule="auto"/>
        <w:textAlignment w:val="baseline"/>
        <w:rPr>
          <w:rFonts w:ascii="宋体" w:hAnsi="宋体" w:cs="宋体"/>
          <w:sz w:val="22"/>
          <w:szCs w:val="22"/>
        </w:rPr>
      </w:pPr>
      <w:r>
        <w:rPr>
          <w:rFonts w:hint="eastAsia" w:ascii="宋体" w:hAnsi="宋体" w:cs="宋体"/>
          <w:sz w:val="22"/>
          <w:szCs w:val="22"/>
        </w:rPr>
        <w:t>近三年的年营业额</w:t>
      </w:r>
    </w:p>
    <w:p>
      <w:pPr>
        <w:spacing w:line="360" w:lineRule="auto"/>
        <w:ind w:firstLine="480"/>
        <w:rPr>
          <w:rFonts w:ascii="宋体" w:hAnsi="宋体" w:cs="宋体"/>
          <w:sz w:val="22"/>
          <w:szCs w:val="22"/>
        </w:rPr>
      </w:pPr>
      <w:r>
        <w:rPr>
          <w:rFonts w:hint="eastAsia" w:ascii="宋体" w:hAnsi="宋体" w:cs="宋体"/>
          <w:sz w:val="22"/>
          <w:szCs w:val="22"/>
        </w:rPr>
        <w:t>年份             国内             出口             总额</w:t>
      </w:r>
    </w:p>
    <w:p>
      <w:pPr>
        <w:spacing w:line="360" w:lineRule="auto"/>
        <w:ind w:left="360"/>
        <w:rPr>
          <w:rFonts w:ascii="宋体" w:hAnsi="宋体" w:cs="宋体"/>
          <w:sz w:val="22"/>
          <w:szCs w:val="22"/>
          <w:u w:val="single"/>
        </w:rPr>
      </w:pPr>
      <w:r>
        <w:rPr>
          <w:rFonts w:hint="eastAsia" w:ascii="宋体" w:hAnsi="宋体" w:cs="宋体"/>
          <w:sz w:val="22"/>
          <w:szCs w:val="22"/>
          <w:u w:val="single"/>
        </w:rPr>
        <w:br w:type="textWrapping"/>
      </w:r>
    </w:p>
    <w:p>
      <w:pPr>
        <w:numPr>
          <w:ilvl w:val="0"/>
          <w:numId w:val="52"/>
        </w:numPr>
        <w:adjustRightInd w:val="0"/>
        <w:spacing w:line="360" w:lineRule="auto"/>
        <w:textAlignment w:val="baseline"/>
        <w:rPr>
          <w:rFonts w:ascii="宋体" w:hAnsi="宋体" w:cs="宋体"/>
          <w:sz w:val="22"/>
          <w:szCs w:val="22"/>
        </w:rPr>
      </w:pPr>
      <w:r>
        <w:rPr>
          <w:rFonts w:hint="eastAsia" w:ascii="宋体" w:hAnsi="宋体" w:cs="宋体"/>
          <w:sz w:val="22"/>
          <w:szCs w:val="22"/>
        </w:rPr>
        <w:t>易损件供应商的名称和地址：</w:t>
      </w:r>
    </w:p>
    <w:p>
      <w:pPr>
        <w:spacing w:line="360" w:lineRule="auto"/>
        <w:ind w:firstLine="720"/>
        <w:rPr>
          <w:rFonts w:ascii="宋体" w:hAnsi="宋体" w:cs="宋体"/>
          <w:sz w:val="22"/>
          <w:szCs w:val="22"/>
        </w:rPr>
      </w:pPr>
      <w:r>
        <w:rPr>
          <w:rFonts w:hint="eastAsia" w:ascii="宋体" w:hAnsi="宋体" w:cs="宋体"/>
          <w:sz w:val="22"/>
          <w:szCs w:val="22"/>
        </w:rPr>
        <w:t>部件名称                              供应商</w:t>
      </w:r>
    </w:p>
    <w:p>
      <w:pPr>
        <w:spacing w:line="360" w:lineRule="auto"/>
        <w:ind w:firstLine="720"/>
        <w:rPr>
          <w:rFonts w:ascii="宋体" w:hAnsi="宋体" w:cs="宋体"/>
          <w:sz w:val="22"/>
          <w:szCs w:val="22"/>
          <w:u w:val="single"/>
        </w:rPr>
      </w:pPr>
    </w:p>
    <w:p>
      <w:pPr>
        <w:spacing w:line="360" w:lineRule="auto"/>
        <w:ind w:firstLine="720"/>
        <w:rPr>
          <w:rFonts w:ascii="宋体" w:hAnsi="宋体" w:cs="宋体"/>
          <w:sz w:val="22"/>
          <w:szCs w:val="22"/>
        </w:rPr>
      </w:pPr>
    </w:p>
    <w:p>
      <w:pPr>
        <w:numPr>
          <w:ilvl w:val="0"/>
          <w:numId w:val="52"/>
        </w:numPr>
        <w:adjustRightInd w:val="0"/>
        <w:spacing w:line="360" w:lineRule="auto"/>
        <w:textAlignment w:val="baseline"/>
        <w:rPr>
          <w:rFonts w:ascii="宋体" w:hAnsi="宋体" w:cs="宋体"/>
          <w:sz w:val="22"/>
          <w:szCs w:val="22"/>
        </w:rPr>
      </w:pPr>
      <w:r>
        <w:rPr>
          <w:rFonts w:hint="eastAsia" w:ascii="宋体" w:hAnsi="宋体" w:cs="宋体"/>
          <w:sz w:val="22"/>
          <w:szCs w:val="22"/>
        </w:rPr>
        <w:t>有关开户银行的名称和地址：</w:t>
      </w:r>
    </w:p>
    <w:p>
      <w:pPr>
        <w:numPr>
          <w:ilvl w:val="0"/>
          <w:numId w:val="52"/>
        </w:numPr>
        <w:adjustRightInd w:val="0"/>
        <w:spacing w:line="360" w:lineRule="auto"/>
        <w:textAlignment w:val="baseline"/>
        <w:rPr>
          <w:rFonts w:ascii="宋体" w:hAnsi="宋体" w:cs="宋体"/>
          <w:sz w:val="22"/>
          <w:szCs w:val="22"/>
        </w:rPr>
      </w:pPr>
      <w:r>
        <w:rPr>
          <w:rFonts w:hint="eastAsia" w:ascii="宋体" w:hAnsi="宋体" w:cs="宋体"/>
          <w:sz w:val="22"/>
          <w:szCs w:val="22"/>
        </w:rPr>
        <w:t>制造商所属的集团公司（如有的话）：</w:t>
      </w:r>
    </w:p>
    <w:p>
      <w:pPr>
        <w:numPr>
          <w:ilvl w:val="0"/>
          <w:numId w:val="52"/>
        </w:numPr>
        <w:adjustRightInd w:val="0"/>
        <w:spacing w:line="360" w:lineRule="auto"/>
        <w:textAlignment w:val="baseline"/>
        <w:rPr>
          <w:rFonts w:ascii="宋体" w:hAnsi="宋体" w:cs="宋体"/>
          <w:sz w:val="22"/>
          <w:szCs w:val="22"/>
        </w:rPr>
      </w:pPr>
      <w:r>
        <w:rPr>
          <w:rFonts w:hint="eastAsia" w:ascii="宋体" w:hAnsi="宋体" w:cs="宋体"/>
          <w:sz w:val="22"/>
          <w:szCs w:val="22"/>
        </w:rPr>
        <w:t>其他情况：</w:t>
      </w:r>
    </w:p>
    <w:p>
      <w:pPr>
        <w:spacing w:line="360" w:lineRule="auto"/>
        <w:ind w:left="425"/>
        <w:rPr>
          <w:rFonts w:ascii="宋体" w:hAnsi="宋体" w:cs="宋体"/>
          <w:sz w:val="22"/>
          <w:szCs w:val="22"/>
        </w:rPr>
      </w:pPr>
    </w:p>
    <w:p>
      <w:pPr>
        <w:spacing w:line="360" w:lineRule="auto"/>
        <w:ind w:firstLine="440" w:firstLineChars="200"/>
        <w:rPr>
          <w:rFonts w:ascii="宋体" w:hAnsi="宋体" w:cs="宋体"/>
          <w:sz w:val="22"/>
          <w:szCs w:val="22"/>
        </w:rPr>
      </w:pPr>
      <w:r>
        <w:rPr>
          <w:rFonts w:hint="eastAsia" w:ascii="宋体" w:hAnsi="宋体" w:cs="宋体"/>
          <w:sz w:val="22"/>
          <w:szCs w:val="22"/>
        </w:rPr>
        <w:t>兹证明上述声明是真实、正确的，并提供了全部能提供的资料和数据，我们同意遵照贵方要求出示有关证明文件。</w:t>
      </w:r>
    </w:p>
    <w:p>
      <w:pPr>
        <w:spacing w:line="360" w:lineRule="auto"/>
        <w:rPr>
          <w:rFonts w:ascii="宋体" w:hAnsi="宋体" w:cs="宋体"/>
          <w:sz w:val="22"/>
          <w:szCs w:val="22"/>
        </w:rPr>
      </w:pPr>
    </w:p>
    <w:p>
      <w:pPr>
        <w:spacing w:line="360" w:lineRule="auto"/>
        <w:rPr>
          <w:rFonts w:ascii="宋体" w:hAnsi="宋体" w:cs="宋体"/>
          <w:sz w:val="22"/>
          <w:szCs w:val="22"/>
        </w:rPr>
      </w:pPr>
    </w:p>
    <w:p>
      <w:pPr>
        <w:spacing w:before="120" w:beforeLines="50" w:line="360" w:lineRule="auto"/>
        <w:rPr>
          <w:rFonts w:ascii="宋体" w:hAnsi="宋体" w:cs="宋体"/>
          <w:sz w:val="22"/>
          <w:szCs w:val="22"/>
        </w:rPr>
      </w:pPr>
      <w:r>
        <w:rPr>
          <w:rFonts w:hint="eastAsia" w:ascii="宋体" w:hAnsi="宋体" w:cs="宋体"/>
          <w:sz w:val="22"/>
          <w:szCs w:val="22"/>
        </w:rPr>
        <w:t>制造商名称 （公章）</w:t>
      </w:r>
    </w:p>
    <w:p>
      <w:pPr>
        <w:spacing w:before="120" w:beforeLines="50" w:line="360" w:lineRule="auto"/>
        <w:rPr>
          <w:rFonts w:ascii="宋体" w:hAnsi="宋体" w:cs="宋体"/>
          <w:sz w:val="22"/>
          <w:szCs w:val="22"/>
          <w:u w:val="single"/>
        </w:rPr>
      </w:pPr>
      <w:r>
        <w:rPr>
          <w:rFonts w:hint="eastAsia" w:ascii="宋体" w:hAnsi="宋体" w:cs="宋体"/>
          <w:sz w:val="22"/>
          <w:szCs w:val="22"/>
        </w:rPr>
        <w:t>签字人姓名和职务</w:t>
      </w:r>
    </w:p>
    <w:p>
      <w:pPr>
        <w:spacing w:before="120" w:beforeLines="50" w:line="360" w:lineRule="auto"/>
        <w:rPr>
          <w:rFonts w:ascii="宋体" w:hAnsi="宋体" w:cs="宋体"/>
          <w:sz w:val="22"/>
          <w:szCs w:val="22"/>
          <w:u w:val="single"/>
        </w:rPr>
      </w:pPr>
      <w:r>
        <w:rPr>
          <w:rFonts w:hint="eastAsia" w:ascii="宋体" w:hAnsi="宋体" w:cs="宋体"/>
          <w:sz w:val="22"/>
          <w:szCs w:val="22"/>
        </w:rPr>
        <w:t>签字人签字</w:t>
      </w:r>
    </w:p>
    <w:p>
      <w:pPr>
        <w:spacing w:before="120" w:beforeLines="50" w:line="360" w:lineRule="auto"/>
        <w:rPr>
          <w:rFonts w:ascii="宋体" w:hAnsi="宋体" w:cs="宋体"/>
          <w:sz w:val="22"/>
          <w:szCs w:val="22"/>
          <w:u w:val="single"/>
        </w:rPr>
      </w:pPr>
      <w:r>
        <w:rPr>
          <w:rFonts w:hint="eastAsia" w:ascii="宋体" w:hAnsi="宋体" w:cs="宋体"/>
          <w:sz w:val="22"/>
          <w:szCs w:val="22"/>
        </w:rPr>
        <w:t>签字日期</w:t>
      </w:r>
    </w:p>
    <w:p>
      <w:pPr>
        <w:spacing w:before="120" w:beforeLines="50" w:line="360" w:lineRule="auto"/>
        <w:rPr>
          <w:rFonts w:ascii="宋体" w:hAnsi="宋体" w:cs="宋体"/>
          <w:sz w:val="22"/>
          <w:szCs w:val="22"/>
          <w:u w:val="single"/>
        </w:rPr>
      </w:pPr>
      <w:r>
        <w:rPr>
          <w:rFonts w:hint="eastAsia" w:ascii="宋体" w:hAnsi="宋体" w:cs="宋体"/>
          <w:sz w:val="22"/>
          <w:szCs w:val="22"/>
        </w:rPr>
        <w:t>传真</w:t>
      </w:r>
    </w:p>
    <w:p>
      <w:pPr>
        <w:spacing w:before="120" w:beforeLines="50" w:line="360" w:lineRule="auto"/>
        <w:rPr>
          <w:rFonts w:ascii="宋体" w:hAnsi="宋体" w:cs="宋体"/>
          <w:sz w:val="22"/>
          <w:szCs w:val="22"/>
          <w:u w:val="single"/>
        </w:rPr>
      </w:pPr>
      <w:r>
        <w:rPr>
          <w:rFonts w:hint="eastAsia" w:ascii="宋体" w:hAnsi="宋体" w:cs="宋体"/>
          <w:sz w:val="22"/>
          <w:szCs w:val="22"/>
        </w:rPr>
        <w:t>电话</w:t>
      </w:r>
    </w:p>
    <w:p>
      <w:pPr>
        <w:spacing w:before="120" w:beforeLines="50" w:line="360" w:lineRule="auto"/>
        <w:rPr>
          <w:rFonts w:ascii="宋体" w:hAnsi="宋体" w:cs="宋体"/>
          <w:u w:val="single"/>
        </w:rPr>
      </w:pPr>
    </w:p>
    <w:p>
      <w:pPr>
        <w:overflowPunct w:val="0"/>
        <w:autoSpaceDE w:val="0"/>
        <w:autoSpaceDN w:val="0"/>
        <w:spacing w:line="440" w:lineRule="exact"/>
        <w:jc w:val="left"/>
        <w:rPr>
          <w:rFonts w:ascii="宋体" w:hAnsi="宋体" w:cs="Calibri"/>
          <w:sz w:val="22"/>
        </w:rPr>
      </w:pPr>
    </w:p>
    <w:p>
      <w:pPr>
        <w:spacing w:line="360" w:lineRule="auto"/>
        <w:jc w:val="center"/>
        <w:rPr>
          <w:rFonts w:ascii="宋体" w:hAnsi="宋体" w:cs="宋体"/>
          <w:b/>
          <w:sz w:val="32"/>
          <w:szCs w:val="32"/>
        </w:rPr>
      </w:pPr>
      <w:r>
        <w:rPr>
          <w:rFonts w:ascii="宋体" w:hAnsi="宋体" w:cs="Calibri"/>
          <w:sz w:val="22"/>
        </w:rPr>
        <w:br w:type="page"/>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（三）</w:t>
      </w:r>
      <w:r>
        <w:rPr>
          <w:rFonts w:ascii="宋体" w:hAnsi="宋体" w:cs="宋体"/>
          <w:b/>
          <w:sz w:val="32"/>
          <w:szCs w:val="32"/>
        </w:rPr>
        <w:t>设备制造商的授权书</w:t>
      </w:r>
    </w:p>
    <w:p>
      <w:pPr>
        <w:spacing w:line="360" w:lineRule="auto"/>
        <w:jc w:val="center"/>
        <w:rPr>
          <w:rFonts w:ascii="宋体" w:hAnsi="宋体" w:cs="宋体"/>
          <w:b/>
          <w:sz w:val="32"/>
          <w:szCs w:val="32"/>
        </w:rPr>
      </w:pPr>
      <w:r>
        <w:rPr>
          <w:rFonts w:hint="eastAsia" w:ascii="宋体" w:hAnsi="宋体" w:cs="宋体"/>
          <w:b/>
          <w:sz w:val="32"/>
          <w:szCs w:val="32"/>
        </w:rPr>
        <w:t>（代理商投标时提供）</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r>
        <w:rPr>
          <w:rFonts w:hint="eastAsia" w:ascii="宋体" w:hAnsi="宋体" w:cs="宋体"/>
          <w:b/>
          <w:sz w:val="32"/>
          <w:szCs w:val="32"/>
        </w:rPr>
        <w:t>（四）投标产品近三年的销售业绩一览表</w:t>
      </w:r>
    </w:p>
    <w:tbl>
      <w:tblPr>
        <w:tblStyle w:val="52"/>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jc w:val="center"/>
              <w:rPr>
                <w:rFonts w:ascii="ˎ̥" w:hAnsi="ˎ̥" w:cs="宋体"/>
                <w:bCs/>
                <w:kern w:val="0"/>
                <w:szCs w:val="21"/>
              </w:rPr>
            </w:pPr>
          </w:p>
        </w:tc>
      </w:tr>
    </w:tbl>
    <w:p>
      <w:pPr>
        <w:spacing w:line="360" w:lineRule="auto"/>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jc w:val="left"/>
        <w:rPr>
          <w:rFonts w:ascii="ˎ̥" w:hAnsi="ˎ̥" w:cs="宋体"/>
          <w:kern w:val="0"/>
          <w:szCs w:val="21"/>
        </w:rPr>
      </w:pPr>
    </w:p>
    <w:p>
      <w:pPr>
        <w:spacing w:line="360" w:lineRule="auto"/>
        <w:jc w:val="center"/>
        <w:rPr>
          <w:rFonts w:ascii="宋体" w:hAnsi="宋体" w:cs="宋体"/>
          <w:b/>
          <w:sz w:val="32"/>
          <w:szCs w:val="32"/>
        </w:rPr>
      </w:pPr>
    </w:p>
    <w:p>
      <w:pPr>
        <w:pStyle w:val="29"/>
        <w:adjustRightInd w:val="0"/>
        <w:snapToGrid w:val="0"/>
        <w:spacing w:line="560" w:lineRule="exact"/>
        <w:rPr>
          <w:rFonts w:hAnsi="宋体"/>
          <w:b/>
        </w:rPr>
      </w:pPr>
      <w:r>
        <w:rPr>
          <w:rFonts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六、技术规格偏离表</w:t>
      </w:r>
    </w:p>
    <w:p>
      <w:pPr>
        <w:spacing w:line="560" w:lineRule="exact"/>
        <w:rPr>
          <w:rFonts w:ascii="宋体" w:hAnsi="宋体"/>
        </w:rPr>
      </w:pPr>
    </w:p>
    <w:tbl>
      <w:tblPr>
        <w:tblStyle w:val="52"/>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365"/>
        <w:gridCol w:w="1260"/>
        <w:gridCol w:w="1361"/>
        <w:gridCol w:w="1236"/>
        <w:gridCol w:w="189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vAlign w:val="center"/>
          </w:tcPr>
          <w:p>
            <w:pPr>
              <w:jc w:val="center"/>
              <w:rPr>
                <w:rFonts w:ascii="宋体" w:hAnsi="宋体"/>
                <w:szCs w:val="21"/>
              </w:rPr>
            </w:pPr>
            <w:r>
              <w:rPr>
                <w:rFonts w:hint="eastAsia" w:ascii="宋体" w:hAnsi="宋体"/>
                <w:szCs w:val="21"/>
              </w:rPr>
              <w:t>序号</w:t>
            </w:r>
          </w:p>
        </w:tc>
        <w:tc>
          <w:tcPr>
            <w:tcW w:w="1365" w:type="dxa"/>
            <w:vAlign w:val="center"/>
          </w:tcPr>
          <w:p>
            <w:pPr>
              <w:jc w:val="center"/>
              <w:rPr>
                <w:rFonts w:ascii="宋体" w:hAnsi="宋体"/>
                <w:szCs w:val="21"/>
              </w:rPr>
            </w:pPr>
            <w:r>
              <w:rPr>
                <w:rFonts w:hint="eastAsia" w:ascii="宋体" w:hAnsi="宋体"/>
                <w:szCs w:val="21"/>
              </w:rPr>
              <w:t>货物名称</w:t>
            </w:r>
          </w:p>
        </w:tc>
        <w:tc>
          <w:tcPr>
            <w:tcW w:w="1260" w:type="dxa"/>
            <w:vAlign w:val="center"/>
          </w:tcPr>
          <w:p>
            <w:pPr>
              <w:jc w:val="center"/>
              <w:rPr>
                <w:rFonts w:ascii="宋体" w:hAnsi="宋体"/>
                <w:szCs w:val="21"/>
              </w:rPr>
            </w:pPr>
            <w:r>
              <w:rPr>
                <w:rFonts w:hint="eastAsia" w:ascii="宋体" w:hAnsi="宋体"/>
                <w:szCs w:val="21"/>
              </w:rPr>
              <w:t>招标文件条目号</w:t>
            </w:r>
          </w:p>
        </w:tc>
        <w:tc>
          <w:tcPr>
            <w:tcW w:w="1361" w:type="dxa"/>
            <w:vAlign w:val="center"/>
          </w:tcPr>
          <w:p>
            <w:pPr>
              <w:jc w:val="center"/>
              <w:rPr>
                <w:rFonts w:ascii="宋体" w:hAnsi="宋体"/>
                <w:szCs w:val="21"/>
              </w:rPr>
            </w:pPr>
            <w:r>
              <w:rPr>
                <w:rFonts w:hint="eastAsia" w:ascii="宋体" w:hAnsi="宋体"/>
                <w:szCs w:val="21"/>
              </w:rPr>
              <w:t>招标规格</w:t>
            </w:r>
          </w:p>
        </w:tc>
        <w:tc>
          <w:tcPr>
            <w:tcW w:w="1236" w:type="dxa"/>
            <w:vAlign w:val="center"/>
          </w:tcPr>
          <w:p>
            <w:pPr>
              <w:jc w:val="center"/>
              <w:rPr>
                <w:rFonts w:ascii="宋体" w:hAnsi="宋体"/>
                <w:szCs w:val="21"/>
              </w:rPr>
            </w:pPr>
            <w:r>
              <w:rPr>
                <w:rFonts w:hint="eastAsia" w:ascii="宋体" w:hAnsi="宋体"/>
                <w:szCs w:val="21"/>
              </w:rPr>
              <w:t>投标规格</w:t>
            </w:r>
          </w:p>
        </w:tc>
        <w:tc>
          <w:tcPr>
            <w:tcW w:w="1890" w:type="dxa"/>
            <w:vAlign w:val="center"/>
          </w:tcPr>
          <w:p>
            <w:pPr>
              <w:jc w:val="center"/>
              <w:rPr>
                <w:rFonts w:ascii="宋体" w:hAnsi="宋体"/>
                <w:szCs w:val="21"/>
              </w:rPr>
            </w:pPr>
            <w:r>
              <w:rPr>
                <w:rFonts w:hint="eastAsia" w:ascii="宋体" w:hAnsi="宋体"/>
                <w:szCs w:val="21"/>
              </w:rPr>
              <w:t>偏离</w:t>
            </w:r>
          </w:p>
        </w:tc>
        <w:tc>
          <w:tcPr>
            <w:tcW w:w="1470"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8" w:type="dxa"/>
          </w:tcPr>
          <w:p>
            <w:pPr>
              <w:rPr>
                <w:rFonts w:ascii="宋体" w:hAnsi="宋体"/>
                <w:szCs w:val="21"/>
              </w:rPr>
            </w:pPr>
          </w:p>
        </w:tc>
        <w:tc>
          <w:tcPr>
            <w:tcW w:w="1365" w:type="dxa"/>
          </w:tcPr>
          <w:p>
            <w:pPr>
              <w:rPr>
                <w:rFonts w:ascii="宋体" w:hAnsi="宋体"/>
                <w:szCs w:val="21"/>
              </w:rPr>
            </w:pPr>
          </w:p>
        </w:tc>
        <w:tc>
          <w:tcPr>
            <w:tcW w:w="1260" w:type="dxa"/>
          </w:tcPr>
          <w:p>
            <w:pPr>
              <w:rPr>
                <w:rFonts w:ascii="宋体" w:hAnsi="宋体"/>
                <w:szCs w:val="21"/>
              </w:rPr>
            </w:pPr>
          </w:p>
        </w:tc>
        <w:tc>
          <w:tcPr>
            <w:tcW w:w="1361" w:type="dxa"/>
          </w:tcPr>
          <w:p>
            <w:pPr>
              <w:rPr>
                <w:rFonts w:ascii="宋体" w:hAnsi="宋体"/>
                <w:szCs w:val="21"/>
              </w:rPr>
            </w:pPr>
          </w:p>
        </w:tc>
        <w:tc>
          <w:tcPr>
            <w:tcW w:w="1236" w:type="dxa"/>
          </w:tcPr>
          <w:p>
            <w:pPr>
              <w:rPr>
                <w:rFonts w:ascii="宋体" w:hAnsi="宋体"/>
                <w:szCs w:val="21"/>
              </w:rPr>
            </w:pPr>
          </w:p>
        </w:tc>
        <w:tc>
          <w:tcPr>
            <w:tcW w:w="1890" w:type="dxa"/>
          </w:tcPr>
          <w:p>
            <w:pPr>
              <w:rPr>
                <w:rFonts w:ascii="宋体" w:hAnsi="宋体"/>
                <w:szCs w:val="21"/>
              </w:rPr>
            </w:pPr>
          </w:p>
        </w:tc>
        <w:tc>
          <w:tcPr>
            <w:tcW w:w="1470" w:type="dxa"/>
          </w:tcPr>
          <w:p>
            <w:pPr>
              <w:rPr>
                <w:rFonts w:ascii="宋体" w:hAnsi="宋体"/>
                <w:szCs w:val="21"/>
              </w:rPr>
            </w:pPr>
          </w:p>
        </w:tc>
      </w:tr>
    </w:tbl>
    <w:p>
      <w:pPr>
        <w:spacing w:line="560" w:lineRule="exact"/>
        <w:rPr>
          <w:rFonts w:ascii="宋体" w:hAnsi="宋体"/>
        </w:rPr>
      </w:pPr>
      <w:r>
        <w:rPr>
          <w:rFonts w:hAnsi="宋体"/>
          <w:bCs/>
        </w:rPr>
        <w:t>注：如不填写，则视为完全响应招标文件的技术要求。</w:t>
      </w:r>
    </w:p>
    <w:p>
      <w:pPr>
        <w:spacing w:line="360" w:lineRule="auto"/>
        <w:jc w:val="center"/>
        <w:rPr>
          <w:rFonts w:hAnsi="宋体"/>
          <w:b/>
        </w:rPr>
      </w:pPr>
    </w:p>
    <w:p>
      <w:pPr>
        <w:pStyle w:val="29"/>
        <w:adjustRightInd w:val="0"/>
        <w:snapToGrid w:val="0"/>
        <w:spacing w:line="560" w:lineRule="exact"/>
        <w:rPr>
          <w:rFonts w:hAnsi="宋体"/>
          <w:b/>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七、</w:t>
      </w:r>
      <w:r>
        <w:rPr>
          <w:rFonts w:ascii="Calibri" w:hAnsi="Calibri" w:eastAsia="黑体" w:cs="Calibri"/>
          <w:color w:val="000000"/>
          <w:sz w:val="32"/>
          <w:szCs w:val="32"/>
        </w:rPr>
        <w:t>商务条款响应</w:t>
      </w:r>
      <w:r>
        <w:rPr>
          <w:rFonts w:hint="eastAsia" w:ascii="Calibri" w:hAnsi="Calibri" w:eastAsia="黑体" w:cs="Calibri"/>
          <w:color w:val="000000"/>
          <w:sz w:val="32"/>
          <w:szCs w:val="32"/>
        </w:rPr>
        <w:t>偏离</w:t>
      </w:r>
      <w:r>
        <w:rPr>
          <w:rFonts w:ascii="Calibri" w:hAnsi="Calibri" w:eastAsia="黑体" w:cs="Calibri"/>
          <w:color w:val="000000"/>
          <w:sz w:val="32"/>
          <w:szCs w:val="32"/>
        </w:rPr>
        <w:t>表</w:t>
      </w:r>
    </w:p>
    <w:tbl>
      <w:tblPr>
        <w:tblStyle w:val="52"/>
        <w:tblW w:w="9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3510"/>
        <w:gridCol w:w="3510"/>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r>
              <w:rPr>
                <w:rFonts w:hAnsi="宋体"/>
                <w:kern w:val="2"/>
                <w:sz w:val="21"/>
              </w:rPr>
              <w:t>序号</w:t>
            </w:r>
          </w:p>
        </w:tc>
        <w:tc>
          <w:tcPr>
            <w:tcW w:w="900" w:type="dxa"/>
            <w:vAlign w:val="center"/>
          </w:tcPr>
          <w:p>
            <w:pPr>
              <w:pStyle w:val="29"/>
              <w:adjustRightInd w:val="0"/>
              <w:snapToGrid w:val="0"/>
              <w:jc w:val="center"/>
              <w:rPr>
                <w:rFonts w:hAnsi="宋体"/>
                <w:kern w:val="2"/>
                <w:sz w:val="21"/>
              </w:rPr>
            </w:pPr>
            <w:r>
              <w:rPr>
                <w:rFonts w:hAnsi="宋体"/>
                <w:kern w:val="2"/>
                <w:sz w:val="21"/>
              </w:rPr>
              <w:t>内容</w:t>
            </w:r>
          </w:p>
        </w:tc>
        <w:tc>
          <w:tcPr>
            <w:tcW w:w="3510" w:type="dxa"/>
            <w:vAlign w:val="center"/>
          </w:tcPr>
          <w:p>
            <w:pPr>
              <w:pStyle w:val="29"/>
              <w:adjustRightInd w:val="0"/>
              <w:snapToGrid w:val="0"/>
              <w:jc w:val="center"/>
              <w:rPr>
                <w:rFonts w:hAnsi="宋体"/>
                <w:kern w:val="2"/>
                <w:sz w:val="21"/>
              </w:rPr>
            </w:pPr>
            <w:r>
              <w:rPr>
                <w:rFonts w:hAnsi="宋体"/>
                <w:kern w:val="2"/>
                <w:sz w:val="21"/>
              </w:rPr>
              <w:t>招标文件要求</w:t>
            </w:r>
          </w:p>
        </w:tc>
        <w:tc>
          <w:tcPr>
            <w:tcW w:w="3510" w:type="dxa"/>
            <w:vAlign w:val="center"/>
          </w:tcPr>
          <w:p>
            <w:pPr>
              <w:pStyle w:val="29"/>
              <w:adjustRightInd w:val="0"/>
              <w:snapToGrid w:val="0"/>
              <w:jc w:val="center"/>
              <w:rPr>
                <w:rFonts w:hAnsi="宋体"/>
                <w:kern w:val="2"/>
                <w:sz w:val="21"/>
              </w:rPr>
            </w:pPr>
            <w:r>
              <w:rPr>
                <w:rFonts w:hAnsi="宋体"/>
                <w:kern w:val="2"/>
                <w:sz w:val="21"/>
              </w:rPr>
              <w:t>投标文件对应内容</w:t>
            </w:r>
          </w:p>
        </w:tc>
        <w:tc>
          <w:tcPr>
            <w:tcW w:w="827" w:type="dxa"/>
            <w:vAlign w:val="center"/>
          </w:tcPr>
          <w:p>
            <w:pPr>
              <w:pStyle w:val="29"/>
              <w:adjustRightInd w:val="0"/>
              <w:snapToGrid w:val="0"/>
              <w:jc w:val="center"/>
              <w:rPr>
                <w:rFonts w:hAnsi="宋体"/>
                <w:kern w:val="2"/>
                <w:sz w:val="21"/>
              </w:rPr>
            </w:pPr>
            <w:r>
              <w:rPr>
                <w:rFonts w:hAnsi="宋体"/>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Align w:val="center"/>
          </w:tcPr>
          <w:p>
            <w:pPr>
              <w:pStyle w:val="29"/>
              <w:adjustRightInd w:val="0"/>
              <w:snapToGrid w:val="0"/>
              <w:jc w:val="center"/>
              <w:rPr>
                <w:rFonts w:hAnsi="宋体"/>
                <w:kern w:val="2"/>
                <w:sz w:val="21"/>
              </w:rPr>
            </w:pPr>
          </w:p>
        </w:tc>
        <w:tc>
          <w:tcPr>
            <w:tcW w:w="90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3510" w:type="dxa"/>
            <w:vAlign w:val="center"/>
          </w:tcPr>
          <w:p>
            <w:pPr>
              <w:pStyle w:val="29"/>
              <w:adjustRightInd w:val="0"/>
              <w:snapToGrid w:val="0"/>
              <w:jc w:val="center"/>
              <w:rPr>
                <w:rFonts w:hAnsi="宋体"/>
                <w:kern w:val="2"/>
                <w:sz w:val="21"/>
              </w:rPr>
            </w:pPr>
          </w:p>
        </w:tc>
        <w:tc>
          <w:tcPr>
            <w:tcW w:w="827" w:type="dxa"/>
            <w:vAlign w:val="center"/>
          </w:tcPr>
          <w:p>
            <w:pPr>
              <w:pStyle w:val="29"/>
              <w:adjustRightInd w:val="0"/>
              <w:snapToGrid w:val="0"/>
              <w:jc w:val="center"/>
              <w:rPr>
                <w:rFonts w:hAnsi="宋体"/>
                <w:kern w:val="2"/>
                <w:sz w:val="21"/>
              </w:rPr>
            </w:pPr>
          </w:p>
        </w:tc>
      </w:tr>
    </w:tbl>
    <w:p>
      <w:pPr>
        <w:pStyle w:val="29"/>
        <w:adjustRightInd w:val="0"/>
        <w:snapToGrid w:val="0"/>
        <w:spacing w:line="560" w:lineRule="exact"/>
        <w:rPr>
          <w:rFonts w:hAnsi="宋体"/>
          <w:bCs/>
          <w:sz w:val="24"/>
          <w:szCs w:val="24"/>
        </w:rPr>
      </w:pPr>
    </w:p>
    <w:p>
      <w:pPr>
        <w:pStyle w:val="29"/>
        <w:adjustRightInd w:val="0"/>
        <w:snapToGrid w:val="0"/>
        <w:spacing w:line="560" w:lineRule="exact"/>
        <w:rPr>
          <w:rFonts w:hAnsi="宋体"/>
          <w:bCs/>
          <w:sz w:val="24"/>
          <w:szCs w:val="24"/>
        </w:rPr>
      </w:pPr>
      <w:r>
        <w:rPr>
          <w:rFonts w:hAnsi="宋体"/>
          <w:bCs/>
          <w:sz w:val="24"/>
          <w:szCs w:val="24"/>
        </w:rPr>
        <w:t>注：如不填写，则视为完全响应招标文件的</w:t>
      </w:r>
      <w:r>
        <w:rPr>
          <w:rFonts w:hint="eastAsia" w:hAnsi="宋体"/>
          <w:bCs/>
          <w:sz w:val="24"/>
          <w:szCs w:val="24"/>
        </w:rPr>
        <w:t>商务</w:t>
      </w:r>
      <w:r>
        <w:rPr>
          <w:rFonts w:hAnsi="宋体"/>
          <w:bCs/>
          <w:sz w:val="24"/>
          <w:szCs w:val="24"/>
        </w:rPr>
        <w:t>要求。</w:t>
      </w:r>
    </w:p>
    <w:p>
      <w:pPr>
        <w:pStyle w:val="29"/>
        <w:adjustRightInd w:val="0"/>
        <w:snapToGrid w:val="0"/>
        <w:spacing w:line="560" w:lineRule="exact"/>
        <w:rPr>
          <w:rFonts w:hAnsi="宋体"/>
          <w:bCs/>
          <w:sz w:val="24"/>
          <w:szCs w:val="24"/>
        </w:rPr>
      </w:pPr>
    </w:p>
    <w:p>
      <w:pPr>
        <w:widowControl/>
        <w:jc w:val="left"/>
        <w:rPr>
          <w:rFonts w:ascii="Calibri" w:hAnsi="Calibri" w:eastAsia="黑体" w:cs="Calibri"/>
          <w:color w:val="000000"/>
          <w:sz w:val="32"/>
          <w:szCs w:val="32"/>
        </w:rPr>
      </w:pPr>
    </w:p>
    <w:p/>
    <w:p/>
    <w:p/>
    <w:p/>
    <w:sectPr>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Heiti SC Light">
    <w:altName w:val="微软雅黑"/>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µÈÏß Western">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9531"/>
    </w:sdtPr>
    <w:sdtContent>
      <w:p>
        <w:pPr>
          <w:pStyle w:val="34"/>
          <w:jc w:val="center"/>
        </w:pPr>
        <w:r>
          <w:fldChar w:fldCharType="begin"/>
        </w:r>
        <w:r>
          <w:instrText xml:space="preserve"> PAGE   \* MERGEFORMAT </w:instrText>
        </w:r>
        <w:r>
          <w:fldChar w:fldCharType="separate"/>
        </w:r>
        <w:r>
          <w:rPr>
            <w:lang w:val="zh-CN"/>
          </w:rPr>
          <w:t>-</w:t>
        </w:r>
        <w:r>
          <w:t xml:space="preserve"> 6 -</w:t>
        </w:r>
        <w:r>
          <w:fldChar w:fldCharType="end"/>
        </w:r>
      </w:p>
    </w:sdtContent>
  </w:sdt>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p>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  </w:instrText>
    </w:r>
    <w:r>
      <w:fldChar w:fldCharType="separate"/>
    </w:r>
    <w:r>
      <w:rPr>
        <w:rStyle w:val="56"/>
      </w:rPr>
      <w:t>40</w:t>
    </w:r>
    <w:r>
      <w:fldChar w:fldCharType="end"/>
    </w:r>
  </w:p>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4" w:space="1"/>
      </w:pBdr>
      <w:jc w:val="left"/>
      <w:rPr>
        <w:rFonts w:ascii="宋体" w:hAnsi="宋体"/>
        <w:color w:val="000000"/>
      </w:rPr>
    </w:pPr>
    <w:r>
      <w:rPr>
        <w:rFonts w:hint="eastAsia" w:ascii="宋体" w:hAnsi="宋体"/>
        <w:color w:val="000000"/>
      </w:rPr>
      <w:t>浙江省机场集团有限公司安检X射线机采购项目招标文件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8ED9AD"/>
    <w:multiLevelType w:val="singleLevel"/>
    <w:tmpl w:val="D58ED9AD"/>
    <w:lvl w:ilvl="0" w:tentative="0">
      <w:start w:val="1"/>
      <w:numFmt w:val="chineseCounting"/>
      <w:suff w:val="nothing"/>
      <w:lvlText w:val="%1、"/>
      <w:lvlJc w:val="left"/>
      <w:rPr>
        <w:rFonts w:hint="eastAsia"/>
      </w:rPr>
    </w:lvl>
  </w:abstractNum>
  <w:abstractNum w:abstractNumId="1">
    <w:nsid w:val="F18D4CCF"/>
    <w:multiLevelType w:val="singleLevel"/>
    <w:tmpl w:val="F18D4CCF"/>
    <w:lvl w:ilvl="0" w:tentative="0">
      <w:start w:val="1"/>
      <w:numFmt w:val="bullet"/>
      <w:pStyle w:val="17"/>
      <w:lvlText w:val=""/>
      <w:lvlJc w:val="left"/>
      <w:pPr>
        <w:tabs>
          <w:tab w:val="left" w:pos="360"/>
        </w:tabs>
        <w:ind w:left="360" w:hanging="360"/>
      </w:pPr>
      <w:rPr>
        <w:rFonts w:hint="default" w:ascii="Wingdings" w:hAnsi="Wingdings"/>
      </w:rPr>
    </w:lvl>
  </w:abstractNum>
  <w:abstractNum w:abstractNumId="2">
    <w:nsid w:val="FFFFFFFE"/>
    <w:multiLevelType w:val="singleLevel"/>
    <w:tmpl w:val="FFFFFFFE"/>
    <w:lvl w:ilvl="0" w:tentative="0">
      <w:start w:val="0"/>
      <w:numFmt w:val="decimal"/>
      <w:lvlText w:val="*"/>
      <w:lvlJc w:val="left"/>
      <w:pPr>
        <w:ind w:left="0" w:firstLine="0"/>
      </w:pPr>
      <w:rPr>
        <w:rFonts w:cs="Times New Roman"/>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8">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9">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0">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1">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2">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3">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4">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000000B6"/>
    <w:multiLevelType w:val="multilevel"/>
    <w:tmpl w:val="000000B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2227619"/>
    <w:multiLevelType w:val="singleLevel"/>
    <w:tmpl w:val="02227619"/>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17">
    <w:nsid w:val="060A4F4E"/>
    <w:multiLevelType w:val="singleLevel"/>
    <w:tmpl w:val="060A4F4E"/>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18">
    <w:nsid w:val="0DB93037"/>
    <w:multiLevelType w:val="singleLevel"/>
    <w:tmpl w:val="0DB93037"/>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19">
    <w:nsid w:val="0DCA2378"/>
    <w:multiLevelType w:val="singleLevel"/>
    <w:tmpl w:val="0DCA2378"/>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20">
    <w:nsid w:val="167C3F8E"/>
    <w:multiLevelType w:val="singleLevel"/>
    <w:tmpl w:val="167C3F8E"/>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21">
    <w:nsid w:val="19063A6D"/>
    <w:multiLevelType w:val="singleLevel"/>
    <w:tmpl w:val="19063A6D"/>
    <w:lvl w:ilvl="0" w:tentative="0">
      <w:start w:val="1"/>
      <w:numFmt w:val="decimal"/>
      <w:lvlText w:val="(%1)"/>
      <w:lvlJc w:val="left"/>
      <w:pPr>
        <w:tabs>
          <w:tab w:val="left" w:pos="907"/>
        </w:tabs>
        <w:ind w:left="907" w:hanging="482"/>
      </w:pPr>
      <w:rPr>
        <w:rFonts w:hint="eastAsia"/>
        <w:b w:val="0"/>
        <w:i w:val="0"/>
        <w:u w:val="none"/>
      </w:rPr>
    </w:lvl>
  </w:abstractNum>
  <w:abstractNum w:abstractNumId="22">
    <w:nsid w:val="22A37C22"/>
    <w:multiLevelType w:val="singleLevel"/>
    <w:tmpl w:val="22A37C22"/>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23">
    <w:nsid w:val="238D2143"/>
    <w:multiLevelType w:val="multilevel"/>
    <w:tmpl w:val="238D2143"/>
    <w:lvl w:ilvl="0" w:tentative="0">
      <w:start w:val="1"/>
      <w:numFmt w:val="decimal"/>
      <w:lvlText w:val="%1）"/>
      <w:lvlJc w:val="left"/>
      <w:pPr>
        <w:ind w:left="817" w:hanging="375"/>
      </w:pPr>
      <w:rPr>
        <w:rFonts w:cs="Times New Roman"/>
      </w:rPr>
    </w:lvl>
    <w:lvl w:ilvl="1" w:tentative="0">
      <w:start w:val="1"/>
      <w:numFmt w:val="lowerLetter"/>
      <w:lvlText w:val="%2)"/>
      <w:lvlJc w:val="left"/>
      <w:pPr>
        <w:ind w:left="1282" w:hanging="420"/>
      </w:pPr>
      <w:rPr>
        <w:rFonts w:cs="Times New Roman"/>
      </w:rPr>
    </w:lvl>
    <w:lvl w:ilvl="2" w:tentative="0">
      <w:start w:val="1"/>
      <w:numFmt w:val="lowerRoman"/>
      <w:lvlText w:val="%3."/>
      <w:lvlJc w:val="right"/>
      <w:pPr>
        <w:ind w:left="1702" w:hanging="420"/>
      </w:pPr>
      <w:rPr>
        <w:rFonts w:cs="Times New Roman"/>
      </w:rPr>
    </w:lvl>
    <w:lvl w:ilvl="3" w:tentative="0">
      <w:start w:val="1"/>
      <w:numFmt w:val="decimal"/>
      <w:lvlText w:val="%4."/>
      <w:lvlJc w:val="left"/>
      <w:pPr>
        <w:ind w:left="2122" w:hanging="420"/>
      </w:pPr>
      <w:rPr>
        <w:rFonts w:cs="Times New Roman"/>
      </w:rPr>
    </w:lvl>
    <w:lvl w:ilvl="4" w:tentative="0">
      <w:start w:val="1"/>
      <w:numFmt w:val="lowerLetter"/>
      <w:lvlText w:val="%5)"/>
      <w:lvlJc w:val="left"/>
      <w:pPr>
        <w:ind w:left="2542" w:hanging="420"/>
      </w:pPr>
      <w:rPr>
        <w:rFonts w:cs="Times New Roman"/>
      </w:rPr>
    </w:lvl>
    <w:lvl w:ilvl="5" w:tentative="0">
      <w:start w:val="1"/>
      <w:numFmt w:val="lowerRoman"/>
      <w:lvlText w:val="%6."/>
      <w:lvlJc w:val="right"/>
      <w:pPr>
        <w:ind w:left="2962" w:hanging="420"/>
      </w:pPr>
      <w:rPr>
        <w:rFonts w:cs="Times New Roman"/>
      </w:rPr>
    </w:lvl>
    <w:lvl w:ilvl="6" w:tentative="0">
      <w:start w:val="1"/>
      <w:numFmt w:val="decimal"/>
      <w:lvlText w:val="%7."/>
      <w:lvlJc w:val="left"/>
      <w:pPr>
        <w:ind w:left="3382" w:hanging="420"/>
      </w:pPr>
      <w:rPr>
        <w:rFonts w:cs="Times New Roman"/>
      </w:rPr>
    </w:lvl>
    <w:lvl w:ilvl="7" w:tentative="0">
      <w:start w:val="1"/>
      <w:numFmt w:val="lowerLetter"/>
      <w:lvlText w:val="%8)"/>
      <w:lvlJc w:val="left"/>
      <w:pPr>
        <w:ind w:left="3802" w:hanging="420"/>
      </w:pPr>
      <w:rPr>
        <w:rFonts w:cs="Times New Roman"/>
      </w:rPr>
    </w:lvl>
    <w:lvl w:ilvl="8" w:tentative="0">
      <w:start w:val="1"/>
      <w:numFmt w:val="lowerRoman"/>
      <w:lvlText w:val="%9."/>
      <w:lvlJc w:val="right"/>
      <w:pPr>
        <w:ind w:left="4222" w:hanging="420"/>
      </w:pPr>
      <w:rPr>
        <w:rFonts w:cs="Times New Roman"/>
      </w:rPr>
    </w:lvl>
  </w:abstractNum>
  <w:abstractNum w:abstractNumId="24">
    <w:nsid w:val="23EE2030"/>
    <w:multiLevelType w:val="singleLevel"/>
    <w:tmpl w:val="23EE2030"/>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25">
    <w:nsid w:val="28255C5A"/>
    <w:multiLevelType w:val="multilevel"/>
    <w:tmpl w:val="28255C5A"/>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6">
    <w:nsid w:val="2A844E26"/>
    <w:multiLevelType w:val="multilevel"/>
    <w:tmpl w:val="2A844E26"/>
    <w:lvl w:ilvl="0" w:tentative="0">
      <w:start w:val="2"/>
      <w:numFmt w:val="decimal"/>
      <w:lvlText w:val="%1、"/>
      <w:lvlJc w:val="left"/>
      <w:pPr>
        <w:ind w:left="375" w:hanging="375"/>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2D1079A8"/>
    <w:multiLevelType w:val="multilevel"/>
    <w:tmpl w:val="2D1079A8"/>
    <w:lvl w:ilvl="0" w:tentative="0">
      <w:start w:val="2"/>
      <w:numFmt w:val="decimal"/>
      <w:lvlText w:val="%1、"/>
      <w:lvlJc w:val="left"/>
      <w:pPr>
        <w:ind w:left="4045" w:hanging="375"/>
      </w:pPr>
      <w:rPr>
        <w:rFonts w:cs="Times New Roman"/>
      </w:rPr>
    </w:lvl>
    <w:lvl w:ilvl="1" w:tentative="0">
      <w:start w:val="1"/>
      <w:numFmt w:val="lowerLetter"/>
      <w:lvlText w:val="%2)"/>
      <w:lvlJc w:val="left"/>
      <w:pPr>
        <w:ind w:left="4510" w:hanging="420"/>
      </w:pPr>
      <w:rPr>
        <w:rFonts w:cs="Times New Roman"/>
      </w:rPr>
    </w:lvl>
    <w:lvl w:ilvl="2" w:tentative="0">
      <w:start w:val="1"/>
      <w:numFmt w:val="lowerRoman"/>
      <w:lvlText w:val="%3."/>
      <w:lvlJc w:val="right"/>
      <w:pPr>
        <w:ind w:left="4930" w:hanging="420"/>
      </w:pPr>
      <w:rPr>
        <w:rFonts w:cs="Times New Roman"/>
      </w:rPr>
    </w:lvl>
    <w:lvl w:ilvl="3" w:tentative="0">
      <w:start w:val="1"/>
      <w:numFmt w:val="decimal"/>
      <w:lvlText w:val="%4."/>
      <w:lvlJc w:val="left"/>
      <w:pPr>
        <w:ind w:left="5350" w:hanging="420"/>
      </w:pPr>
      <w:rPr>
        <w:rFonts w:cs="Times New Roman"/>
      </w:rPr>
    </w:lvl>
    <w:lvl w:ilvl="4" w:tentative="0">
      <w:start w:val="1"/>
      <w:numFmt w:val="lowerLetter"/>
      <w:lvlText w:val="%5)"/>
      <w:lvlJc w:val="left"/>
      <w:pPr>
        <w:ind w:left="5770" w:hanging="420"/>
      </w:pPr>
      <w:rPr>
        <w:rFonts w:cs="Times New Roman"/>
      </w:rPr>
    </w:lvl>
    <w:lvl w:ilvl="5" w:tentative="0">
      <w:start w:val="1"/>
      <w:numFmt w:val="lowerRoman"/>
      <w:lvlText w:val="%6."/>
      <w:lvlJc w:val="right"/>
      <w:pPr>
        <w:ind w:left="6190" w:hanging="420"/>
      </w:pPr>
      <w:rPr>
        <w:rFonts w:cs="Times New Roman"/>
      </w:rPr>
    </w:lvl>
    <w:lvl w:ilvl="6" w:tentative="0">
      <w:start w:val="1"/>
      <w:numFmt w:val="decimal"/>
      <w:lvlText w:val="%7."/>
      <w:lvlJc w:val="left"/>
      <w:pPr>
        <w:ind w:left="6610" w:hanging="420"/>
      </w:pPr>
      <w:rPr>
        <w:rFonts w:cs="Times New Roman"/>
      </w:rPr>
    </w:lvl>
    <w:lvl w:ilvl="7" w:tentative="0">
      <w:start w:val="1"/>
      <w:numFmt w:val="lowerLetter"/>
      <w:lvlText w:val="%8)"/>
      <w:lvlJc w:val="left"/>
      <w:pPr>
        <w:ind w:left="7030" w:hanging="420"/>
      </w:pPr>
      <w:rPr>
        <w:rFonts w:cs="Times New Roman"/>
      </w:rPr>
    </w:lvl>
    <w:lvl w:ilvl="8" w:tentative="0">
      <w:start w:val="1"/>
      <w:numFmt w:val="lowerRoman"/>
      <w:lvlText w:val="%9."/>
      <w:lvlJc w:val="right"/>
      <w:pPr>
        <w:ind w:left="7450" w:hanging="420"/>
      </w:pPr>
      <w:rPr>
        <w:rFonts w:cs="Times New Roman"/>
      </w:rPr>
    </w:lvl>
  </w:abstractNum>
  <w:abstractNum w:abstractNumId="28">
    <w:nsid w:val="2E814E31"/>
    <w:multiLevelType w:val="singleLevel"/>
    <w:tmpl w:val="2E814E31"/>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29">
    <w:nsid w:val="2F9E7AD8"/>
    <w:multiLevelType w:val="singleLevel"/>
    <w:tmpl w:val="2F9E7AD8"/>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30">
    <w:nsid w:val="30710CA2"/>
    <w:multiLevelType w:val="singleLevel"/>
    <w:tmpl w:val="30710CA2"/>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31">
    <w:nsid w:val="360C2342"/>
    <w:multiLevelType w:val="singleLevel"/>
    <w:tmpl w:val="360C2342"/>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32">
    <w:nsid w:val="39B351F1"/>
    <w:multiLevelType w:val="singleLevel"/>
    <w:tmpl w:val="39B351F1"/>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33">
    <w:nsid w:val="3EFF103A"/>
    <w:multiLevelType w:val="singleLevel"/>
    <w:tmpl w:val="3EFF103A"/>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34">
    <w:nsid w:val="3F542F5C"/>
    <w:multiLevelType w:val="multilevel"/>
    <w:tmpl w:val="3F542F5C"/>
    <w:lvl w:ilvl="0" w:tentative="0">
      <w:start w:val="4"/>
      <w:numFmt w:val="decimal"/>
      <w:lvlText w:val="%1"/>
      <w:lvlJc w:val="left"/>
      <w:pPr>
        <w:ind w:left="360" w:hanging="360"/>
      </w:pPr>
      <w:rPr>
        <w:rFonts w:hint="default"/>
      </w:rPr>
    </w:lvl>
    <w:lvl w:ilvl="1" w:tentative="0">
      <w:start w:val="1"/>
      <w:numFmt w:val="decimal"/>
      <w:lvlText w:val="%1.%2"/>
      <w:lvlJc w:val="left"/>
      <w:pPr>
        <w:ind w:left="785" w:hanging="360"/>
      </w:pPr>
      <w:rPr>
        <w:rFonts w:hint="default"/>
      </w:rPr>
    </w:lvl>
    <w:lvl w:ilvl="2" w:tentative="0">
      <w:start w:val="1"/>
      <w:numFmt w:val="decimal"/>
      <w:lvlText w:val="%1.%2.%3"/>
      <w:lvlJc w:val="left"/>
      <w:pPr>
        <w:ind w:left="1570" w:hanging="720"/>
      </w:pPr>
      <w:rPr>
        <w:rFonts w:hint="default"/>
      </w:rPr>
    </w:lvl>
    <w:lvl w:ilvl="3" w:tentative="0">
      <w:start w:val="1"/>
      <w:numFmt w:val="decimal"/>
      <w:lvlText w:val="%1.%2.%3.%4"/>
      <w:lvlJc w:val="left"/>
      <w:pPr>
        <w:ind w:left="2355" w:hanging="1080"/>
      </w:pPr>
      <w:rPr>
        <w:rFonts w:hint="default"/>
      </w:rPr>
    </w:lvl>
    <w:lvl w:ilvl="4" w:tentative="0">
      <w:start w:val="1"/>
      <w:numFmt w:val="decimal"/>
      <w:lvlText w:val="%1.%2.%3.%4.%5"/>
      <w:lvlJc w:val="left"/>
      <w:pPr>
        <w:ind w:left="2780" w:hanging="1080"/>
      </w:pPr>
      <w:rPr>
        <w:rFonts w:hint="default"/>
      </w:rPr>
    </w:lvl>
    <w:lvl w:ilvl="5" w:tentative="0">
      <w:start w:val="1"/>
      <w:numFmt w:val="decimal"/>
      <w:lvlText w:val="%1.%2.%3.%4.%5.%6"/>
      <w:lvlJc w:val="left"/>
      <w:pPr>
        <w:ind w:left="3565" w:hanging="1440"/>
      </w:pPr>
      <w:rPr>
        <w:rFonts w:hint="default"/>
      </w:rPr>
    </w:lvl>
    <w:lvl w:ilvl="6" w:tentative="0">
      <w:start w:val="1"/>
      <w:numFmt w:val="decimal"/>
      <w:lvlText w:val="%1.%2.%3.%4.%5.%6.%7"/>
      <w:lvlJc w:val="left"/>
      <w:pPr>
        <w:ind w:left="3990" w:hanging="1440"/>
      </w:pPr>
      <w:rPr>
        <w:rFonts w:hint="default"/>
      </w:rPr>
    </w:lvl>
    <w:lvl w:ilvl="7" w:tentative="0">
      <w:start w:val="1"/>
      <w:numFmt w:val="decimal"/>
      <w:lvlText w:val="%1.%2.%3.%4.%5.%6.%7.%8"/>
      <w:lvlJc w:val="left"/>
      <w:pPr>
        <w:ind w:left="4775" w:hanging="1800"/>
      </w:pPr>
      <w:rPr>
        <w:rFonts w:hint="default"/>
      </w:rPr>
    </w:lvl>
    <w:lvl w:ilvl="8" w:tentative="0">
      <w:start w:val="1"/>
      <w:numFmt w:val="decimal"/>
      <w:lvlText w:val="%1.%2.%3.%4.%5.%6.%7.%8.%9"/>
      <w:lvlJc w:val="left"/>
      <w:pPr>
        <w:ind w:left="5200" w:hanging="1800"/>
      </w:pPr>
      <w:rPr>
        <w:rFonts w:hint="default"/>
      </w:rPr>
    </w:lvl>
  </w:abstractNum>
  <w:abstractNum w:abstractNumId="35">
    <w:nsid w:val="4591086B"/>
    <w:multiLevelType w:val="multilevel"/>
    <w:tmpl w:val="4591086B"/>
    <w:lvl w:ilvl="0" w:tentative="0">
      <w:start w:val="3"/>
      <w:numFmt w:val="decimal"/>
      <w:lvlText w:val="%1、"/>
      <w:lvlJc w:val="left"/>
      <w:pPr>
        <w:ind w:left="375" w:hanging="375"/>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6">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37">
    <w:nsid w:val="512006EA"/>
    <w:multiLevelType w:val="singleLevel"/>
    <w:tmpl w:val="512006EA"/>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38">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9">
    <w:nsid w:val="6B25429A"/>
    <w:multiLevelType w:val="singleLevel"/>
    <w:tmpl w:val="6B25429A"/>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40">
    <w:nsid w:val="6CFC5231"/>
    <w:multiLevelType w:val="singleLevel"/>
    <w:tmpl w:val="6CFC5231"/>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41">
    <w:nsid w:val="704E31AD"/>
    <w:multiLevelType w:val="singleLevel"/>
    <w:tmpl w:val="704E31AD"/>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42">
    <w:nsid w:val="72074AB7"/>
    <w:multiLevelType w:val="singleLevel"/>
    <w:tmpl w:val="72074AB7"/>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43">
    <w:nsid w:val="73A647E4"/>
    <w:multiLevelType w:val="singleLevel"/>
    <w:tmpl w:val="73A647E4"/>
    <w:lvl w:ilvl="0" w:tentative="0">
      <w:start w:val="1"/>
      <w:numFmt w:val="bullet"/>
      <w:pStyle w:val="26"/>
      <w:lvlText w:val=""/>
      <w:lvlJc w:val="left"/>
      <w:pPr>
        <w:tabs>
          <w:tab w:val="left" w:pos="780"/>
        </w:tabs>
        <w:ind w:left="780" w:hanging="360"/>
      </w:pPr>
      <w:rPr>
        <w:rFonts w:hint="default" w:ascii="Wingdings" w:hAnsi="Wingdings"/>
      </w:rPr>
    </w:lvl>
  </w:abstractNum>
  <w:abstractNum w:abstractNumId="44">
    <w:nsid w:val="76365788"/>
    <w:multiLevelType w:val="singleLevel"/>
    <w:tmpl w:val="76365788"/>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45">
    <w:nsid w:val="7917347E"/>
    <w:multiLevelType w:val="singleLevel"/>
    <w:tmpl w:val="7917347E"/>
    <w:lvl w:ilvl="0" w:tentative="0">
      <w:start w:val="1"/>
      <w:numFmt w:val="decimal"/>
      <w:lvlText w:val="%1)"/>
      <w:lvlJc w:val="left"/>
      <w:pPr>
        <w:ind w:left="420" w:hanging="420"/>
      </w:pPr>
      <w:rPr>
        <w:rFonts w:cs="Times New Roman"/>
        <w:b/>
        <w:i w:val="0"/>
        <w:strike w:val="0"/>
        <w:dstrike w:val="0"/>
        <w:color w:val="auto"/>
        <w:sz w:val="21"/>
        <w:szCs w:val="21"/>
        <w:u w:val="none"/>
      </w:rPr>
    </w:lvl>
  </w:abstractNum>
  <w:abstractNum w:abstractNumId="46">
    <w:nsid w:val="79F44F1E"/>
    <w:multiLevelType w:val="multilevel"/>
    <w:tmpl w:val="79F44F1E"/>
    <w:lvl w:ilvl="0" w:tentative="0">
      <w:start w:val="2"/>
      <w:numFmt w:val="japaneseCounting"/>
      <w:lvlText w:val="%1、"/>
      <w:lvlJc w:val="left"/>
      <w:pPr>
        <w:ind w:left="660" w:hanging="66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7">
    <w:nsid w:val="7B48520D"/>
    <w:multiLevelType w:val="singleLevel"/>
    <w:tmpl w:val="7B48520D"/>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48">
    <w:nsid w:val="7C970F25"/>
    <w:multiLevelType w:val="singleLevel"/>
    <w:tmpl w:val="7C970F25"/>
    <w:lvl w:ilvl="0" w:tentative="0">
      <w:start w:val="1"/>
      <w:numFmt w:val="decimal"/>
      <w:lvlText w:val="%1)"/>
      <w:lvlJc w:val="left"/>
      <w:pPr>
        <w:ind w:left="647" w:hanging="420"/>
      </w:pPr>
      <w:rPr>
        <w:rFonts w:cs="Times New Roman"/>
        <w:b/>
        <w:i w:val="0"/>
        <w:strike w:val="0"/>
        <w:dstrike w:val="0"/>
        <w:color w:val="auto"/>
        <w:sz w:val="21"/>
        <w:szCs w:val="21"/>
        <w:u w:val="none"/>
      </w:rPr>
    </w:lvl>
  </w:abstractNum>
  <w:abstractNum w:abstractNumId="49">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131"/>
      <w:lvlText w:val=""/>
      <w:lvlJc w:val="left"/>
      <w:pPr>
        <w:tabs>
          <w:tab w:val="left" w:pos="3780"/>
        </w:tabs>
        <w:ind w:left="3780" w:hanging="420"/>
      </w:pPr>
      <w:rPr>
        <w:rFonts w:hint="default" w:ascii="Wingdings" w:hAnsi="Wingdings"/>
      </w:rPr>
    </w:lvl>
  </w:abstractNum>
  <w:abstractNum w:abstractNumId="50">
    <w:nsid w:val="7DC24646"/>
    <w:multiLevelType w:val="singleLevel"/>
    <w:tmpl w:val="7DC24646"/>
    <w:lvl w:ilvl="0" w:tentative="0">
      <w:start w:val="1"/>
      <w:numFmt w:val="decimal"/>
      <w:lvlText w:val="%1)"/>
      <w:lvlJc w:val="left"/>
      <w:pPr>
        <w:ind w:left="647" w:hanging="420"/>
      </w:pPr>
      <w:rPr>
        <w:rFonts w:cs="Times New Roman"/>
        <w:b/>
        <w:i w:val="0"/>
        <w:strike w:val="0"/>
        <w:dstrike w:val="0"/>
        <w:color w:val="auto"/>
        <w:sz w:val="21"/>
        <w:szCs w:val="21"/>
        <w:u w:val="none"/>
      </w:rPr>
    </w:lvl>
  </w:abstractNum>
  <w:num w:numId="1">
    <w:abstractNumId w:val="36"/>
  </w:num>
  <w:num w:numId="2">
    <w:abstractNumId w:val="1"/>
  </w:num>
  <w:num w:numId="3">
    <w:abstractNumId w:val="43"/>
  </w:num>
  <w:num w:numId="4">
    <w:abstractNumId w:val="49"/>
  </w:num>
  <w:num w:numId="5">
    <w:abstractNumId w:val="45"/>
    <w:lvlOverride w:ilvl="0">
      <w:startOverride w:val="1"/>
    </w:lvlOverride>
  </w:num>
  <w:num w:numId="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num>
  <w:num w:numId="12">
    <w:abstractNumId w:val="42"/>
    <w:lvlOverride w:ilvl="0">
      <w:startOverride w:val="1"/>
    </w:lvlOverride>
  </w:num>
  <w:num w:numId="13">
    <w:abstractNumId w:val="29"/>
    <w:lvlOverride w:ilvl="0">
      <w:startOverride w:val="1"/>
    </w:lvlOverride>
  </w:num>
  <w:num w:numId="14">
    <w:abstractNumId w:val="30"/>
    <w:lvlOverride w:ilvl="0">
      <w:startOverride w:val="1"/>
    </w:lvlOverride>
  </w:num>
  <w:num w:numId="15">
    <w:abstractNumId w:val="32"/>
    <w:lvlOverride w:ilvl="0">
      <w:startOverride w:val="1"/>
    </w:lvlOverride>
  </w:num>
  <w:num w:numId="16">
    <w:abstractNumId w:val="39"/>
    <w:lvlOverride w:ilvl="0">
      <w:startOverride w:val="1"/>
    </w:lvlOverride>
  </w:num>
  <w:num w:numId="17">
    <w:abstractNumId w:val="16"/>
    <w:lvlOverride w:ilvl="0">
      <w:startOverride w:val="1"/>
    </w:lvlOverride>
  </w:num>
  <w:num w:numId="18">
    <w:abstractNumId w:val="31"/>
    <w:lvlOverride w:ilvl="0">
      <w:startOverride w:val="1"/>
    </w:lvlOverride>
  </w:num>
  <w:num w:numId="19">
    <w:abstractNumId w:val="47"/>
    <w:lvlOverride w:ilvl="0">
      <w:startOverride w:val="1"/>
    </w:lvlOverride>
  </w:num>
  <w:num w:numId="20">
    <w:abstractNumId w:val="40"/>
    <w:lvlOverride w:ilvl="0">
      <w:startOverride w:val="1"/>
    </w:lvlOverride>
  </w:num>
  <w:num w:numId="21">
    <w:abstractNumId w:val="2"/>
    <w:lvlOverride w:ilvl="0">
      <w:lvl w:ilvl="0" w:tentative="1">
        <w:start w:val="0"/>
        <w:numFmt w:val="bullet"/>
        <w:lvlText w:val=""/>
        <w:legacy w:legacy="1" w:legacySpace="0" w:legacyIndent="567"/>
        <w:lvlJc w:val="left"/>
        <w:pPr>
          <w:ind w:left="987" w:hanging="567"/>
        </w:pPr>
        <w:rPr>
          <w:rFonts w:hint="default" w:ascii="Wingdings" w:hAnsi="Wingdings" w:cs="Times New Roman"/>
        </w:rPr>
      </w:lvl>
    </w:lvlOverride>
  </w:num>
  <w:num w:numId="22">
    <w:abstractNumId w:val="2"/>
    <w:lvlOverride w:ilvl="0">
      <w:lvl w:ilvl="0" w:tentative="1">
        <w:start w:val="0"/>
        <w:numFmt w:val="bullet"/>
        <w:lvlText w:val=""/>
        <w:legacy w:legacy="1" w:legacySpace="0" w:legacyIndent="227"/>
        <w:lvlJc w:val="left"/>
        <w:pPr>
          <w:ind w:left="1361" w:hanging="227"/>
        </w:pPr>
        <w:rPr>
          <w:rFonts w:hint="default" w:ascii="Wingdings" w:hAnsi="Wingdings" w:cs="Times New Roman"/>
        </w:rPr>
      </w:lvl>
    </w:lvlOverride>
  </w:num>
  <w:num w:numId="23">
    <w:abstractNumId w:val="24"/>
    <w:lvlOverride w:ilvl="0">
      <w:startOverride w:val="1"/>
    </w:lvlOverride>
  </w:num>
  <w:num w:numId="24">
    <w:abstractNumId w:val="44"/>
    <w:lvlOverride w:ilvl="0">
      <w:startOverride w:val="1"/>
    </w:lvlOverride>
  </w:num>
  <w:num w:numId="25">
    <w:abstractNumId w:val="20"/>
    <w:lvlOverride w:ilvl="0">
      <w:startOverride w:val="1"/>
    </w:lvlOverride>
  </w:num>
  <w:num w:numId="2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num>
  <w:num w:numId="28">
    <w:abstractNumId w:val="18"/>
    <w:lvlOverride w:ilvl="0">
      <w:startOverride w:val="1"/>
    </w:lvlOverride>
  </w:num>
  <w:num w:numId="29">
    <w:abstractNumId w:val="41"/>
    <w:lvlOverride w:ilvl="0">
      <w:startOverride w:val="1"/>
    </w:lvlOverride>
  </w:num>
  <w:num w:numId="30">
    <w:abstractNumId w:val="37"/>
    <w:lvlOverride w:ilvl="0">
      <w:startOverride w:val="1"/>
    </w:lvlOverride>
  </w:num>
  <w:num w:numId="31">
    <w:abstractNumId w:val="28"/>
    <w:lvlOverride w:ilvl="0">
      <w:startOverride w:val="1"/>
    </w:lvlOverride>
  </w:num>
  <w:num w:numId="32">
    <w:abstractNumId w:val="17"/>
    <w:lvlOverride w:ilvl="0">
      <w:startOverride w:val="1"/>
    </w:lvlOverride>
  </w:num>
  <w:num w:numId="33">
    <w:abstractNumId w:val="19"/>
    <w:lvlOverride w:ilvl="0">
      <w:startOverride w:val="1"/>
    </w:lvlOverride>
  </w:num>
  <w:num w:numId="34">
    <w:abstractNumId w:val="22"/>
    <w:lvlOverride w:ilvl="0">
      <w:startOverride w:val="1"/>
    </w:lvlOverride>
  </w:num>
  <w:num w:numId="35">
    <w:abstractNumId w:val="34"/>
  </w:num>
  <w:num w:numId="36">
    <w:abstractNumId w:val="0"/>
  </w:num>
  <w:num w:numId="37">
    <w:abstractNumId w:val="25"/>
  </w:num>
  <w:num w:numId="38">
    <w:abstractNumId w:val="38"/>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4"/>
  </w:num>
  <w:num w:numId="42">
    <w:abstractNumId w:val="8"/>
  </w:num>
  <w:num w:numId="43">
    <w:abstractNumId w:val="15"/>
  </w:num>
  <w:num w:numId="44">
    <w:abstractNumId w:val="4"/>
  </w:num>
  <w:num w:numId="45">
    <w:abstractNumId w:val="9"/>
  </w:num>
  <w:num w:numId="46">
    <w:abstractNumId w:val="11"/>
  </w:num>
  <w:num w:numId="47">
    <w:abstractNumId w:val="7"/>
  </w:num>
  <w:num w:numId="48">
    <w:abstractNumId w:val="3"/>
  </w:num>
  <w:num w:numId="49">
    <w:abstractNumId w:val="6"/>
  </w:num>
  <w:num w:numId="50">
    <w:abstractNumId w:val="13"/>
  </w:num>
  <w:num w:numId="51">
    <w:abstractNumId w:val="10"/>
  </w:num>
  <w:num w:numId="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591F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semiHidden="0" w:name="index 1"/>
    <w:lsdException w:uiPriority="99" w:name="index 2"/>
    <w:lsdException w:uiPriority="99" w:name="index 3"/>
    <w:lsdException w:uiPriority="99" w:name="index 4"/>
    <w:lsdException w:qFormat="1"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99"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qFormat="1" w:uiPriority="0" w:semiHidden="0" w:name="table of authorities"/>
    <w:lsdException w:uiPriority="99" w:name="macro"/>
    <w:lsdException w:uiPriority="99" w:name="toa heading"/>
    <w:lsdException w:qFormat="1" w:uiPriority="0" w:semiHidden="0" w:name="List"/>
    <w:lsdException w:qFormat="1" w:uiPriority="0" w:semiHidden="0" w:name="List Bullet"/>
    <w:lsdException w:uiPriority="99" w:name="List Number"/>
    <w:lsdException w:qFormat="1" w:uiPriority="0" w:semiHidden="0" w:name="List 2"/>
    <w:lsdException w:qFormat="1" w:uiPriority="0" w:semiHidden="0" w:name="List 3"/>
    <w:lsdException w:qFormat="1" w:uiPriority="0" w:semiHidden="0"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0" w:semiHidden="0" w:name="Body Text Indent"/>
    <w:lsdException w:qFormat="1" w:uiPriority="0" w:semiHidden="0" w:name="List Continue"/>
    <w:lsdException w:qFormat="1"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qFormat="1" w:uiPriority="0" w:semiHidden="0"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60"/>
    <w:qFormat/>
    <w:uiPriority w:val="0"/>
    <w:pPr>
      <w:keepNext/>
      <w:keepLines/>
      <w:spacing w:before="340" w:after="330" w:line="360" w:lineRule="auto"/>
      <w:jc w:val="center"/>
      <w:outlineLvl w:val="0"/>
    </w:pPr>
    <w:rPr>
      <w:rFonts w:ascii="Times New Roman" w:hAnsi="Times New Roman" w:eastAsia="宋体" w:cs="Times New Roman"/>
      <w:b/>
      <w:bCs/>
      <w:kern w:val="44"/>
      <w:sz w:val="30"/>
      <w:szCs w:val="44"/>
      <w:lang w:val="zh-CN"/>
    </w:rPr>
  </w:style>
  <w:style w:type="paragraph" w:styleId="3">
    <w:name w:val="heading 2"/>
    <w:basedOn w:val="1"/>
    <w:next w:val="1"/>
    <w:link w:val="61"/>
    <w:unhideWhenUsed/>
    <w:qFormat/>
    <w:uiPriority w:val="99"/>
    <w:pPr>
      <w:keepNext/>
      <w:keepLines/>
      <w:spacing w:before="260" w:after="260" w:line="360" w:lineRule="auto"/>
      <w:jc w:val="center"/>
      <w:outlineLvl w:val="1"/>
    </w:pPr>
    <w:rPr>
      <w:rFonts w:ascii="Arial" w:hAnsi="Arial" w:eastAsia="宋体" w:cs="Times New Roman"/>
      <w:b/>
      <w:bCs/>
      <w:kern w:val="0"/>
      <w:sz w:val="28"/>
      <w:szCs w:val="32"/>
      <w:lang w:val="zh-CN"/>
    </w:rPr>
  </w:style>
  <w:style w:type="paragraph" w:styleId="4">
    <w:name w:val="heading 3"/>
    <w:basedOn w:val="1"/>
    <w:next w:val="1"/>
    <w:link w:val="62"/>
    <w:unhideWhenUsed/>
    <w:qFormat/>
    <w:uiPriority w:val="0"/>
    <w:pPr>
      <w:keepNext/>
      <w:numPr>
        <w:ilvl w:val="0"/>
        <w:numId w:val="1"/>
      </w:numPr>
      <w:spacing w:line="216" w:lineRule="auto"/>
      <w:outlineLvl w:val="2"/>
    </w:pPr>
    <w:rPr>
      <w:rFonts w:ascii="宋体" w:hAnsi="Times New Roman" w:eastAsia="宋体" w:cs="Times New Roman"/>
      <w:b/>
      <w:kern w:val="0"/>
      <w:sz w:val="28"/>
      <w:szCs w:val="20"/>
      <w:lang w:val="zh-CN"/>
    </w:rPr>
  </w:style>
  <w:style w:type="paragraph" w:styleId="5">
    <w:name w:val="heading 4"/>
    <w:basedOn w:val="1"/>
    <w:next w:val="1"/>
    <w:link w:val="63"/>
    <w:unhideWhenUsed/>
    <w:qFormat/>
    <w:uiPriority w:val="0"/>
    <w:pPr>
      <w:keepNext/>
      <w:keepLines/>
      <w:spacing w:before="280" w:after="290" w:line="376" w:lineRule="auto"/>
      <w:outlineLvl w:val="3"/>
    </w:pPr>
    <w:rPr>
      <w:rFonts w:ascii="Arial" w:hAnsi="Arial" w:eastAsia="黑体" w:cs="Times New Roman"/>
      <w:b/>
      <w:bCs/>
      <w:kern w:val="0"/>
      <w:sz w:val="28"/>
      <w:szCs w:val="28"/>
      <w:lang w:val="zh-CN"/>
    </w:rPr>
  </w:style>
  <w:style w:type="paragraph" w:styleId="6">
    <w:name w:val="heading 5"/>
    <w:basedOn w:val="1"/>
    <w:next w:val="1"/>
    <w:link w:val="64"/>
    <w:unhideWhenUsed/>
    <w:qFormat/>
    <w:uiPriority w:val="0"/>
    <w:pPr>
      <w:keepNext/>
      <w:keepLines/>
      <w:spacing w:before="280" w:after="290" w:line="376" w:lineRule="auto"/>
      <w:outlineLvl w:val="4"/>
    </w:pPr>
    <w:rPr>
      <w:rFonts w:ascii="Times New Roman" w:hAnsi="Times New Roman" w:eastAsia="宋体" w:cs="Times New Roman"/>
      <w:b/>
      <w:bCs/>
      <w:kern w:val="0"/>
      <w:sz w:val="28"/>
      <w:szCs w:val="28"/>
      <w:lang w:val="zh-CN"/>
    </w:rPr>
  </w:style>
  <w:style w:type="paragraph" w:styleId="7">
    <w:name w:val="heading 6"/>
    <w:basedOn w:val="1"/>
    <w:next w:val="1"/>
    <w:link w:val="65"/>
    <w:unhideWhenUsed/>
    <w:qFormat/>
    <w:uiPriority w:val="0"/>
    <w:pPr>
      <w:keepNext/>
      <w:keepLines/>
      <w:spacing w:before="240" w:after="64" w:line="320" w:lineRule="auto"/>
      <w:outlineLvl w:val="5"/>
    </w:pPr>
    <w:rPr>
      <w:rFonts w:ascii="Arial" w:hAnsi="Arial" w:eastAsia="黑体" w:cs="Times New Roman"/>
      <w:b/>
      <w:bCs/>
      <w:kern w:val="0"/>
      <w:lang w:val="zh-CN"/>
    </w:rPr>
  </w:style>
  <w:style w:type="paragraph" w:styleId="8">
    <w:name w:val="heading 7"/>
    <w:basedOn w:val="1"/>
    <w:next w:val="1"/>
    <w:link w:val="66"/>
    <w:unhideWhenUsed/>
    <w:qFormat/>
    <w:uiPriority w:val="0"/>
    <w:pPr>
      <w:keepNext/>
      <w:keepLines/>
      <w:tabs>
        <w:tab w:val="left" w:pos="1296"/>
      </w:tabs>
      <w:spacing w:before="240" w:after="64" w:line="320" w:lineRule="auto"/>
      <w:ind w:left="1296" w:hanging="1296"/>
      <w:outlineLvl w:val="6"/>
    </w:pPr>
    <w:rPr>
      <w:rFonts w:ascii="Times New Roman" w:hAnsi="Times New Roman" w:eastAsia="宋体" w:cs="Times New Roman"/>
      <w:b/>
      <w:bCs/>
      <w:kern w:val="0"/>
      <w:lang w:val="zh-CN"/>
    </w:rPr>
  </w:style>
  <w:style w:type="paragraph" w:styleId="9">
    <w:name w:val="heading 8"/>
    <w:basedOn w:val="1"/>
    <w:next w:val="1"/>
    <w:link w:val="67"/>
    <w:unhideWhenUsed/>
    <w:qFormat/>
    <w:uiPriority w:val="0"/>
    <w:pPr>
      <w:keepNext/>
      <w:keepLines/>
      <w:tabs>
        <w:tab w:val="left" w:pos="1440"/>
      </w:tabs>
      <w:spacing w:before="240" w:after="64" w:line="320" w:lineRule="auto"/>
      <w:ind w:left="1440" w:hanging="1440"/>
      <w:outlineLvl w:val="7"/>
    </w:pPr>
    <w:rPr>
      <w:rFonts w:ascii="Arial" w:hAnsi="Arial" w:eastAsia="黑体" w:cs="Times New Roman"/>
      <w:kern w:val="0"/>
      <w:lang w:val="zh-CN"/>
    </w:rPr>
  </w:style>
  <w:style w:type="paragraph" w:styleId="10">
    <w:name w:val="heading 9"/>
    <w:basedOn w:val="1"/>
    <w:next w:val="1"/>
    <w:link w:val="68"/>
    <w:unhideWhenUsed/>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lang w:val="zh-CN"/>
    </w:rPr>
  </w:style>
  <w:style w:type="character" w:default="1" w:styleId="54">
    <w:name w:val="Default Paragraph Font"/>
    <w:unhideWhenUsed/>
    <w:qFormat/>
    <w:uiPriority w:val="1"/>
  </w:style>
  <w:style w:type="table" w:default="1" w:styleId="52">
    <w:name w:val="Normal Table"/>
    <w:unhideWhenUsed/>
    <w:qFormat/>
    <w:uiPriority w:val="99"/>
    <w:tblPr>
      <w:tblLayout w:type="fixed"/>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pPr>
    <w:rPr>
      <w:rFonts w:ascii="Times New Roman" w:hAnsi="Times New Roman" w:eastAsia="宋体" w:cs="Times New Roman"/>
      <w:sz w:val="21"/>
    </w:rPr>
  </w:style>
  <w:style w:type="paragraph" w:styleId="12">
    <w:name w:val="toc 7"/>
    <w:basedOn w:val="1"/>
    <w:next w:val="1"/>
    <w:unhideWhenUsed/>
    <w:qFormat/>
    <w:uiPriority w:val="0"/>
    <w:pPr>
      <w:ind w:left="1260"/>
      <w:jc w:val="left"/>
    </w:pPr>
    <w:rPr>
      <w:rFonts w:ascii="Times New Roman" w:hAnsi="Times New Roman" w:eastAsia="宋体" w:cs="Times New Roman"/>
      <w:sz w:val="20"/>
      <w:szCs w:val="20"/>
    </w:rPr>
  </w:style>
  <w:style w:type="paragraph" w:styleId="13">
    <w:name w:val="table of authorities"/>
    <w:basedOn w:val="1"/>
    <w:next w:val="1"/>
    <w:unhideWhenUsed/>
    <w:qFormat/>
    <w:uiPriority w:val="0"/>
    <w:pPr>
      <w:ind w:left="420" w:leftChars="200"/>
    </w:pPr>
    <w:rPr>
      <w:rFonts w:ascii="Times New Roman" w:hAnsi="Times New Roman" w:eastAsia="宋体" w:cs="Times New Roman"/>
      <w:sz w:val="21"/>
    </w:rPr>
  </w:style>
  <w:style w:type="paragraph" w:styleId="14">
    <w:name w:val="Normal Indent"/>
    <w:basedOn w:val="1"/>
    <w:link w:val="142"/>
    <w:unhideWhenUsed/>
    <w:qFormat/>
    <w:uiPriority w:val="99"/>
    <w:pPr>
      <w:ind w:firstLine="420"/>
    </w:pPr>
    <w:rPr>
      <w:rFonts w:ascii="Times New Roman" w:hAnsi="Times New Roman" w:eastAsia="宋体" w:cs="Times New Roman"/>
      <w:sz w:val="21"/>
      <w:szCs w:val="20"/>
    </w:rPr>
  </w:style>
  <w:style w:type="paragraph" w:styleId="15">
    <w:name w:val="caption"/>
    <w:basedOn w:val="1"/>
    <w:next w:val="1"/>
    <w:unhideWhenUsed/>
    <w:qFormat/>
    <w:uiPriority w:val="0"/>
    <w:rPr>
      <w:rFonts w:ascii="Arial" w:hAnsi="Arial" w:eastAsia="黑体" w:cs="Arial"/>
      <w:sz w:val="20"/>
      <w:szCs w:val="20"/>
    </w:rPr>
  </w:style>
  <w:style w:type="paragraph" w:styleId="16">
    <w:name w:val="index 5"/>
    <w:basedOn w:val="1"/>
    <w:next w:val="1"/>
    <w:unhideWhenUsed/>
    <w:qFormat/>
    <w:uiPriority w:val="0"/>
    <w:pPr>
      <w:ind w:left="800" w:leftChars="800"/>
    </w:pPr>
    <w:rPr>
      <w:rFonts w:ascii="Times New Roman" w:hAnsi="Times New Roman" w:eastAsia="宋体" w:cs="Times New Roman"/>
      <w:sz w:val="21"/>
    </w:rPr>
  </w:style>
  <w:style w:type="paragraph" w:styleId="17">
    <w:name w:val="List Bullet"/>
    <w:basedOn w:val="1"/>
    <w:unhideWhenUsed/>
    <w:qFormat/>
    <w:uiPriority w:val="0"/>
    <w:pPr>
      <w:numPr>
        <w:ilvl w:val="0"/>
        <w:numId w:val="2"/>
      </w:numPr>
    </w:pPr>
  </w:style>
  <w:style w:type="paragraph" w:styleId="18">
    <w:name w:val="Document Map"/>
    <w:basedOn w:val="1"/>
    <w:link w:val="71"/>
    <w:unhideWhenUsed/>
    <w:qFormat/>
    <w:uiPriority w:val="0"/>
    <w:pPr>
      <w:shd w:val="clear" w:color="auto" w:fill="000080"/>
    </w:pPr>
    <w:rPr>
      <w:rFonts w:ascii="Times New Roman" w:hAnsi="Times New Roman" w:eastAsia="宋体" w:cs="Times New Roman"/>
      <w:kern w:val="0"/>
      <w:sz w:val="20"/>
    </w:rPr>
  </w:style>
  <w:style w:type="paragraph" w:styleId="19">
    <w:name w:val="annotation text"/>
    <w:basedOn w:val="1"/>
    <w:link w:val="72"/>
    <w:unhideWhenUsed/>
    <w:qFormat/>
    <w:uiPriority w:val="99"/>
    <w:pPr>
      <w:jc w:val="left"/>
    </w:pPr>
  </w:style>
  <w:style w:type="paragraph" w:styleId="20">
    <w:name w:val="Body Text 3"/>
    <w:basedOn w:val="1"/>
    <w:link w:val="73"/>
    <w:unhideWhenUsed/>
    <w:qFormat/>
    <w:uiPriority w:val="0"/>
    <w:pPr>
      <w:adjustRightInd w:val="0"/>
      <w:spacing w:after="120" w:line="360" w:lineRule="atLeast"/>
      <w:textAlignment w:val="baseline"/>
    </w:pPr>
    <w:rPr>
      <w:rFonts w:ascii="Times New Roman" w:hAnsi="Times New Roman" w:eastAsia="宋体" w:cs="Times New Roman"/>
      <w:kern w:val="0"/>
      <w:sz w:val="16"/>
      <w:szCs w:val="16"/>
    </w:rPr>
  </w:style>
  <w:style w:type="paragraph" w:styleId="21">
    <w:name w:val="Body Text"/>
    <w:basedOn w:val="1"/>
    <w:link w:val="74"/>
    <w:unhideWhenUsed/>
    <w:qFormat/>
    <w:uiPriority w:val="0"/>
    <w:pPr>
      <w:spacing w:after="120"/>
    </w:pPr>
  </w:style>
  <w:style w:type="paragraph" w:styleId="22">
    <w:name w:val="Body Text Indent"/>
    <w:basedOn w:val="1"/>
    <w:link w:val="75"/>
    <w:unhideWhenUsed/>
    <w:qFormat/>
    <w:uiPriority w:val="0"/>
    <w:pPr>
      <w:ind w:firstLine="560" w:firstLineChars="200"/>
    </w:pPr>
    <w:rPr>
      <w:rFonts w:ascii="宋体" w:hAnsi="宋体" w:eastAsia="宋体" w:cs="Times New Roman"/>
      <w:kern w:val="0"/>
      <w:sz w:val="28"/>
      <w:szCs w:val="28"/>
    </w:rPr>
  </w:style>
  <w:style w:type="paragraph" w:styleId="23">
    <w:name w:val="List 2"/>
    <w:basedOn w:val="1"/>
    <w:unhideWhenUsed/>
    <w:qFormat/>
    <w:uiPriority w:val="0"/>
    <w:pPr>
      <w:ind w:left="100" w:leftChars="200" w:hanging="200" w:hangingChars="200"/>
    </w:pPr>
    <w:rPr>
      <w:rFonts w:ascii="Times New Roman" w:hAnsi="Times New Roman" w:eastAsia="宋体" w:cs="Times New Roman"/>
      <w:sz w:val="21"/>
    </w:rPr>
  </w:style>
  <w:style w:type="paragraph" w:styleId="24">
    <w:name w:val="List Continue"/>
    <w:basedOn w:val="1"/>
    <w:unhideWhenUsed/>
    <w:qFormat/>
    <w:uiPriority w:val="0"/>
    <w:pPr>
      <w:spacing w:after="120"/>
      <w:ind w:left="420" w:leftChars="200"/>
    </w:pPr>
    <w:rPr>
      <w:rFonts w:ascii="Times New Roman" w:hAnsi="Times New Roman" w:eastAsia="宋体" w:cs="Times New Roman"/>
      <w:sz w:val="21"/>
    </w:rPr>
  </w:style>
  <w:style w:type="paragraph" w:styleId="25">
    <w:name w:val="Block Text"/>
    <w:basedOn w:val="1"/>
    <w:unhideWhenUsed/>
    <w:qFormat/>
    <w:uiPriority w:val="0"/>
    <w:pPr>
      <w:spacing w:before="120" w:after="120" w:line="360" w:lineRule="auto"/>
      <w:ind w:left="525" w:right="202"/>
    </w:pPr>
    <w:rPr>
      <w:rFonts w:ascii="宋体" w:hAnsi="宋体" w:eastAsia="宋体" w:cs="Times New Roman"/>
      <w:spacing w:val="-4"/>
    </w:rPr>
  </w:style>
  <w:style w:type="paragraph" w:styleId="26">
    <w:name w:val="List Bullet 2"/>
    <w:basedOn w:val="1"/>
    <w:unhideWhenUsed/>
    <w:qFormat/>
    <w:uiPriority w:val="0"/>
    <w:pPr>
      <w:numPr>
        <w:ilvl w:val="0"/>
        <w:numId w:val="3"/>
      </w:numPr>
    </w:pPr>
  </w:style>
  <w:style w:type="paragraph" w:styleId="27">
    <w:name w:val="toc 5"/>
    <w:basedOn w:val="1"/>
    <w:next w:val="1"/>
    <w:unhideWhenUsed/>
    <w:qFormat/>
    <w:uiPriority w:val="0"/>
    <w:pPr>
      <w:ind w:left="840"/>
      <w:jc w:val="left"/>
    </w:pPr>
    <w:rPr>
      <w:rFonts w:ascii="Times New Roman" w:hAnsi="Times New Roman" w:eastAsia="宋体" w:cs="Times New Roman"/>
      <w:sz w:val="20"/>
      <w:szCs w:val="20"/>
    </w:rPr>
  </w:style>
  <w:style w:type="paragraph" w:styleId="28">
    <w:name w:val="toc 3"/>
    <w:basedOn w:val="1"/>
    <w:next w:val="1"/>
    <w:unhideWhenUsed/>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29">
    <w:name w:val="Plain Text"/>
    <w:basedOn w:val="1"/>
    <w:link w:val="76"/>
    <w:unhideWhenUsed/>
    <w:qFormat/>
    <w:uiPriority w:val="99"/>
    <w:rPr>
      <w:rFonts w:ascii="宋体" w:hAnsi="Courier New" w:eastAsia="宋体" w:cs="Times New Roman"/>
      <w:kern w:val="0"/>
      <w:sz w:val="20"/>
      <w:szCs w:val="21"/>
    </w:rPr>
  </w:style>
  <w:style w:type="paragraph" w:styleId="30">
    <w:name w:val="toc 8"/>
    <w:basedOn w:val="1"/>
    <w:next w:val="1"/>
    <w:unhideWhenUsed/>
    <w:qFormat/>
    <w:uiPriority w:val="0"/>
    <w:pPr>
      <w:ind w:left="1470"/>
      <w:jc w:val="left"/>
    </w:pPr>
    <w:rPr>
      <w:rFonts w:ascii="Times New Roman" w:hAnsi="Times New Roman" w:eastAsia="宋体" w:cs="Times New Roman"/>
      <w:sz w:val="20"/>
      <w:szCs w:val="20"/>
    </w:rPr>
  </w:style>
  <w:style w:type="paragraph" w:styleId="31">
    <w:name w:val="Date"/>
    <w:basedOn w:val="1"/>
    <w:next w:val="1"/>
    <w:link w:val="77"/>
    <w:unhideWhenUsed/>
    <w:qFormat/>
    <w:uiPriority w:val="0"/>
    <w:pPr>
      <w:ind w:left="100" w:leftChars="2500"/>
    </w:pPr>
    <w:rPr>
      <w:rFonts w:ascii="Times New Roman" w:hAnsi="Times New Roman" w:eastAsia="宋体" w:cs="Times New Roman"/>
      <w:kern w:val="0"/>
      <w:sz w:val="20"/>
    </w:rPr>
  </w:style>
  <w:style w:type="paragraph" w:styleId="32">
    <w:name w:val="Body Text Indent 2"/>
    <w:basedOn w:val="1"/>
    <w:link w:val="78"/>
    <w:unhideWhenUsed/>
    <w:qFormat/>
    <w:uiPriority w:val="0"/>
    <w:pPr>
      <w:spacing w:after="120" w:line="480" w:lineRule="auto"/>
      <w:ind w:left="420" w:leftChars="200"/>
    </w:pPr>
    <w:rPr>
      <w:rFonts w:ascii="Times New Roman" w:hAnsi="Times New Roman" w:eastAsia="宋体" w:cs="Times New Roman"/>
      <w:kern w:val="0"/>
      <w:sz w:val="20"/>
    </w:rPr>
  </w:style>
  <w:style w:type="paragraph" w:styleId="33">
    <w:name w:val="Balloon Text"/>
    <w:basedOn w:val="1"/>
    <w:link w:val="79"/>
    <w:unhideWhenUsed/>
    <w:qFormat/>
    <w:uiPriority w:val="0"/>
    <w:rPr>
      <w:rFonts w:ascii="Times New Roman" w:hAnsi="Times New Roman" w:eastAsia="宋体" w:cs="Times New Roman"/>
      <w:kern w:val="0"/>
      <w:sz w:val="18"/>
      <w:szCs w:val="18"/>
    </w:rPr>
  </w:style>
  <w:style w:type="paragraph" w:styleId="34">
    <w:name w:val="footer"/>
    <w:basedOn w:val="1"/>
    <w:link w:val="70"/>
    <w:unhideWhenUsed/>
    <w:qFormat/>
    <w:uiPriority w:val="99"/>
    <w:pPr>
      <w:tabs>
        <w:tab w:val="center" w:pos="4153"/>
        <w:tab w:val="right" w:pos="8306"/>
      </w:tabs>
      <w:snapToGrid w:val="0"/>
      <w:jc w:val="left"/>
    </w:pPr>
    <w:rPr>
      <w:sz w:val="18"/>
      <w:szCs w:val="18"/>
    </w:rPr>
  </w:style>
  <w:style w:type="paragraph" w:styleId="35">
    <w:name w:val="header"/>
    <w:basedOn w:val="1"/>
    <w:link w:val="69"/>
    <w:unhideWhenUsed/>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unhideWhenUsed/>
    <w:qFormat/>
    <w:uiPriority w:val="39"/>
    <w:pPr>
      <w:adjustRightInd w:val="0"/>
      <w:snapToGrid w:val="0"/>
    </w:pPr>
    <w:rPr>
      <w:rFonts w:ascii="Times New Roman" w:hAnsi="Times New Roman" w:eastAsia="仿宋" w:cs="Times New Roman"/>
      <w:sz w:val="21"/>
    </w:rPr>
  </w:style>
  <w:style w:type="paragraph" w:styleId="37">
    <w:name w:val="toc 4"/>
    <w:basedOn w:val="1"/>
    <w:next w:val="1"/>
    <w:unhideWhenUsed/>
    <w:qFormat/>
    <w:uiPriority w:val="0"/>
    <w:pPr>
      <w:ind w:left="630"/>
      <w:jc w:val="left"/>
    </w:pPr>
    <w:rPr>
      <w:rFonts w:ascii="楷体_GB2312" w:hAnsi="Times New Roman" w:eastAsia="楷体_GB2312" w:cs="Times New Roman"/>
      <w:sz w:val="28"/>
      <w:szCs w:val="20"/>
    </w:rPr>
  </w:style>
  <w:style w:type="paragraph" w:styleId="38">
    <w:name w:val="List"/>
    <w:basedOn w:val="1"/>
    <w:unhideWhenUsed/>
    <w:qFormat/>
    <w:uiPriority w:val="0"/>
    <w:pPr>
      <w:ind w:left="200" w:hanging="200" w:hangingChars="200"/>
    </w:pPr>
    <w:rPr>
      <w:rFonts w:ascii="Times New Roman" w:hAnsi="Times New Roman" w:eastAsia="宋体" w:cs="Times New Roman"/>
      <w:sz w:val="21"/>
    </w:rPr>
  </w:style>
  <w:style w:type="paragraph" w:styleId="39">
    <w:name w:val="toc 6"/>
    <w:basedOn w:val="1"/>
    <w:next w:val="1"/>
    <w:unhideWhenUsed/>
    <w:qFormat/>
    <w:uiPriority w:val="0"/>
    <w:pPr>
      <w:ind w:left="1050"/>
      <w:jc w:val="left"/>
    </w:pPr>
    <w:rPr>
      <w:rFonts w:ascii="Times New Roman" w:hAnsi="Times New Roman" w:eastAsia="宋体" w:cs="Times New Roman"/>
      <w:sz w:val="20"/>
      <w:szCs w:val="20"/>
    </w:rPr>
  </w:style>
  <w:style w:type="paragraph" w:styleId="40">
    <w:name w:val="Body Text Indent 3"/>
    <w:basedOn w:val="1"/>
    <w:link w:val="80"/>
    <w:unhideWhenUsed/>
    <w:qFormat/>
    <w:uiPriority w:val="0"/>
    <w:pPr>
      <w:spacing w:after="120"/>
      <w:ind w:left="420" w:leftChars="200"/>
    </w:pPr>
    <w:rPr>
      <w:rFonts w:ascii="Times New Roman" w:hAnsi="Times New Roman" w:eastAsia="宋体" w:cs="Times New Roman"/>
      <w:kern w:val="0"/>
      <w:sz w:val="16"/>
      <w:szCs w:val="16"/>
    </w:rPr>
  </w:style>
  <w:style w:type="paragraph" w:styleId="41">
    <w:name w:val="toc 2"/>
    <w:basedOn w:val="1"/>
    <w:next w:val="1"/>
    <w:unhideWhenUsed/>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2">
    <w:name w:val="toc 9"/>
    <w:basedOn w:val="1"/>
    <w:next w:val="1"/>
    <w:unhideWhenUsed/>
    <w:qFormat/>
    <w:uiPriority w:val="0"/>
    <w:pPr>
      <w:ind w:left="1680"/>
      <w:jc w:val="left"/>
    </w:pPr>
    <w:rPr>
      <w:rFonts w:ascii="Times New Roman" w:hAnsi="Times New Roman" w:eastAsia="宋体" w:cs="Times New Roman"/>
      <w:sz w:val="20"/>
      <w:szCs w:val="20"/>
    </w:rPr>
  </w:style>
  <w:style w:type="paragraph" w:styleId="43">
    <w:name w:val="Body Text 2"/>
    <w:basedOn w:val="1"/>
    <w:link w:val="81"/>
    <w:unhideWhenUsed/>
    <w:qFormat/>
    <w:uiPriority w:val="0"/>
    <w:pPr>
      <w:spacing w:after="120" w:line="480" w:lineRule="auto"/>
    </w:pPr>
    <w:rPr>
      <w:rFonts w:ascii="Times New Roman" w:hAnsi="Times New Roman" w:eastAsia="宋体" w:cs="Times New Roman"/>
      <w:kern w:val="0"/>
      <w:sz w:val="20"/>
    </w:rPr>
  </w:style>
  <w:style w:type="paragraph" w:styleId="44">
    <w:name w:val="List 4"/>
    <w:basedOn w:val="1"/>
    <w:unhideWhenUsed/>
    <w:qFormat/>
    <w:uiPriority w:val="0"/>
    <w:pPr>
      <w:ind w:left="100" w:leftChars="600" w:hanging="200" w:hangingChars="200"/>
    </w:pPr>
    <w:rPr>
      <w:rFonts w:ascii="Times New Roman" w:hAnsi="Times New Roman" w:eastAsia="宋体" w:cs="Times New Roman"/>
      <w:sz w:val="21"/>
    </w:rPr>
  </w:style>
  <w:style w:type="paragraph" w:styleId="45">
    <w:name w:val="List Continue 2"/>
    <w:basedOn w:val="1"/>
    <w:unhideWhenUsed/>
    <w:qFormat/>
    <w:uiPriority w:val="0"/>
    <w:pPr>
      <w:spacing w:after="120"/>
      <w:ind w:left="840" w:leftChars="400"/>
    </w:pPr>
    <w:rPr>
      <w:rFonts w:ascii="Times New Roman" w:hAnsi="Times New Roman" w:eastAsia="宋体" w:cs="Times New Roman"/>
      <w:sz w:val="21"/>
    </w:rPr>
  </w:style>
  <w:style w:type="paragraph" w:styleId="46">
    <w:name w:val="Normal (Web)"/>
    <w:basedOn w:val="1"/>
    <w:unhideWhenUsed/>
    <w:qFormat/>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47">
    <w:name w:val="index 1"/>
    <w:basedOn w:val="1"/>
    <w:next w:val="1"/>
    <w:unhideWhenUsed/>
    <w:uiPriority w:val="0"/>
    <w:pPr>
      <w:adjustRightInd w:val="0"/>
      <w:snapToGrid w:val="0"/>
      <w:jc w:val="center"/>
    </w:pPr>
    <w:rPr>
      <w:rFonts w:ascii="Times New Roman" w:hAnsi="Times New Roman" w:eastAsia="宋体" w:cs="Times New Roman"/>
      <w:sz w:val="21"/>
      <w:szCs w:val="20"/>
    </w:rPr>
  </w:style>
  <w:style w:type="paragraph" w:styleId="48">
    <w:name w:val="Title"/>
    <w:basedOn w:val="1"/>
    <w:next w:val="1"/>
    <w:link w:val="82"/>
    <w:qFormat/>
    <w:uiPriority w:val="99"/>
    <w:pPr>
      <w:spacing w:before="60" w:after="60"/>
      <w:jc w:val="center"/>
      <w:outlineLvl w:val="0"/>
    </w:pPr>
    <w:rPr>
      <w:rFonts w:ascii="Cambria" w:hAnsi="Cambria" w:eastAsia="黑体" w:cs="Times New Roman"/>
      <w:b/>
      <w:bCs/>
      <w:kern w:val="0"/>
      <w:sz w:val="32"/>
      <w:szCs w:val="32"/>
    </w:rPr>
  </w:style>
  <w:style w:type="paragraph" w:styleId="49">
    <w:name w:val="annotation subject"/>
    <w:basedOn w:val="19"/>
    <w:next w:val="19"/>
    <w:link w:val="83"/>
    <w:unhideWhenUsed/>
    <w:qFormat/>
    <w:uiPriority w:val="0"/>
    <w:rPr>
      <w:rFonts w:ascii="Times New Roman" w:hAnsi="Times New Roman" w:eastAsia="宋体" w:cs="Times New Roman"/>
      <w:b/>
      <w:bCs/>
      <w:kern w:val="0"/>
      <w:sz w:val="20"/>
    </w:rPr>
  </w:style>
  <w:style w:type="paragraph" w:styleId="50">
    <w:name w:val="Body Text First Indent"/>
    <w:basedOn w:val="21"/>
    <w:link w:val="84"/>
    <w:unhideWhenUsed/>
    <w:qFormat/>
    <w:uiPriority w:val="0"/>
    <w:pPr>
      <w:ind w:firstLine="420" w:firstLineChars="100"/>
    </w:pPr>
    <w:rPr>
      <w:rFonts w:ascii="Times New Roman" w:hAnsi="Times New Roman" w:eastAsia="宋体" w:cs="Times New Roman"/>
      <w:kern w:val="0"/>
      <w:sz w:val="20"/>
    </w:rPr>
  </w:style>
  <w:style w:type="paragraph" w:styleId="51">
    <w:name w:val="Body Text First Indent 2"/>
    <w:basedOn w:val="22"/>
    <w:link w:val="85"/>
    <w:unhideWhenUsed/>
    <w:qFormat/>
    <w:uiPriority w:val="0"/>
    <w:pPr>
      <w:spacing w:after="120"/>
      <w:ind w:left="420" w:leftChars="200" w:firstLine="420"/>
    </w:pPr>
    <w:rPr>
      <w:szCs w:val="24"/>
    </w:rPr>
  </w:style>
  <w:style w:type="table" w:styleId="53">
    <w:name w:val="Table Grid"/>
    <w:basedOn w:val="52"/>
    <w:unhideWhenUsed/>
    <w:qFormat/>
    <w:uiPriority w:val="0"/>
    <w:pPr>
      <w:widowControl w:val="0"/>
    </w:pPr>
    <w:rPr>
      <w:rFonts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vAlign w:val="center"/>
    </w:tcPr>
  </w:style>
  <w:style w:type="character" w:styleId="55">
    <w:name w:val="Strong"/>
    <w:qFormat/>
    <w:uiPriority w:val="0"/>
    <w:rPr>
      <w:rFonts w:ascii="Times New Roman" w:hAnsi="Times New Roman" w:eastAsia="仿宋_GB2312" w:cstheme="minorBidi"/>
      <w:b/>
      <w:bCs/>
      <w:kern w:val="2"/>
      <w:sz w:val="32"/>
      <w:szCs w:val="22"/>
      <w:lang w:val="en-US" w:eastAsia="zh-CN" w:bidi="ar-SA"/>
    </w:rPr>
  </w:style>
  <w:style w:type="character" w:styleId="56">
    <w:name w:val="page number"/>
    <w:basedOn w:val="54"/>
    <w:unhideWhenUsed/>
    <w:qFormat/>
    <w:uiPriority w:val="0"/>
    <w:rPr>
      <w:rFonts w:ascii="Times New Roman" w:hAnsi="Times New Roman" w:eastAsia="仿宋_GB2312" w:cstheme="minorBidi"/>
      <w:kern w:val="2"/>
      <w:sz w:val="32"/>
      <w:szCs w:val="22"/>
      <w:lang w:val="en-US" w:eastAsia="zh-CN" w:bidi="ar-SA"/>
    </w:rPr>
  </w:style>
  <w:style w:type="character" w:styleId="57">
    <w:name w:val="FollowedHyperlink"/>
    <w:unhideWhenUsed/>
    <w:qFormat/>
    <w:uiPriority w:val="99"/>
    <w:rPr>
      <w:rFonts w:ascii="Times New Roman" w:hAnsi="Times New Roman" w:eastAsia="仿宋_GB2312" w:cstheme="minorBidi"/>
      <w:color w:val="800080"/>
      <w:kern w:val="2"/>
      <w:sz w:val="32"/>
      <w:szCs w:val="22"/>
      <w:u w:val="single"/>
      <w:lang w:val="en-US" w:eastAsia="zh-CN" w:bidi="ar-SA"/>
    </w:rPr>
  </w:style>
  <w:style w:type="character" w:styleId="58">
    <w:name w:val="Hyperlink"/>
    <w:unhideWhenUsed/>
    <w:qFormat/>
    <w:uiPriority w:val="99"/>
    <w:rPr>
      <w:rFonts w:ascii="Times New Roman" w:hAnsi="Times New Roman" w:eastAsia="仿宋_GB2312" w:cstheme="minorBidi"/>
      <w:color w:val="0000FF"/>
      <w:kern w:val="2"/>
      <w:sz w:val="32"/>
      <w:szCs w:val="22"/>
      <w:u w:val="single"/>
      <w:lang w:val="en-US" w:eastAsia="zh-CN" w:bidi="ar-SA"/>
    </w:rPr>
  </w:style>
  <w:style w:type="character" w:styleId="59">
    <w:name w:val="annotation reference"/>
    <w:unhideWhenUsed/>
    <w:qFormat/>
    <w:uiPriority w:val="99"/>
    <w:rPr>
      <w:rFonts w:ascii="Times New Roman" w:hAnsi="Times New Roman" w:eastAsia="仿宋_GB2312" w:cstheme="minorBidi"/>
      <w:kern w:val="2"/>
      <w:sz w:val="21"/>
      <w:szCs w:val="21"/>
      <w:lang w:val="en-US" w:eastAsia="zh-CN" w:bidi="ar-SA"/>
    </w:rPr>
  </w:style>
  <w:style w:type="character" w:customStyle="1" w:styleId="60">
    <w:name w:val="标题 1 Char"/>
    <w:basedOn w:val="54"/>
    <w:link w:val="2"/>
    <w:qFormat/>
    <w:uiPriority w:val="0"/>
    <w:rPr>
      <w:rFonts w:ascii="Times New Roman" w:hAnsi="Times New Roman" w:eastAsia="宋体" w:cs="Times New Roman"/>
      <w:b/>
      <w:bCs/>
      <w:kern w:val="44"/>
      <w:sz w:val="30"/>
      <w:szCs w:val="44"/>
      <w:lang w:val="zh-CN" w:eastAsia="zh-CN" w:bidi="ar-SA"/>
    </w:rPr>
  </w:style>
  <w:style w:type="character" w:customStyle="1" w:styleId="61">
    <w:name w:val="标题 2 Char"/>
    <w:basedOn w:val="54"/>
    <w:link w:val="3"/>
    <w:qFormat/>
    <w:uiPriority w:val="99"/>
    <w:rPr>
      <w:rFonts w:ascii="Arial" w:hAnsi="Arial" w:eastAsia="宋体" w:cs="Times New Roman"/>
      <w:b/>
      <w:bCs/>
      <w:kern w:val="0"/>
      <w:sz w:val="28"/>
      <w:szCs w:val="32"/>
      <w:lang w:val="zh-CN" w:eastAsia="zh-CN" w:bidi="ar-SA"/>
    </w:rPr>
  </w:style>
  <w:style w:type="character" w:customStyle="1" w:styleId="62">
    <w:name w:val="标题 3 Char"/>
    <w:basedOn w:val="54"/>
    <w:link w:val="4"/>
    <w:qFormat/>
    <w:uiPriority w:val="0"/>
    <w:rPr>
      <w:rFonts w:ascii="宋体" w:hAnsi="Times New Roman" w:eastAsia="宋体" w:cs="Times New Roman"/>
      <w:b/>
      <w:kern w:val="0"/>
      <w:sz w:val="28"/>
      <w:szCs w:val="20"/>
      <w:lang w:val="zh-CN" w:eastAsia="zh-CN" w:bidi="ar-SA"/>
    </w:rPr>
  </w:style>
  <w:style w:type="character" w:customStyle="1" w:styleId="63">
    <w:name w:val="标题 4 Char"/>
    <w:basedOn w:val="54"/>
    <w:link w:val="5"/>
    <w:qFormat/>
    <w:uiPriority w:val="0"/>
    <w:rPr>
      <w:rFonts w:ascii="Arial" w:hAnsi="Arial" w:eastAsia="黑体" w:cs="Times New Roman"/>
      <w:b/>
      <w:bCs/>
      <w:kern w:val="0"/>
      <w:sz w:val="28"/>
      <w:szCs w:val="28"/>
      <w:lang w:val="zh-CN" w:eastAsia="zh-CN" w:bidi="ar-SA"/>
    </w:rPr>
  </w:style>
  <w:style w:type="character" w:customStyle="1" w:styleId="64">
    <w:name w:val="标题 5 Char"/>
    <w:basedOn w:val="54"/>
    <w:link w:val="6"/>
    <w:qFormat/>
    <w:uiPriority w:val="0"/>
    <w:rPr>
      <w:rFonts w:ascii="Times New Roman" w:hAnsi="Times New Roman" w:eastAsia="宋体" w:cs="Times New Roman"/>
      <w:b/>
      <w:bCs/>
      <w:kern w:val="0"/>
      <w:sz w:val="28"/>
      <w:szCs w:val="28"/>
      <w:lang w:val="zh-CN" w:eastAsia="zh-CN" w:bidi="ar-SA"/>
    </w:rPr>
  </w:style>
  <w:style w:type="character" w:customStyle="1" w:styleId="65">
    <w:name w:val="标题 6 Char"/>
    <w:basedOn w:val="54"/>
    <w:link w:val="7"/>
    <w:qFormat/>
    <w:uiPriority w:val="0"/>
    <w:rPr>
      <w:rFonts w:ascii="Arial" w:hAnsi="Arial" w:eastAsia="黑体" w:cs="Times New Roman"/>
      <w:b/>
      <w:bCs/>
      <w:kern w:val="0"/>
      <w:lang w:val="zh-CN" w:eastAsia="zh-CN" w:bidi="ar-SA"/>
    </w:rPr>
  </w:style>
  <w:style w:type="character" w:customStyle="1" w:styleId="66">
    <w:name w:val="标题 7 Char"/>
    <w:basedOn w:val="54"/>
    <w:link w:val="8"/>
    <w:qFormat/>
    <w:uiPriority w:val="0"/>
    <w:rPr>
      <w:rFonts w:ascii="Times New Roman" w:hAnsi="Times New Roman" w:eastAsia="宋体" w:cs="Times New Roman"/>
      <w:b/>
      <w:bCs/>
      <w:kern w:val="0"/>
      <w:lang w:val="zh-CN" w:eastAsia="zh-CN" w:bidi="ar-SA"/>
    </w:rPr>
  </w:style>
  <w:style w:type="character" w:customStyle="1" w:styleId="67">
    <w:name w:val="标题 8 Char"/>
    <w:basedOn w:val="54"/>
    <w:link w:val="9"/>
    <w:uiPriority w:val="0"/>
    <w:rPr>
      <w:rFonts w:ascii="Arial" w:hAnsi="Arial" w:eastAsia="黑体" w:cs="Times New Roman"/>
      <w:kern w:val="0"/>
      <w:lang w:val="zh-CN" w:eastAsia="zh-CN" w:bidi="ar-SA"/>
    </w:rPr>
  </w:style>
  <w:style w:type="character" w:customStyle="1" w:styleId="68">
    <w:name w:val="标题 9 Char"/>
    <w:basedOn w:val="54"/>
    <w:link w:val="10"/>
    <w:qFormat/>
    <w:uiPriority w:val="0"/>
    <w:rPr>
      <w:rFonts w:ascii="Arial" w:hAnsi="Arial" w:eastAsia="黑体" w:cs="Times New Roman"/>
      <w:kern w:val="0"/>
      <w:sz w:val="20"/>
      <w:szCs w:val="21"/>
      <w:lang w:val="zh-CN" w:eastAsia="zh-CN" w:bidi="ar-SA"/>
    </w:rPr>
  </w:style>
  <w:style w:type="character" w:customStyle="1" w:styleId="69">
    <w:name w:val="页眉 Char"/>
    <w:basedOn w:val="54"/>
    <w:link w:val="35"/>
    <w:uiPriority w:val="0"/>
    <w:rPr>
      <w:rFonts w:asciiTheme="minorHAnsi" w:hAnsiTheme="minorHAnsi" w:eastAsiaTheme="minorEastAsia" w:cstheme="minorBidi"/>
      <w:sz w:val="18"/>
      <w:szCs w:val="18"/>
      <w:lang w:val="en-US" w:eastAsia="zh-CN" w:bidi="ar-SA"/>
    </w:rPr>
  </w:style>
  <w:style w:type="character" w:customStyle="1" w:styleId="70">
    <w:name w:val="页脚 Char"/>
    <w:basedOn w:val="54"/>
    <w:link w:val="34"/>
    <w:qFormat/>
    <w:uiPriority w:val="99"/>
    <w:rPr>
      <w:rFonts w:asciiTheme="minorHAnsi" w:hAnsiTheme="minorHAnsi" w:eastAsiaTheme="minorEastAsia" w:cstheme="minorBidi"/>
      <w:sz w:val="18"/>
      <w:szCs w:val="18"/>
      <w:lang w:val="en-US" w:eastAsia="zh-CN" w:bidi="ar-SA"/>
    </w:rPr>
  </w:style>
  <w:style w:type="character" w:customStyle="1" w:styleId="71">
    <w:name w:val="文档结构图 Char"/>
    <w:basedOn w:val="54"/>
    <w:link w:val="18"/>
    <w:qFormat/>
    <w:uiPriority w:val="0"/>
    <w:rPr>
      <w:rFonts w:ascii="Times New Roman" w:hAnsi="Times New Roman" w:eastAsia="宋体" w:cs="Times New Roman"/>
      <w:kern w:val="0"/>
      <w:sz w:val="20"/>
      <w:lang w:val="en-US" w:eastAsia="zh-CN" w:bidi="ar-SA"/>
    </w:rPr>
  </w:style>
  <w:style w:type="character" w:customStyle="1" w:styleId="72">
    <w:name w:val="批注文字 Char"/>
    <w:basedOn w:val="54"/>
    <w:link w:val="19"/>
    <w:qFormat/>
    <w:uiPriority w:val="99"/>
    <w:rPr>
      <w:rFonts w:asciiTheme="minorHAnsi" w:hAnsiTheme="minorHAnsi" w:eastAsiaTheme="minorEastAsia" w:cstheme="minorBidi"/>
      <w:lang w:val="en-US" w:eastAsia="zh-CN" w:bidi="ar-SA"/>
    </w:rPr>
  </w:style>
  <w:style w:type="character" w:customStyle="1" w:styleId="73">
    <w:name w:val="正文文本 3 Char"/>
    <w:basedOn w:val="54"/>
    <w:link w:val="20"/>
    <w:qFormat/>
    <w:uiPriority w:val="0"/>
    <w:rPr>
      <w:rFonts w:ascii="Times New Roman" w:hAnsi="Times New Roman" w:eastAsia="宋体" w:cs="Times New Roman"/>
      <w:kern w:val="0"/>
      <w:sz w:val="16"/>
      <w:szCs w:val="16"/>
      <w:lang w:val="en-US" w:eastAsia="zh-CN" w:bidi="ar-SA"/>
    </w:rPr>
  </w:style>
  <w:style w:type="character" w:customStyle="1" w:styleId="74">
    <w:name w:val="正文文本 Char"/>
    <w:basedOn w:val="54"/>
    <w:link w:val="21"/>
    <w:uiPriority w:val="0"/>
    <w:rPr>
      <w:rFonts w:asciiTheme="minorHAnsi" w:hAnsiTheme="minorHAnsi" w:eastAsiaTheme="minorEastAsia" w:cstheme="minorBidi"/>
      <w:lang w:val="en-US" w:eastAsia="zh-CN" w:bidi="ar-SA"/>
    </w:rPr>
  </w:style>
  <w:style w:type="character" w:customStyle="1" w:styleId="75">
    <w:name w:val="正文文本缩进 Char"/>
    <w:basedOn w:val="54"/>
    <w:link w:val="22"/>
    <w:qFormat/>
    <w:uiPriority w:val="0"/>
    <w:rPr>
      <w:rFonts w:ascii="宋体" w:hAnsi="宋体" w:eastAsia="宋体" w:cs="Times New Roman"/>
      <w:kern w:val="0"/>
      <w:sz w:val="28"/>
      <w:szCs w:val="28"/>
      <w:lang w:val="en-US" w:eastAsia="zh-CN" w:bidi="ar-SA"/>
    </w:rPr>
  </w:style>
  <w:style w:type="character" w:customStyle="1" w:styleId="76">
    <w:name w:val="纯文本 Char"/>
    <w:basedOn w:val="54"/>
    <w:link w:val="29"/>
    <w:qFormat/>
    <w:uiPriority w:val="99"/>
    <w:rPr>
      <w:rFonts w:ascii="宋体" w:hAnsi="Courier New" w:eastAsia="宋体" w:cs="Times New Roman"/>
      <w:kern w:val="0"/>
      <w:sz w:val="20"/>
      <w:szCs w:val="21"/>
      <w:lang w:val="en-US" w:eastAsia="zh-CN" w:bidi="ar-SA"/>
    </w:rPr>
  </w:style>
  <w:style w:type="character" w:customStyle="1" w:styleId="77">
    <w:name w:val="日期 Char"/>
    <w:basedOn w:val="54"/>
    <w:link w:val="31"/>
    <w:uiPriority w:val="0"/>
    <w:rPr>
      <w:rFonts w:ascii="Times New Roman" w:hAnsi="Times New Roman" w:eastAsia="宋体" w:cs="Times New Roman"/>
      <w:kern w:val="0"/>
      <w:sz w:val="20"/>
      <w:lang w:val="en-US" w:eastAsia="zh-CN" w:bidi="ar-SA"/>
    </w:rPr>
  </w:style>
  <w:style w:type="character" w:customStyle="1" w:styleId="78">
    <w:name w:val="正文文本缩进 2 Char"/>
    <w:basedOn w:val="54"/>
    <w:link w:val="32"/>
    <w:qFormat/>
    <w:uiPriority w:val="0"/>
    <w:rPr>
      <w:rFonts w:ascii="Times New Roman" w:hAnsi="Times New Roman" w:eastAsia="宋体" w:cs="Times New Roman"/>
      <w:kern w:val="0"/>
      <w:sz w:val="20"/>
      <w:lang w:val="en-US" w:eastAsia="zh-CN" w:bidi="ar-SA"/>
    </w:rPr>
  </w:style>
  <w:style w:type="character" w:customStyle="1" w:styleId="79">
    <w:name w:val="批注框文本 Char"/>
    <w:basedOn w:val="54"/>
    <w:link w:val="33"/>
    <w:semiHidden/>
    <w:qFormat/>
    <w:uiPriority w:val="0"/>
    <w:rPr>
      <w:rFonts w:ascii="Times New Roman" w:hAnsi="Times New Roman" w:eastAsia="宋体" w:cs="Times New Roman"/>
      <w:kern w:val="0"/>
      <w:sz w:val="18"/>
      <w:szCs w:val="18"/>
      <w:lang w:val="en-US" w:eastAsia="zh-CN" w:bidi="ar-SA"/>
    </w:rPr>
  </w:style>
  <w:style w:type="character" w:customStyle="1" w:styleId="80">
    <w:name w:val="正文文本缩进 3 Char"/>
    <w:basedOn w:val="54"/>
    <w:link w:val="40"/>
    <w:qFormat/>
    <w:uiPriority w:val="0"/>
    <w:rPr>
      <w:rFonts w:ascii="Times New Roman" w:hAnsi="Times New Roman" w:eastAsia="宋体" w:cs="Times New Roman"/>
      <w:kern w:val="0"/>
      <w:sz w:val="16"/>
      <w:szCs w:val="16"/>
      <w:lang w:val="en-US" w:eastAsia="zh-CN" w:bidi="ar-SA"/>
    </w:rPr>
  </w:style>
  <w:style w:type="character" w:customStyle="1" w:styleId="81">
    <w:name w:val="正文文本 2 Char"/>
    <w:basedOn w:val="54"/>
    <w:link w:val="43"/>
    <w:uiPriority w:val="0"/>
    <w:rPr>
      <w:rFonts w:ascii="Times New Roman" w:hAnsi="Times New Roman" w:eastAsia="宋体" w:cs="Times New Roman"/>
      <w:kern w:val="0"/>
      <w:sz w:val="20"/>
      <w:lang w:val="en-US" w:eastAsia="zh-CN" w:bidi="ar-SA"/>
    </w:rPr>
  </w:style>
  <w:style w:type="character" w:customStyle="1" w:styleId="82">
    <w:name w:val="标题 Char"/>
    <w:basedOn w:val="54"/>
    <w:link w:val="48"/>
    <w:qFormat/>
    <w:uiPriority w:val="99"/>
    <w:rPr>
      <w:rFonts w:ascii="Cambria" w:hAnsi="Cambria" w:eastAsia="黑体" w:cs="Times New Roman"/>
      <w:b/>
      <w:bCs/>
      <w:kern w:val="0"/>
      <w:sz w:val="32"/>
      <w:szCs w:val="32"/>
      <w:lang w:val="en-US" w:eastAsia="zh-CN" w:bidi="ar-SA"/>
    </w:rPr>
  </w:style>
  <w:style w:type="character" w:customStyle="1" w:styleId="83">
    <w:name w:val="批注主题 Char"/>
    <w:basedOn w:val="72"/>
    <w:link w:val="49"/>
    <w:semiHidden/>
    <w:uiPriority w:val="0"/>
    <w:rPr>
      <w:rFonts w:ascii="Times New Roman" w:hAnsi="Times New Roman" w:eastAsia="宋体" w:cs="Times New Roman"/>
      <w:b/>
      <w:bCs/>
      <w:kern w:val="0"/>
      <w:sz w:val="20"/>
    </w:rPr>
  </w:style>
  <w:style w:type="character" w:customStyle="1" w:styleId="84">
    <w:name w:val="正文首行缩进 Char"/>
    <w:basedOn w:val="74"/>
    <w:link w:val="50"/>
    <w:uiPriority w:val="0"/>
    <w:rPr>
      <w:rFonts w:ascii="Times New Roman" w:hAnsi="Times New Roman" w:eastAsia="宋体" w:cs="Times New Roman"/>
      <w:kern w:val="0"/>
      <w:sz w:val="20"/>
    </w:rPr>
  </w:style>
  <w:style w:type="character" w:customStyle="1" w:styleId="85">
    <w:name w:val="正文首行缩进 2 Char"/>
    <w:basedOn w:val="75"/>
    <w:link w:val="51"/>
    <w:qFormat/>
    <w:uiPriority w:val="0"/>
    <w:rPr>
      <w:szCs w:val="24"/>
    </w:rPr>
  </w:style>
  <w:style w:type="character" w:customStyle="1" w:styleId="86">
    <w:name w:val="font51"/>
    <w:qFormat/>
    <w:uiPriority w:val="0"/>
    <w:rPr>
      <w:rFonts w:hint="default" w:ascii="Times New Roman" w:hAnsi="Times New Roman" w:eastAsia="仿宋_GB2312" w:cs="Times New Roman"/>
      <w:b/>
      <w:color w:val="000000"/>
      <w:kern w:val="2"/>
      <w:sz w:val="24"/>
      <w:szCs w:val="24"/>
      <w:u w:val="none"/>
      <w:lang w:val="en-US" w:eastAsia="zh-CN" w:bidi="ar-SA"/>
    </w:rPr>
  </w:style>
  <w:style w:type="character" w:customStyle="1" w:styleId="87">
    <w:name w:val="Char Char"/>
    <w:qFormat/>
    <w:uiPriority w:val="0"/>
    <w:rPr>
      <w:rFonts w:ascii="宋体" w:hAnsi="Courier New" w:eastAsia="宋体" w:cs="Courier New"/>
      <w:kern w:val="2"/>
      <w:sz w:val="21"/>
      <w:szCs w:val="21"/>
      <w:lang w:val="en-US" w:eastAsia="zh-CN" w:bidi="ar-SA"/>
    </w:rPr>
  </w:style>
  <w:style w:type="character" w:customStyle="1" w:styleId="88">
    <w:name w:val="注释文本字符"/>
    <w:semiHidden/>
    <w:uiPriority w:val="0"/>
    <w:rPr>
      <w:rFonts w:ascii="Times New Roman" w:hAnsi="Times New Roman" w:eastAsia="宋体" w:cs="Times New Roman"/>
      <w:kern w:val="0"/>
      <w:sz w:val="20"/>
      <w:szCs w:val="24"/>
      <w:lang w:val="en-US" w:eastAsia="zh-CN" w:bidi="ar-SA"/>
    </w:rPr>
  </w:style>
  <w:style w:type="character" w:customStyle="1" w:styleId="89">
    <w:name w:val="Char Char3"/>
    <w:qFormat/>
    <w:uiPriority w:val="0"/>
    <w:rPr>
      <w:rFonts w:ascii="Times New Roman" w:hAnsi="Times New Roman" w:eastAsia="宋体" w:cstheme="minorBidi"/>
      <w:kern w:val="2"/>
      <w:sz w:val="18"/>
      <w:szCs w:val="18"/>
      <w:lang w:val="en-US" w:eastAsia="zh-CN" w:bidi="ar-SA"/>
    </w:rPr>
  </w:style>
  <w:style w:type="character" w:customStyle="1" w:styleId="90">
    <w:name w:val="font61"/>
    <w:qFormat/>
    <w:uiPriority w:val="0"/>
    <w:rPr>
      <w:rFonts w:hint="default" w:ascii="Times New Roman" w:hAnsi="Times New Roman" w:eastAsia="仿宋_GB2312" w:cs="Times New Roman"/>
      <w:color w:val="000000"/>
      <w:kern w:val="2"/>
      <w:sz w:val="24"/>
      <w:szCs w:val="24"/>
      <w:u w:val="none"/>
      <w:lang w:val="en-US" w:eastAsia="zh-CN" w:bidi="ar-SA"/>
    </w:rPr>
  </w:style>
  <w:style w:type="character" w:customStyle="1" w:styleId="91">
    <w:name w:val="font21"/>
    <w:qFormat/>
    <w:uiPriority w:val="0"/>
    <w:rPr>
      <w:rFonts w:hint="default" w:ascii="Times New Roman" w:hAnsi="Times New Roman" w:eastAsia="仿宋_GB2312" w:cs="Times New Roman"/>
      <w:color w:val="000000"/>
      <w:kern w:val="2"/>
      <w:sz w:val="24"/>
      <w:szCs w:val="24"/>
      <w:u w:val="none"/>
      <w:vertAlign w:val="superscript"/>
      <w:lang w:val="en-US" w:eastAsia="zh-CN" w:bidi="ar-SA"/>
    </w:rPr>
  </w:style>
  <w:style w:type="character" w:customStyle="1" w:styleId="92">
    <w:name w:val="font71"/>
    <w:qFormat/>
    <w:uiPriority w:val="0"/>
    <w:rPr>
      <w:rFonts w:hint="eastAsia" w:ascii="宋体" w:hAnsi="宋体" w:eastAsia="宋体" w:cs="宋体"/>
      <w:color w:val="000000"/>
      <w:kern w:val="2"/>
      <w:sz w:val="24"/>
      <w:szCs w:val="24"/>
      <w:u w:val="none"/>
      <w:lang w:val="en-US" w:eastAsia="zh-CN" w:bidi="ar-SA"/>
    </w:rPr>
  </w:style>
  <w:style w:type="character" w:customStyle="1" w:styleId="93">
    <w:name w:val="zbggmain style9"/>
    <w:basedOn w:val="54"/>
    <w:qFormat/>
    <w:uiPriority w:val="0"/>
    <w:rPr>
      <w:rFonts w:ascii="Times New Roman" w:hAnsi="Times New Roman" w:eastAsia="仿宋_GB2312" w:cstheme="minorBidi"/>
      <w:kern w:val="2"/>
      <w:sz w:val="32"/>
      <w:szCs w:val="22"/>
      <w:lang w:val="en-US" w:eastAsia="zh-CN" w:bidi="ar-SA"/>
    </w:rPr>
  </w:style>
  <w:style w:type="character" w:customStyle="1" w:styleId="94">
    <w:name w:val="px1233"/>
    <w:basedOn w:val="54"/>
    <w:uiPriority w:val="0"/>
    <w:rPr>
      <w:rFonts w:ascii="Times New Roman" w:hAnsi="Times New Roman" w:eastAsia="仿宋_GB2312" w:cstheme="minorBidi"/>
      <w:kern w:val="2"/>
      <w:sz w:val="32"/>
      <w:szCs w:val="22"/>
      <w:lang w:val="en-US" w:eastAsia="zh-CN" w:bidi="ar-SA"/>
    </w:rPr>
  </w:style>
  <w:style w:type="character" w:customStyle="1" w:styleId="95">
    <w:name w:val="font11"/>
    <w:qFormat/>
    <w:uiPriority w:val="0"/>
    <w:rPr>
      <w:rFonts w:hint="default" w:ascii="Times New Roman" w:hAnsi="Times New Roman" w:eastAsia="仿宋_GB2312" w:cs="Times New Roman"/>
      <w:color w:val="000000"/>
      <w:kern w:val="2"/>
      <w:sz w:val="21"/>
      <w:szCs w:val="21"/>
      <w:u w:val="none"/>
      <w:lang w:val="en-US" w:eastAsia="zh-CN" w:bidi="ar-SA"/>
    </w:rPr>
  </w:style>
  <w:style w:type="character" w:customStyle="1" w:styleId="96">
    <w:name w:val="font41"/>
    <w:qFormat/>
    <w:uiPriority w:val="0"/>
    <w:rPr>
      <w:rFonts w:hint="eastAsia" w:ascii="宋体" w:hAnsi="宋体" w:eastAsia="宋体" w:cs="宋体"/>
      <w:b/>
      <w:color w:val="000000"/>
      <w:kern w:val="2"/>
      <w:sz w:val="24"/>
      <w:szCs w:val="24"/>
      <w:u w:val="none"/>
      <w:lang w:val="en-US" w:eastAsia="zh-CN" w:bidi="ar-SA"/>
    </w:rPr>
  </w:style>
  <w:style w:type="character" w:customStyle="1" w:styleId="97">
    <w:name w:val="正文文本字符"/>
    <w:uiPriority w:val="0"/>
    <w:rPr>
      <w:rFonts w:ascii="Times New Roman" w:hAnsi="Times New Roman" w:eastAsia="宋体" w:cs="Times New Roman"/>
      <w:kern w:val="0"/>
      <w:sz w:val="20"/>
      <w:szCs w:val="24"/>
      <w:lang w:val="en-US" w:eastAsia="zh-CN" w:bidi="ar-SA"/>
    </w:rPr>
  </w:style>
  <w:style w:type="character" w:customStyle="1" w:styleId="98">
    <w:name w:val="Char Char2"/>
    <w:qFormat/>
    <w:uiPriority w:val="0"/>
    <w:rPr>
      <w:rFonts w:ascii="Times New Roman" w:hAnsi="Times New Roman" w:eastAsia="宋体" w:cstheme="minorBidi"/>
      <w:kern w:val="2"/>
      <w:sz w:val="18"/>
      <w:szCs w:val="18"/>
      <w:lang w:val="en-US" w:eastAsia="zh-CN" w:bidi="ar-SA"/>
    </w:rPr>
  </w:style>
  <w:style w:type="character" w:customStyle="1" w:styleId="99">
    <w:name w:val="font01"/>
    <w:qFormat/>
    <w:uiPriority w:val="0"/>
    <w:rPr>
      <w:rFonts w:hint="eastAsia" w:ascii="宋体" w:hAnsi="宋体" w:eastAsia="宋体" w:cs="宋体"/>
      <w:color w:val="000000"/>
      <w:kern w:val="2"/>
      <w:sz w:val="21"/>
      <w:szCs w:val="21"/>
      <w:u w:val="none"/>
      <w:lang w:val="en-US" w:eastAsia="zh-CN" w:bidi="ar-SA"/>
    </w:rPr>
  </w:style>
  <w:style w:type="paragraph" w:customStyle="1" w:styleId="100">
    <w:name w:val="样式1"/>
    <w:basedOn w:val="5"/>
    <w:qFormat/>
    <w:uiPriority w:val="99"/>
    <w:pPr>
      <w:tabs>
        <w:tab w:val="left" w:pos="864"/>
      </w:tabs>
      <w:spacing w:before="120" w:after="120" w:line="360" w:lineRule="auto"/>
      <w:ind w:left="864" w:hanging="864"/>
    </w:pPr>
    <w:rPr>
      <w:b w:val="0"/>
      <w:bCs w:val="0"/>
    </w:rPr>
  </w:style>
  <w:style w:type="paragraph" w:customStyle="1" w:styleId="101">
    <w:name w:val="Char Char Char1 Char Char Char Char"/>
    <w:basedOn w:val="1"/>
    <w:uiPriority w:val="0"/>
    <w:rPr>
      <w:rFonts w:ascii="Times New Roman" w:hAnsi="Times New Roman" w:eastAsia="宋体" w:cs="Times New Roman"/>
      <w:sz w:val="21"/>
    </w:rPr>
  </w:style>
  <w:style w:type="paragraph" w:customStyle="1" w:styleId="102">
    <w:name w:val="Char Char Char Char Char Char"/>
    <w:basedOn w:val="1"/>
    <w:qFormat/>
    <w:uiPriority w:val="0"/>
    <w:rPr>
      <w:rFonts w:ascii="Times New Roman" w:hAnsi="Times New Roman" w:eastAsia="宋体" w:cs="Times New Roman"/>
      <w:sz w:val="21"/>
    </w:rPr>
  </w:style>
  <w:style w:type="character" w:customStyle="1" w:styleId="103">
    <w:name w:val="批注框文本字符1"/>
    <w:basedOn w:val="54"/>
    <w:semiHidden/>
    <w:qFormat/>
    <w:uiPriority w:val="99"/>
    <w:rPr>
      <w:rFonts w:ascii="Heiti SC Light" w:hAnsi="Times New Roman" w:eastAsia="Heiti SC Light" w:cstheme="minorBidi"/>
      <w:kern w:val="2"/>
      <w:sz w:val="18"/>
      <w:szCs w:val="18"/>
      <w:lang w:val="en-US" w:eastAsia="zh-CN" w:bidi="ar-SA"/>
    </w:rPr>
  </w:style>
  <w:style w:type="character" w:customStyle="1" w:styleId="104">
    <w:name w:val="日期字符1"/>
    <w:basedOn w:val="54"/>
    <w:semiHidden/>
    <w:qFormat/>
    <w:uiPriority w:val="99"/>
    <w:rPr>
      <w:rFonts w:ascii="Times New Roman" w:hAnsi="Times New Roman" w:eastAsia="仿宋_GB2312" w:cstheme="minorBidi"/>
      <w:kern w:val="2"/>
      <w:sz w:val="32"/>
      <w:szCs w:val="22"/>
      <w:lang w:val="en-US" w:eastAsia="zh-CN" w:bidi="ar-SA"/>
    </w:rPr>
  </w:style>
  <w:style w:type="character" w:customStyle="1" w:styleId="105">
    <w:name w:val="纯文本字符1"/>
    <w:basedOn w:val="54"/>
    <w:semiHidden/>
    <w:qFormat/>
    <w:uiPriority w:val="99"/>
    <w:rPr>
      <w:rFonts w:ascii="宋体" w:hAnsi="Courier" w:eastAsia="宋体" w:cstheme="minorBidi"/>
      <w:kern w:val="2"/>
      <w:sz w:val="32"/>
      <w:szCs w:val="22"/>
      <w:lang w:val="en-US" w:eastAsia="zh-CN" w:bidi="ar-SA"/>
    </w:rPr>
  </w:style>
  <w:style w:type="character" w:customStyle="1" w:styleId="106">
    <w:name w:val="批注主题字符1"/>
    <w:basedOn w:val="72"/>
    <w:semiHidden/>
    <w:qFormat/>
    <w:uiPriority w:val="99"/>
    <w:rPr>
      <w:rFonts w:asciiTheme="minorHAnsi" w:hAnsiTheme="minorHAnsi" w:eastAsiaTheme="minorEastAsia" w:cstheme="minorBidi"/>
      <w:b/>
      <w:bCs/>
      <w:kern w:val="2"/>
      <w:sz w:val="24"/>
      <w:szCs w:val="24"/>
      <w:lang w:val="en-US" w:eastAsia="zh-CN" w:bidi="ar-SA"/>
    </w:rPr>
  </w:style>
  <w:style w:type="paragraph" w:customStyle="1" w:styleId="107">
    <w:name w:val="Char Char Char Char"/>
    <w:basedOn w:val="1"/>
    <w:qFormat/>
    <w:uiPriority w:val="0"/>
    <w:rPr>
      <w:rFonts w:ascii="Times New Roman" w:hAnsi="Times New Roman" w:eastAsia="宋体" w:cs="Times New Roman"/>
      <w:sz w:val="21"/>
    </w:rPr>
  </w:style>
  <w:style w:type="character" w:customStyle="1" w:styleId="108">
    <w:name w:val="正文首行缩进字符1"/>
    <w:basedOn w:val="74"/>
    <w:semiHidden/>
    <w:qFormat/>
    <w:uiPriority w:val="99"/>
    <w:rPr>
      <w:rFonts w:asciiTheme="minorHAnsi" w:hAnsiTheme="minorHAnsi" w:eastAsiaTheme="minorEastAsia" w:cstheme="minorBidi"/>
      <w:kern w:val="2"/>
      <w:sz w:val="24"/>
      <w:szCs w:val="24"/>
      <w:lang w:val="en-US" w:eastAsia="zh-CN" w:bidi="ar-SA"/>
    </w:rPr>
  </w:style>
  <w:style w:type="character" w:customStyle="1" w:styleId="109">
    <w:name w:val="正文文本缩进 3字符1"/>
    <w:basedOn w:val="54"/>
    <w:semiHidden/>
    <w:qFormat/>
    <w:uiPriority w:val="99"/>
    <w:rPr>
      <w:rFonts w:ascii="Times New Roman" w:hAnsi="Times New Roman" w:eastAsia="仿宋_GB2312" w:cstheme="minorBidi"/>
      <w:kern w:val="2"/>
      <w:sz w:val="16"/>
      <w:szCs w:val="16"/>
      <w:lang w:val="en-US" w:eastAsia="zh-CN" w:bidi="ar-SA"/>
    </w:rPr>
  </w:style>
  <w:style w:type="paragraph" w:customStyle="1" w:styleId="110">
    <w:name w:val="p0"/>
    <w:basedOn w:val="1"/>
    <w:qFormat/>
    <w:uiPriority w:val="0"/>
    <w:pPr>
      <w:widowControl/>
    </w:pPr>
    <w:rPr>
      <w:rFonts w:ascii="Times New Roman" w:hAnsi="Times New Roman" w:eastAsia="宋体" w:cs="Times New Roman"/>
      <w:kern w:val="0"/>
      <w:sz w:val="21"/>
      <w:szCs w:val="21"/>
    </w:rPr>
  </w:style>
  <w:style w:type="character" w:customStyle="1" w:styleId="111">
    <w:name w:val="文档结构图 字符1"/>
    <w:basedOn w:val="54"/>
    <w:semiHidden/>
    <w:qFormat/>
    <w:uiPriority w:val="99"/>
    <w:rPr>
      <w:rFonts w:ascii="Heiti SC Light" w:hAnsi="Times New Roman" w:eastAsia="Heiti SC Light" w:cstheme="minorBidi"/>
      <w:kern w:val="2"/>
      <w:sz w:val="32"/>
      <w:szCs w:val="22"/>
      <w:lang w:val="en-US" w:eastAsia="zh-CN" w:bidi="ar-SA"/>
    </w:rPr>
  </w:style>
  <w:style w:type="character" w:customStyle="1" w:styleId="112">
    <w:name w:val="正文文本 3字符1"/>
    <w:basedOn w:val="54"/>
    <w:semiHidden/>
    <w:qFormat/>
    <w:uiPriority w:val="99"/>
    <w:rPr>
      <w:rFonts w:ascii="Times New Roman" w:hAnsi="Times New Roman" w:eastAsia="仿宋_GB2312" w:cstheme="minorBidi"/>
      <w:kern w:val="2"/>
      <w:sz w:val="16"/>
      <w:szCs w:val="16"/>
      <w:lang w:val="en-US" w:eastAsia="zh-CN" w:bidi="ar-SA"/>
    </w:rPr>
  </w:style>
  <w:style w:type="character" w:customStyle="1" w:styleId="113">
    <w:name w:val="正文文本缩进字符1"/>
    <w:basedOn w:val="54"/>
    <w:semiHidden/>
    <w:qFormat/>
    <w:uiPriority w:val="99"/>
    <w:rPr>
      <w:rFonts w:ascii="Times New Roman" w:hAnsi="Times New Roman" w:eastAsia="仿宋_GB2312" w:cstheme="minorBidi"/>
      <w:kern w:val="2"/>
      <w:sz w:val="32"/>
      <w:szCs w:val="22"/>
      <w:lang w:val="en-US" w:eastAsia="zh-CN" w:bidi="ar-SA"/>
    </w:rPr>
  </w:style>
  <w:style w:type="character" w:customStyle="1" w:styleId="114">
    <w:name w:val="正文文本缩进 2字符1"/>
    <w:basedOn w:val="54"/>
    <w:semiHidden/>
    <w:qFormat/>
    <w:uiPriority w:val="99"/>
    <w:rPr>
      <w:rFonts w:ascii="Times New Roman" w:hAnsi="Times New Roman" w:eastAsia="仿宋_GB2312" w:cstheme="minorBidi"/>
      <w:kern w:val="2"/>
      <w:sz w:val="32"/>
      <w:szCs w:val="22"/>
      <w:lang w:val="en-US" w:eastAsia="zh-CN" w:bidi="ar-SA"/>
    </w:rPr>
  </w:style>
  <w:style w:type="paragraph" w:customStyle="1" w:styleId="115">
    <w:name w:val="Legal 3"/>
    <w:basedOn w:val="116"/>
    <w:next w:val="116"/>
    <w:qFormat/>
    <w:uiPriority w:val="0"/>
    <w:pPr>
      <w:spacing w:after="120"/>
    </w:pPr>
    <w:rPr>
      <w:rFonts w:cs="Times New Roman"/>
      <w:color w:val="auto"/>
    </w:rPr>
  </w:style>
  <w:style w:type="paragraph" w:customStyle="1" w:styleId="1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7">
    <w:name w:val="页脚字符1"/>
    <w:basedOn w:val="54"/>
    <w:semiHidden/>
    <w:qFormat/>
    <w:uiPriority w:val="99"/>
    <w:rPr>
      <w:rFonts w:ascii="Times New Roman" w:hAnsi="Times New Roman" w:eastAsia="仿宋_GB2312" w:cstheme="minorBidi"/>
      <w:kern w:val="2"/>
      <w:sz w:val="18"/>
      <w:szCs w:val="18"/>
      <w:lang w:val="en-US" w:eastAsia="zh-CN" w:bidi="ar-SA"/>
    </w:rPr>
  </w:style>
  <w:style w:type="character" w:customStyle="1" w:styleId="118">
    <w:name w:val="正文首行缩进 2字符1"/>
    <w:basedOn w:val="113"/>
    <w:semiHidden/>
    <w:qFormat/>
    <w:uiPriority w:val="99"/>
    <w:rPr>
      <w:rFonts w:ascii="Times New Roman" w:hAnsi="Times New Roman" w:eastAsia="仿宋_GB2312" w:cstheme="minorBidi"/>
      <w:kern w:val="2"/>
      <w:sz w:val="32"/>
      <w:szCs w:val="22"/>
      <w:lang w:val="en-US" w:eastAsia="zh-CN" w:bidi="ar-SA"/>
    </w:rPr>
  </w:style>
  <w:style w:type="character" w:customStyle="1" w:styleId="119">
    <w:name w:val="页眉字符1"/>
    <w:basedOn w:val="54"/>
    <w:semiHidden/>
    <w:qFormat/>
    <w:uiPriority w:val="99"/>
    <w:rPr>
      <w:rFonts w:ascii="Times New Roman" w:hAnsi="Times New Roman" w:eastAsia="仿宋_GB2312" w:cstheme="minorBidi"/>
      <w:kern w:val="2"/>
      <w:sz w:val="18"/>
      <w:szCs w:val="18"/>
      <w:lang w:val="en-US" w:eastAsia="zh-CN" w:bidi="ar-SA"/>
    </w:rPr>
  </w:style>
  <w:style w:type="character" w:customStyle="1" w:styleId="120">
    <w:name w:val="正文文本 2字符1"/>
    <w:basedOn w:val="54"/>
    <w:semiHidden/>
    <w:qFormat/>
    <w:uiPriority w:val="99"/>
    <w:rPr>
      <w:rFonts w:ascii="Times New Roman" w:hAnsi="Times New Roman" w:eastAsia="仿宋_GB2312" w:cstheme="minorBidi"/>
      <w:kern w:val="2"/>
      <w:sz w:val="32"/>
      <w:szCs w:val="22"/>
      <w:lang w:val="en-US" w:eastAsia="zh-CN" w:bidi="ar-SA"/>
    </w:rPr>
  </w:style>
  <w:style w:type="character" w:customStyle="1" w:styleId="121">
    <w:name w:val="标题字符1"/>
    <w:basedOn w:val="54"/>
    <w:uiPriority w:val="10"/>
    <w:rPr>
      <w:rFonts w:eastAsia="宋体" w:asciiTheme="majorHAnsi" w:hAnsiTheme="majorHAnsi" w:cstheme="majorBidi"/>
      <w:b/>
      <w:bCs/>
      <w:kern w:val="2"/>
      <w:sz w:val="32"/>
      <w:szCs w:val="32"/>
      <w:lang w:val="en-US" w:eastAsia="zh-CN" w:bidi="ar-SA"/>
    </w:rPr>
  </w:style>
  <w:style w:type="paragraph" w:customStyle="1" w:styleId="122">
    <w:name w:val="列出段落1"/>
    <w:basedOn w:val="1"/>
    <w:unhideWhenUsed/>
    <w:qFormat/>
    <w:uiPriority w:val="99"/>
    <w:pPr>
      <w:ind w:firstLine="420" w:firstLineChars="200"/>
    </w:pPr>
    <w:rPr>
      <w:rFonts w:ascii="Calibri" w:hAnsi="Calibri" w:eastAsia="宋体" w:cs="Times New Roman"/>
      <w:sz w:val="21"/>
      <w:szCs w:val="22"/>
    </w:rPr>
  </w:style>
  <w:style w:type="paragraph" w:customStyle="1" w:styleId="123">
    <w:name w:val="图表标题"/>
    <w:basedOn w:val="1"/>
    <w:next w:val="21"/>
    <w:qFormat/>
    <w:uiPriority w:val="0"/>
    <w:rPr>
      <w:rFonts w:ascii="Times New Roman" w:hAnsi="Times New Roman" w:eastAsia="宋体" w:cs="Times New Roman"/>
      <w:sz w:val="30"/>
      <w:szCs w:val="20"/>
    </w:rPr>
  </w:style>
  <w:style w:type="paragraph" w:customStyle="1" w:styleId="124">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 w:val="21"/>
      <w:szCs w:val="20"/>
    </w:rPr>
  </w:style>
  <w:style w:type="paragraph" w:customStyle="1" w:styleId="125">
    <w:name w:val="Char"/>
    <w:basedOn w:val="1"/>
    <w:qFormat/>
    <w:uiPriority w:val="0"/>
    <w:rPr>
      <w:rFonts w:ascii="仿宋_GB2312" w:hAnsi="Times New Roman" w:eastAsia="仿宋_GB2312" w:cs="Times New Roman"/>
      <w:b/>
      <w:sz w:val="32"/>
      <w:szCs w:val="32"/>
    </w:rPr>
  </w:style>
  <w:style w:type="paragraph" w:customStyle="1" w:styleId="126">
    <w:name w:val="Char4 Char Char Char"/>
    <w:basedOn w:val="18"/>
    <w:qFormat/>
    <w:uiPriority w:val="0"/>
    <w:rPr>
      <w:rFonts w:ascii="Tahoma" w:hAnsi="Tahoma"/>
      <w:sz w:val="24"/>
    </w:rPr>
  </w:style>
  <w:style w:type="paragraph" w:customStyle="1" w:styleId="127">
    <w:name w:val="表内文字"/>
    <w:basedOn w:val="1"/>
    <w:qFormat/>
    <w:uiPriority w:val="0"/>
    <w:pPr>
      <w:widowControl/>
      <w:ind w:firstLine="120" w:firstLineChars="50"/>
    </w:pPr>
    <w:rPr>
      <w:rFonts w:ascii="宋体" w:hAnsi="宋体" w:eastAsia="宋体" w:cs="Times New Roman"/>
      <w:szCs w:val="20"/>
    </w:rPr>
  </w:style>
  <w:style w:type="paragraph" w:customStyle="1" w:styleId="128">
    <w:name w:val="Char Char Char"/>
    <w:basedOn w:val="1"/>
    <w:uiPriority w:val="0"/>
    <w:pPr>
      <w:ind w:firstLine="360" w:firstLineChars="150"/>
    </w:pPr>
    <w:rPr>
      <w:rFonts w:ascii="Tahoma" w:hAnsi="Tahoma" w:eastAsia="宋体" w:cs="Times New Roman"/>
      <w:szCs w:val="20"/>
    </w:rPr>
  </w:style>
  <w:style w:type="paragraph" w:customStyle="1" w:styleId="129">
    <w:name w:val="样式 样式1 + 首行缩进:  2 字符"/>
    <w:basedOn w:val="1"/>
    <w:qFormat/>
    <w:uiPriority w:val="0"/>
    <w:pPr>
      <w:spacing w:line="360" w:lineRule="exact"/>
      <w:ind w:firstLine="420" w:firstLineChars="200"/>
    </w:pPr>
    <w:rPr>
      <w:rFonts w:ascii="Arial" w:hAnsi="Arial" w:eastAsia="宋体" w:cs="Times New Roman"/>
      <w:sz w:val="21"/>
      <w:szCs w:val="20"/>
    </w:rPr>
  </w:style>
  <w:style w:type="paragraph" w:customStyle="1" w:styleId="130">
    <w:name w:val="legal 2"/>
    <w:basedOn w:val="116"/>
    <w:next w:val="116"/>
    <w:qFormat/>
    <w:uiPriority w:val="0"/>
    <w:pPr>
      <w:spacing w:after="120"/>
    </w:pPr>
    <w:rPr>
      <w:rFonts w:cs="Times New Roman"/>
      <w:color w:val="auto"/>
    </w:rPr>
  </w:style>
  <w:style w:type="paragraph" w:customStyle="1" w:styleId="131">
    <w:name w:val="列表延续"/>
    <w:basedOn w:val="1"/>
    <w:qFormat/>
    <w:uiPriority w:val="0"/>
    <w:pPr>
      <w:numPr>
        <w:ilvl w:val="8"/>
        <w:numId w:val="4"/>
      </w:numPr>
      <w:adjustRightInd w:val="0"/>
      <w:spacing w:line="360" w:lineRule="auto"/>
      <w:textAlignment w:val="baseline"/>
    </w:pPr>
    <w:rPr>
      <w:rFonts w:ascii="Times New Roman" w:hAnsi="Tms Rmn" w:eastAsia="楷体_GB2312" w:cs="Times New Roman"/>
      <w:kern w:val="28"/>
      <w:sz w:val="28"/>
      <w:szCs w:val="20"/>
    </w:rPr>
  </w:style>
  <w:style w:type="paragraph" w:customStyle="1" w:styleId="132">
    <w:name w:val="Legal 5"/>
    <w:basedOn w:val="116"/>
    <w:next w:val="116"/>
    <w:qFormat/>
    <w:uiPriority w:val="0"/>
    <w:pPr>
      <w:spacing w:after="120"/>
    </w:pPr>
    <w:rPr>
      <w:rFonts w:cs="Times New Roman"/>
      <w:color w:val="auto"/>
    </w:rPr>
  </w:style>
  <w:style w:type="paragraph" w:customStyle="1" w:styleId="133">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
    <w:name w:val="Legal 4"/>
    <w:basedOn w:val="116"/>
    <w:next w:val="116"/>
    <w:qFormat/>
    <w:uiPriority w:val="0"/>
    <w:pPr>
      <w:spacing w:after="120"/>
    </w:pPr>
    <w:rPr>
      <w:rFonts w:cs="Times New Roman"/>
      <w:color w:val="auto"/>
    </w:rPr>
  </w:style>
  <w:style w:type="paragraph" w:customStyle="1" w:styleId="135">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
    <w:name w:val="正文文字3"/>
    <w:basedOn w:val="21"/>
    <w:qFormat/>
    <w:uiPriority w:val="0"/>
    <w:pPr>
      <w:adjustRightInd w:val="0"/>
      <w:spacing w:after="0" w:line="360" w:lineRule="atLeast"/>
      <w:ind w:left="30" w:leftChars="30" w:right="30" w:rightChars="30"/>
      <w:textAlignment w:val="baseline"/>
    </w:pPr>
    <w:rPr>
      <w:rFonts w:ascii="Times New Roman" w:hAnsi="Times New Roman" w:eastAsia="宋体" w:cs="Times New Roman"/>
      <w:kern w:val="0"/>
      <w:sz w:val="20"/>
      <w:szCs w:val="20"/>
    </w:rPr>
  </w:style>
  <w:style w:type="paragraph" w:customStyle="1" w:styleId="137">
    <w:name w:val="1"/>
    <w:basedOn w:val="1"/>
    <w:qFormat/>
    <w:uiPriority w:val="0"/>
    <w:rPr>
      <w:rFonts w:ascii="仿宋_GB2312" w:hAnsi="Times New Roman" w:eastAsia="仿宋_GB2312" w:cs="Times New Roman"/>
      <w:b/>
      <w:sz w:val="32"/>
      <w:szCs w:val="32"/>
    </w:rPr>
  </w:style>
  <w:style w:type="paragraph" w:customStyle="1" w:styleId="138">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39">
    <w:name w:val="p16"/>
    <w:basedOn w:val="1"/>
    <w:qFormat/>
    <w:uiPriority w:val="0"/>
    <w:pPr>
      <w:widowControl/>
      <w:spacing w:line="360" w:lineRule="auto"/>
      <w:ind w:left="-2" w:firstLine="2"/>
      <w:jc w:val="left"/>
    </w:pPr>
    <w:rPr>
      <w:rFonts w:ascii="宋体" w:hAnsi="宋体" w:eastAsia="宋体" w:cs="宋体"/>
      <w:kern w:val="0"/>
      <w:sz w:val="30"/>
      <w:szCs w:val="30"/>
    </w:rPr>
  </w:style>
  <w:style w:type="paragraph" w:customStyle="1" w:styleId="140">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1">
    <w:name w:val="列出段落2"/>
    <w:basedOn w:val="1"/>
    <w:qFormat/>
    <w:uiPriority w:val="0"/>
    <w:pPr>
      <w:spacing w:line="400" w:lineRule="exact"/>
      <w:ind w:firstLine="420" w:firstLineChars="200"/>
      <w:contextualSpacing/>
    </w:pPr>
  </w:style>
  <w:style w:type="character" w:customStyle="1" w:styleId="142">
    <w:name w:val="正文缩进 Char"/>
    <w:link w:val="14"/>
    <w:locked/>
    <w:uiPriority w:val="99"/>
    <w:rPr>
      <w:rFonts w:ascii="Times New Roman" w:hAnsi="Times New Roman" w:eastAsia="宋体" w:cs="Times New Roman"/>
      <w:sz w:val="21"/>
      <w:szCs w:val="20"/>
      <w:lang w:val="en-US" w:eastAsia="zh-CN" w:bidi="ar-SA"/>
    </w:rPr>
  </w:style>
  <w:style w:type="paragraph" w:customStyle="1" w:styleId="143">
    <w:name w:val="子项位"/>
    <w:basedOn w:val="1"/>
    <w:uiPriority w:val="99"/>
    <w:pPr>
      <w:tabs>
        <w:tab w:val="left" w:pos="1531"/>
      </w:tabs>
      <w:adjustRightInd w:val="0"/>
      <w:snapToGrid w:val="0"/>
      <w:spacing w:before="120"/>
      <w:ind w:left="1531" w:hanging="397"/>
      <w:jc w:val="left"/>
    </w:pPr>
    <w:rPr>
      <w:rFonts w:ascii="Times New Roman" w:hAnsi="Times New Roman" w:eastAsia="宋体" w:cs="Times New Roman"/>
      <w:kern w:val="0"/>
      <w:sz w:val="28"/>
      <w:szCs w:val="20"/>
    </w:rPr>
  </w:style>
  <w:style w:type="paragraph" w:customStyle="1" w:styleId="144">
    <w:name w:val="正文1"/>
    <w:uiPriority w:val="99"/>
    <w:pPr>
      <w:widowControl w:val="0"/>
      <w:adjustRightInd w:val="0"/>
      <w:spacing w:line="240" w:lineRule="atLeast"/>
      <w:jc w:val="both"/>
    </w:pPr>
    <w:rPr>
      <w:rFonts w:ascii="宋体" w:hAnsi="Times New Roman" w:eastAsia="宋体" w:cs="Times New Roman"/>
      <w:sz w:val="34"/>
      <w:lang w:val="en-US" w:eastAsia="zh-CN" w:bidi="ar-SA"/>
    </w:rPr>
  </w:style>
  <w:style w:type="paragraph" w:styleId="145">
    <w:name w:val="List Paragraph"/>
    <w:basedOn w:val="1"/>
    <w:qFormat/>
    <w:uiPriority w:val="99"/>
    <w:pPr>
      <w:ind w:firstLine="420" w:firstLineChars="200"/>
    </w:pPr>
    <w:rPr>
      <w:rFonts w:ascii="Cambria" w:hAnsi="Cambria" w:eastAsia="宋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64</Pages>
  <Words>5575</Words>
  <Characters>31784</Characters>
  <Lines>264</Lines>
  <Paragraphs>74</Paragraphs>
  <TotalTime>5</TotalTime>
  <ScaleCrop>false</ScaleCrop>
  <LinksUpToDate>false</LinksUpToDate>
  <CharactersWithSpaces>37285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2019-06-05T01:40:00Z</dcterms:created>
  <dc:creator>钟鸣</dc:creator>
  <cp:lastModifiedBy>贾思勰</cp:lastModifiedBy>
  <dcterms:modified xsi:type="dcterms:W3CDTF">2019-08-16T08:42:37Z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