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00" w:lineRule="exact"/>
        <w:rPr>
          <w:rFonts w:hint="eastAsia" w:cs="Calibri"/>
          <w:kern w:val="0"/>
          <w:sz w:val="24"/>
          <w:szCs w:val="52"/>
        </w:rPr>
      </w:pPr>
      <w:bookmarkStart w:id="0" w:name="_Toc143421653"/>
      <w:bookmarkStart w:id="1" w:name="_Toc128451845"/>
      <w:bookmarkStart w:id="2" w:name="_Toc140045840"/>
    </w:p>
    <w:p>
      <w:pPr>
        <w:autoSpaceDE w:val="0"/>
        <w:autoSpaceDN w:val="0"/>
        <w:adjustRightInd w:val="0"/>
        <w:spacing w:line="500" w:lineRule="exact"/>
        <w:jc w:val="center"/>
        <w:rPr>
          <w:rFonts w:eastAsia="黑体" w:cs="Calibri"/>
          <w:b/>
          <w:sz w:val="44"/>
          <w:szCs w:val="44"/>
        </w:rPr>
      </w:pPr>
    </w:p>
    <w:p>
      <w:pPr>
        <w:autoSpaceDE w:val="0"/>
        <w:autoSpaceDN w:val="0"/>
        <w:adjustRightInd w:val="0"/>
        <w:spacing w:line="500" w:lineRule="exact"/>
        <w:jc w:val="center"/>
        <w:rPr>
          <w:rFonts w:eastAsia="黑体" w:cs="Calibri"/>
          <w:b/>
          <w:sz w:val="44"/>
          <w:szCs w:val="44"/>
        </w:rPr>
      </w:pPr>
    </w:p>
    <w:p>
      <w:pPr>
        <w:autoSpaceDE w:val="0"/>
        <w:autoSpaceDN w:val="0"/>
        <w:adjustRightInd w:val="0"/>
        <w:spacing w:line="500" w:lineRule="exact"/>
        <w:jc w:val="center"/>
        <w:rPr>
          <w:rFonts w:hint="eastAsia" w:eastAsia="黑体" w:cs="Calibri"/>
          <w:b/>
          <w:sz w:val="44"/>
          <w:szCs w:val="44"/>
        </w:rPr>
      </w:pPr>
      <w:bookmarkStart w:id="3" w:name="OLE_LINK1"/>
      <w:r>
        <w:rPr>
          <w:rFonts w:hint="eastAsia" w:eastAsia="黑体" w:cs="Calibri"/>
          <w:b/>
          <w:sz w:val="44"/>
          <w:szCs w:val="44"/>
        </w:rPr>
        <w:t>浙江省机场集团</w:t>
      </w:r>
    </w:p>
    <w:p>
      <w:pPr>
        <w:autoSpaceDE w:val="0"/>
        <w:autoSpaceDN w:val="0"/>
        <w:adjustRightInd w:val="0"/>
        <w:spacing w:line="500" w:lineRule="exact"/>
        <w:ind w:firstLine="900"/>
        <w:jc w:val="center"/>
        <w:rPr>
          <w:rFonts w:eastAsia="黑体" w:cs="Calibri"/>
          <w:b/>
          <w:sz w:val="44"/>
          <w:szCs w:val="44"/>
        </w:rPr>
      </w:pPr>
      <w:r>
        <w:rPr>
          <w:rFonts w:hint="eastAsia" w:eastAsia="黑体" w:cs="Calibri"/>
          <w:b/>
          <w:sz w:val="44"/>
          <w:szCs w:val="44"/>
        </w:rPr>
        <w:t>20</w:t>
      </w:r>
      <w:r>
        <w:rPr>
          <w:rFonts w:eastAsia="黑体" w:cs="Calibri"/>
          <w:b/>
          <w:sz w:val="44"/>
          <w:szCs w:val="44"/>
        </w:rPr>
        <w:t>20</w:t>
      </w:r>
      <w:r>
        <w:rPr>
          <w:rFonts w:hint="eastAsia" w:eastAsia="黑体" w:cs="Calibri"/>
          <w:b/>
          <w:sz w:val="44"/>
          <w:szCs w:val="44"/>
        </w:rPr>
        <w:t>-20</w:t>
      </w:r>
      <w:r>
        <w:rPr>
          <w:rFonts w:eastAsia="黑体" w:cs="Calibri"/>
          <w:b/>
          <w:sz w:val="44"/>
          <w:szCs w:val="44"/>
        </w:rPr>
        <w:t>22</w:t>
      </w:r>
      <w:r>
        <w:rPr>
          <w:rFonts w:hint="eastAsia" w:eastAsia="黑体" w:cs="Calibri"/>
          <w:b/>
          <w:sz w:val="44"/>
          <w:szCs w:val="44"/>
        </w:rPr>
        <w:t>年度招标代理机构选聘项目</w:t>
      </w:r>
    </w:p>
    <w:bookmarkEnd w:id="3"/>
    <w:p>
      <w:pPr>
        <w:autoSpaceDE w:val="0"/>
        <w:autoSpaceDN w:val="0"/>
        <w:adjustRightInd w:val="0"/>
        <w:spacing w:line="500" w:lineRule="exact"/>
        <w:ind w:firstLine="900"/>
        <w:jc w:val="center"/>
        <w:rPr>
          <w:rFonts w:hint="eastAsia" w:eastAsia="黑体" w:cs="Calibri"/>
          <w:b/>
          <w:sz w:val="44"/>
          <w:szCs w:val="44"/>
        </w:rPr>
      </w:pPr>
    </w:p>
    <w:p>
      <w:pPr>
        <w:autoSpaceDE w:val="0"/>
        <w:autoSpaceDN w:val="0"/>
        <w:adjustRightInd w:val="0"/>
        <w:spacing w:line="500" w:lineRule="exact"/>
        <w:ind w:firstLine="900"/>
        <w:jc w:val="center"/>
        <w:rPr>
          <w:rFonts w:eastAsia="黑体" w:cs="Calibri"/>
          <w:b/>
          <w:sz w:val="44"/>
          <w:szCs w:val="44"/>
        </w:rPr>
      </w:pPr>
    </w:p>
    <w:p>
      <w:pPr>
        <w:autoSpaceDE w:val="0"/>
        <w:autoSpaceDN w:val="0"/>
        <w:adjustRightInd w:val="0"/>
        <w:spacing w:line="500" w:lineRule="exact"/>
        <w:ind w:firstLine="900"/>
        <w:jc w:val="center"/>
        <w:rPr>
          <w:rFonts w:eastAsia="黑体" w:cs="Calibri"/>
          <w:b/>
          <w:sz w:val="44"/>
          <w:szCs w:val="44"/>
        </w:rPr>
      </w:pPr>
    </w:p>
    <w:p>
      <w:pPr>
        <w:autoSpaceDE w:val="0"/>
        <w:autoSpaceDN w:val="0"/>
        <w:adjustRightInd w:val="0"/>
        <w:spacing w:line="500" w:lineRule="exact"/>
        <w:ind w:firstLine="900"/>
        <w:jc w:val="center"/>
        <w:rPr>
          <w:rFonts w:eastAsia="黑体" w:cs="Calibri"/>
          <w:b/>
          <w:sz w:val="44"/>
          <w:szCs w:val="44"/>
        </w:rPr>
      </w:pPr>
    </w:p>
    <w:p>
      <w:pPr>
        <w:autoSpaceDE w:val="0"/>
        <w:autoSpaceDN w:val="0"/>
        <w:adjustRightInd w:val="0"/>
        <w:spacing w:line="1000" w:lineRule="exact"/>
        <w:jc w:val="center"/>
        <w:rPr>
          <w:rFonts w:eastAsia="黑体" w:cs="Calibri"/>
          <w:b/>
          <w:bCs/>
          <w:spacing w:val="60"/>
          <w:sz w:val="82"/>
          <w:szCs w:val="82"/>
        </w:rPr>
      </w:pPr>
    </w:p>
    <w:p>
      <w:pPr>
        <w:autoSpaceDE w:val="0"/>
        <w:autoSpaceDN w:val="0"/>
        <w:adjustRightInd w:val="0"/>
        <w:spacing w:line="1000" w:lineRule="exact"/>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spacing w:line="500" w:lineRule="exact"/>
        <w:jc w:val="center"/>
        <w:rPr>
          <w:rFonts w:cs="Calibri"/>
          <w:b/>
          <w:kern w:val="0"/>
          <w:sz w:val="44"/>
          <w:szCs w:val="44"/>
        </w:rPr>
      </w:pPr>
    </w:p>
    <w:p>
      <w:pPr>
        <w:autoSpaceDE w:val="0"/>
        <w:autoSpaceDN w:val="0"/>
        <w:adjustRightInd w:val="0"/>
        <w:spacing w:line="500" w:lineRule="exact"/>
        <w:jc w:val="center"/>
        <w:rPr>
          <w:rFonts w:cs="Calibri"/>
          <w:b/>
          <w:kern w:val="0"/>
          <w:sz w:val="44"/>
          <w:szCs w:val="44"/>
        </w:rPr>
      </w:pPr>
    </w:p>
    <w:p>
      <w:pPr>
        <w:autoSpaceDE w:val="0"/>
        <w:autoSpaceDN w:val="0"/>
        <w:adjustRightInd w:val="0"/>
        <w:spacing w:line="500" w:lineRule="exact"/>
        <w:jc w:val="center"/>
        <w:rPr>
          <w:rFonts w:cs="Calibri"/>
          <w:kern w:val="0"/>
          <w:sz w:val="32"/>
          <w:szCs w:val="32"/>
        </w:rPr>
      </w:pPr>
    </w:p>
    <w:p>
      <w:pPr>
        <w:pStyle w:val="21"/>
        <w:spacing w:line="500" w:lineRule="exact"/>
        <w:jc w:val="center"/>
        <w:rPr>
          <w:rFonts w:ascii="Calibri" w:hAnsi="Calibri" w:eastAsia="隶书" w:cs="Calibri"/>
          <w:sz w:val="32"/>
        </w:rPr>
      </w:pPr>
    </w:p>
    <w:p>
      <w:pPr>
        <w:pStyle w:val="21"/>
        <w:spacing w:line="500" w:lineRule="exact"/>
        <w:jc w:val="center"/>
        <w:rPr>
          <w:rFonts w:ascii="Calibri" w:hAnsi="Calibri" w:eastAsia="隶书" w:cs="Calibri"/>
          <w:sz w:val="32"/>
        </w:rPr>
      </w:pPr>
    </w:p>
    <w:p>
      <w:pPr>
        <w:pStyle w:val="21"/>
        <w:spacing w:line="500" w:lineRule="exact"/>
        <w:jc w:val="center"/>
        <w:rPr>
          <w:rFonts w:ascii="Calibri" w:hAnsi="Calibri" w:eastAsia="隶书" w:cs="Calibri"/>
          <w:sz w:val="32"/>
        </w:rPr>
      </w:pPr>
    </w:p>
    <w:p>
      <w:pPr>
        <w:pStyle w:val="21"/>
        <w:spacing w:line="500" w:lineRule="exact"/>
        <w:rPr>
          <w:rFonts w:ascii="Calibri" w:hAnsi="Calibri" w:eastAsia="隶书" w:cs="Calibri"/>
          <w:sz w:val="32"/>
        </w:rPr>
      </w:pPr>
    </w:p>
    <w:p>
      <w:pPr>
        <w:pStyle w:val="21"/>
        <w:spacing w:line="500" w:lineRule="exact"/>
        <w:jc w:val="center"/>
        <w:rPr>
          <w:rFonts w:ascii="Calibri" w:hAnsi="Calibri" w:eastAsia="隶书" w:cs="Calibri"/>
          <w:sz w:val="32"/>
        </w:rPr>
      </w:pPr>
    </w:p>
    <w:p>
      <w:pPr>
        <w:snapToGrid w:val="0"/>
        <w:spacing w:line="500" w:lineRule="exact"/>
        <w:jc w:val="center"/>
        <w:rPr>
          <w:rFonts w:hint="eastAsia" w:eastAsia="黑体" w:cs="Calibri"/>
          <w:sz w:val="32"/>
          <w:szCs w:val="32"/>
        </w:rPr>
      </w:pPr>
      <w:r>
        <w:rPr>
          <w:rFonts w:eastAsia="黑体" w:cs="Calibri"/>
          <w:sz w:val="32"/>
          <w:szCs w:val="32"/>
        </w:rPr>
        <w:t>浙江省机场集团有限公司</w:t>
      </w:r>
    </w:p>
    <w:p>
      <w:pPr>
        <w:spacing w:line="500" w:lineRule="exact"/>
        <w:rPr>
          <w:rFonts w:eastAsia="黑体" w:cs="Calibri"/>
          <w:sz w:val="32"/>
          <w:szCs w:val="32"/>
        </w:rPr>
      </w:pPr>
    </w:p>
    <w:p>
      <w:pPr>
        <w:pStyle w:val="21"/>
        <w:spacing w:line="500" w:lineRule="exact"/>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十一</w:t>
      </w:r>
      <w:r>
        <w:rPr>
          <w:rFonts w:ascii="Calibri" w:hAnsi="Calibri" w:eastAsia="黑体" w:cs="Calibri"/>
          <w:sz w:val="32"/>
          <w:szCs w:val="32"/>
        </w:rPr>
        <w:t>月</w:t>
      </w:r>
    </w:p>
    <w:p>
      <w:pPr>
        <w:snapToGrid w:val="0"/>
        <w:spacing w:line="500" w:lineRule="exact"/>
        <w:jc w:val="center"/>
        <w:rPr>
          <w:rFonts w:cs="Calibri"/>
          <w:color w:val="000000"/>
          <w:sz w:val="32"/>
          <w:szCs w:val="32"/>
        </w:rPr>
      </w:pPr>
    </w:p>
    <w:p>
      <w:pPr>
        <w:pStyle w:val="30"/>
        <w:spacing w:line="500" w:lineRule="exact"/>
        <w:rPr>
          <w:rFonts w:ascii="Calibri" w:cs="Calibri"/>
          <w:b/>
          <w:color w:val="000000"/>
          <w:sz w:val="44"/>
        </w:rPr>
      </w:pPr>
      <w:bookmarkStart w:id="4" w:name="_Toc349007685"/>
      <w:bookmarkStart w:id="5" w:name="_Toc349011855"/>
      <w:bookmarkStart w:id="6" w:name="_Toc386359390"/>
      <w:bookmarkStart w:id="7" w:name="_Toc386363314"/>
      <w:r>
        <w:rPr>
          <w:rFonts w:hint="eastAsia" w:ascii="Calibri" w:cs="Calibri"/>
          <w:b/>
          <w:color w:val="000000"/>
          <w:sz w:val="44"/>
        </w:rPr>
        <w:t xml:space="preserve"> </w:t>
      </w:r>
    </w:p>
    <w:p>
      <w:pPr>
        <w:pStyle w:val="30"/>
        <w:spacing w:line="500" w:lineRule="exact"/>
        <w:rPr>
          <w:rFonts w:ascii="Calibri" w:hAnsi="Calibri" w:cs="Calibri"/>
          <w:b/>
          <w:color w:val="000000"/>
          <w:sz w:val="44"/>
        </w:rPr>
      </w:pPr>
      <w:bookmarkStart w:id="8" w:name="_Toc400369182"/>
      <w:bookmarkStart w:id="9" w:name="_Toc444173456"/>
      <w:bookmarkStart w:id="10" w:name="_Toc444174976"/>
      <w:bookmarkStart w:id="11" w:name="_Toc444811406"/>
      <w:bookmarkStart w:id="12" w:name="_Toc448002981"/>
      <w:r>
        <w:rPr>
          <w:rFonts w:ascii="Calibri" w:cs="Calibri"/>
          <w:b/>
          <w:color w:val="000000"/>
          <w:sz w:val="44"/>
        </w:rPr>
        <w:t>目</w:t>
      </w:r>
      <w:r>
        <w:rPr>
          <w:rFonts w:ascii="Calibri" w:hAnsi="Calibri" w:cs="Calibri"/>
          <w:b/>
          <w:color w:val="000000"/>
          <w:sz w:val="44"/>
        </w:rPr>
        <w:t xml:space="preserve">  </w:t>
      </w:r>
      <w:r>
        <w:rPr>
          <w:rFonts w:ascii="Calibri" w:cs="Calibri"/>
          <w:b/>
          <w:color w:val="000000"/>
          <w:sz w:val="44"/>
        </w:rPr>
        <w:t>录</w:t>
      </w:r>
      <w:bookmarkEnd w:id="4"/>
      <w:bookmarkEnd w:id="5"/>
      <w:bookmarkEnd w:id="6"/>
      <w:bookmarkEnd w:id="7"/>
      <w:bookmarkEnd w:id="8"/>
      <w:bookmarkEnd w:id="9"/>
      <w:bookmarkEnd w:id="10"/>
      <w:bookmarkEnd w:id="11"/>
      <w:bookmarkEnd w:id="12"/>
    </w:p>
    <w:p>
      <w:pPr>
        <w:pStyle w:val="30"/>
        <w:spacing w:line="500" w:lineRule="exact"/>
        <w:rPr>
          <w:rFonts w:ascii="黑体" w:hAnsi="黑体" w:eastAsia="黑体"/>
          <w:bCs w:val="0"/>
          <w:kern w:val="2"/>
          <w:sz w:val="22"/>
          <w:szCs w:val="22"/>
          <w:lang/>
        </w:rPr>
      </w:pPr>
      <w:r>
        <w:rPr>
          <w:rFonts w:hint="eastAsia" w:ascii="黑体" w:hAnsi="黑体" w:eastAsia="黑体" w:cs="Calibri"/>
          <w:color w:val="000000"/>
          <w:sz w:val="22"/>
          <w:szCs w:val="22"/>
        </w:rPr>
        <w:fldChar w:fldCharType="begin"/>
      </w:r>
      <w:r>
        <w:rPr>
          <w:rFonts w:hint="eastAsia" w:ascii="黑体" w:hAnsi="黑体" w:eastAsia="黑体" w:cs="Calibri"/>
          <w:color w:val="000000"/>
          <w:sz w:val="22"/>
          <w:szCs w:val="22"/>
        </w:rPr>
        <w:instrText xml:space="preserve"> TOC \o "1-3" \h \z \u </w:instrText>
      </w:r>
      <w:r>
        <w:rPr>
          <w:rFonts w:hint="eastAsia" w:ascii="黑体" w:hAnsi="黑体" w:eastAsia="黑体" w:cs="Calibri"/>
          <w:color w:val="000000"/>
          <w:sz w:val="22"/>
          <w:szCs w:val="22"/>
        </w:rPr>
        <w:fldChar w:fldCharType="separate"/>
      </w:r>
    </w:p>
    <w:p>
      <w:pPr>
        <w:pStyle w:val="30"/>
        <w:spacing w:line="500" w:lineRule="exact"/>
        <w:rPr>
          <w:rFonts w:ascii="黑体" w:hAnsi="黑体" w:eastAsia="黑体"/>
          <w:bCs w:val="0"/>
          <w:kern w:val="2"/>
          <w:sz w:val="22"/>
          <w:szCs w:val="22"/>
          <w:lang/>
        </w:rPr>
      </w:pPr>
      <w:r>
        <w:fldChar w:fldCharType="begin"/>
      </w:r>
      <w:r>
        <w:instrText xml:space="preserve"> HYPERLINK \l "_Toc448002982" </w:instrText>
      </w:r>
      <w:r>
        <w:fldChar w:fldCharType="separate"/>
      </w:r>
      <w:r>
        <w:rPr>
          <w:rStyle w:val="50"/>
          <w:rFonts w:hint="eastAsia" w:ascii="黑体" w:hAnsi="黑体" w:eastAsia="黑体" w:cs="Calibri"/>
          <w:kern w:val="0"/>
          <w:sz w:val="22"/>
          <w:szCs w:val="22"/>
          <w:lang/>
        </w:rPr>
        <w:t>第一章  招标公告</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_Toc448002982 \h </w:instrText>
      </w:r>
      <w:r>
        <w:rPr>
          <w:rFonts w:hint="eastAsia" w:ascii="黑体" w:hAnsi="黑体" w:eastAsia="黑体"/>
          <w:sz w:val="22"/>
          <w:szCs w:val="22"/>
          <w:lang/>
        </w:rPr>
        <w:fldChar w:fldCharType="separate"/>
      </w:r>
      <w:r>
        <w:rPr>
          <w:rFonts w:ascii="黑体" w:hAnsi="黑体" w:eastAsia="黑体"/>
          <w:sz w:val="22"/>
          <w:szCs w:val="22"/>
          <w:lang/>
        </w:rPr>
        <w:t>- 2 -</w:t>
      </w:r>
      <w:r>
        <w:rPr>
          <w:rFonts w:hint="eastAsia" w:ascii="黑体" w:hAnsi="黑体" w:eastAsia="黑体"/>
          <w:sz w:val="22"/>
          <w:szCs w:val="22"/>
          <w:lang/>
        </w:rPr>
        <w:fldChar w:fldCharType="end"/>
      </w:r>
      <w:r>
        <w:rPr>
          <w:rFonts w:ascii="黑体" w:hAnsi="黑体" w:eastAsia="黑体"/>
          <w:sz w:val="22"/>
          <w:szCs w:val="22"/>
          <w:lang/>
        </w:rPr>
        <w:fldChar w:fldCharType="end"/>
      </w:r>
    </w:p>
    <w:p>
      <w:pPr>
        <w:pStyle w:val="30"/>
        <w:spacing w:line="500" w:lineRule="exact"/>
        <w:rPr>
          <w:rFonts w:ascii="黑体" w:hAnsi="黑体" w:eastAsia="黑体"/>
          <w:bCs w:val="0"/>
          <w:kern w:val="2"/>
          <w:sz w:val="22"/>
          <w:szCs w:val="22"/>
          <w:lang/>
        </w:rPr>
      </w:pPr>
      <w:r>
        <w:fldChar w:fldCharType="begin"/>
      </w:r>
      <w:r>
        <w:instrText xml:space="preserve"> HYPERLINK \l "_Toc448002983" </w:instrText>
      </w:r>
      <w:r>
        <w:fldChar w:fldCharType="separate"/>
      </w:r>
      <w:r>
        <w:rPr>
          <w:rStyle w:val="50"/>
          <w:rFonts w:hint="eastAsia" w:ascii="黑体" w:hAnsi="黑体" w:eastAsia="黑体" w:cs="Calibri"/>
          <w:kern w:val="0"/>
          <w:sz w:val="22"/>
          <w:szCs w:val="22"/>
          <w:lang/>
        </w:rPr>
        <w:t>第二章  投标人须知</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_Toc448002983 \h </w:instrText>
      </w:r>
      <w:r>
        <w:rPr>
          <w:rFonts w:hint="eastAsia" w:ascii="黑体" w:hAnsi="黑体" w:eastAsia="黑体"/>
          <w:sz w:val="22"/>
          <w:szCs w:val="22"/>
          <w:lang/>
        </w:rPr>
        <w:fldChar w:fldCharType="separate"/>
      </w:r>
      <w:r>
        <w:rPr>
          <w:rFonts w:ascii="黑体" w:hAnsi="黑体" w:eastAsia="黑体"/>
          <w:sz w:val="22"/>
          <w:szCs w:val="22"/>
          <w:lang/>
        </w:rPr>
        <w:t>- 4 -</w:t>
      </w:r>
      <w:r>
        <w:rPr>
          <w:rFonts w:hint="eastAsia" w:ascii="黑体" w:hAnsi="黑体" w:eastAsia="黑体"/>
          <w:sz w:val="22"/>
          <w:szCs w:val="22"/>
          <w:lang/>
        </w:rPr>
        <w:fldChar w:fldCharType="end"/>
      </w:r>
      <w:r>
        <w:rPr>
          <w:rFonts w:ascii="黑体" w:hAnsi="黑体" w:eastAsia="黑体"/>
          <w:sz w:val="22"/>
          <w:szCs w:val="22"/>
          <w:lang/>
        </w:rPr>
        <w:fldChar w:fldCharType="end"/>
      </w:r>
    </w:p>
    <w:p>
      <w:pPr>
        <w:pStyle w:val="30"/>
        <w:spacing w:line="500" w:lineRule="exact"/>
        <w:rPr>
          <w:rFonts w:ascii="黑体" w:hAnsi="黑体" w:eastAsia="黑体"/>
          <w:bCs w:val="0"/>
          <w:kern w:val="2"/>
          <w:sz w:val="22"/>
          <w:szCs w:val="22"/>
          <w:lang/>
        </w:rPr>
      </w:pPr>
      <w:r>
        <w:fldChar w:fldCharType="begin"/>
      </w:r>
      <w:r>
        <w:instrText xml:space="preserve"> HYPERLINK \l "_Toc448002985" </w:instrText>
      </w:r>
      <w:r>
        <w:fldChar w:fldCharType="separate"/>
      </w:r>
      <w:r>
        <w:rPr>
          <w:rStyle w:val="50"/>
          <w:rFonts w:hint="eastAsia" w:ascii="黑体" w:hAnsi="黑体" w:eastAsia="黑体" w:cs="Calibri"/>
          <w:kern w:val="0"/>
          <w:sz w:val="22"/>
          <w:szCs w:val="22"/>
          <w:lang/>
        </w:rPr>
        <w:t>第三章  服务技术标准及要求</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_Toc448002985 \h </w:instrText>
      </w:r>
      <w:r>
        <w:rPr>
          <w:rFonts w:hint="eastAsia" w:ascii="黑体" w:hAnsi="黑体" w:eastAsia="黑体"/>
          <w:sz w:val="22"/>
          <w:szCs w:val="22"/>
          <w:lang/>
        </w:rPr>
        <w:fldChar w:fldCharType="separate"/>
      </w:r>
      <w:r>
        <w:rPr>
          <w:rFonts w:ascii="黑体" w:hAnsi="黑体" w:eastAsia="黑体"/>
          <w:sz w:val="22"/>
          <w:szCs w:val="22"/>
          <w:lang/>
        </w:rPr>
        <w:t>- 14 -</w:t>
      </w:r>
      <w:r>
        <w:rPr>
          <w:rFonts w:hint="eastAsia" w:ascii="黑体" w:hAnsi="黑体" w:eastAsia="黑体"/>
          <w:sz w:val="22"/>
          <w:szCs w:val="22"/>
          <w:lang/>
        </w:rPr>
        <w:fldChar w:fldCharType="end"/>
      </w:r>
      <w:r>
        <w:rPr>
          <w:rFonts w:ascii="黑体" w:hAnsi="黑体" w:eastAsia="黑体"/>
          <w:sz w:val="22"/>
          <w:szCs w:val="22"/>
          <w:lang/>
        </w:rPr>
        <w:fldChar w:fldCharType="end"/>
      </w:r>
    </w:p>
    <w:p>
      <w:pPr>
        <w:pStyle w:val="30"/>
        <w:spacing w:line="500" w:lineRule="exact"/>
        <w:rPr>
          <w:rFonts w:ascii="黑体" w:hAnsi="黑体" w:eastAsia="黑体"/>
          <w:bCs w:val="0"/>
          <w:kern w:val="2"/>
          <w:sz w:val="22"/>
          <w:szCs w:val="22"/>
          <w:lang/>
        </w:rPr>
      </w:pPr>
      <w:r>
        <w:fldChar w:fldCharType="begin"/>
      </w:r>
      <w:r>
        <w:instrText xml:space="preserve"> HYPERLINK \l "_Toc448002986" </w:instrText>
      </w:r>
      <w:r>
        <w:fldChar w:fldCharType="separate"/>
      </w:r>
      <w:r>
        <w:rPr>
          <w:rStyle w:val="50"/>
          <w:rFonts w:hint="eastAsia" w:ascii="黑体" w:hAnsi="黑体" w:eastAsia="黑体" w:cs="Calibri"/>
          <w:kern w:val="0"/>
          <w:sz w:val="22"/>
          <w:szCs w:val="22"/>
          <w:lang/>
        </w:rPr>
        <w:t>第四章  合同条款</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_Toc448002986 \h </w:instrText>
      </w:r>
      <w:r>
        <w:rPr>
          <w:rFonts w:hint="eastAsia" w:ascii="黑体" w:hAnsi="黑体" w:eastAsia="黑体"/>
          <w:sz w:val="22"/>
          <w:szCs w:val="22"/>
          <w:lang/>
        </w:rPr>
        <w:fldChar w:fldCharType="separate"/>
      </w:r>
      <w:r>
        <w:rPr>
          <w:rFonts w:ascii="黑体" w:hAnsi="黑体" w:eastAsia="黑体"/>
          <w:sz w:val="22"/>
          <w:szCs w:val="22"/>
          <w:lang/>
        </w:rPr>
        <w:t>- 17 -</w:t>
      </w:r>
      <w:r>
        <w:rPr>
          <w:rFonts w:hint="eastAsia" w:ascii="黑体" w:hAnsi="黑体" w:eastAsia="黑体"/>
          <w:sz w:val="22"/>
          <w:szCs w:val="22"/>
          <w:lang/>
        </w:rPr>
        <w:fldChar w:fldCharType="end"/>
      </w:r>
      <w:r>
        <w:rPr>
          <w:rFonts w:ascii="黑体" w:hAnsi="黑体" w:eastAsia="黑体"/>
          <w:sz w:val="22"/>
          <w:szCs w:val="22"/>
          <w:lang/>
        </w:rPr>
        <w:fldChar w:fldCharType="end"/>
      </w:r>
    </w:p>
    <w:p>
      <w:pPr>
        <w:pStyle w:val="30"/>
        <w:spacing w:line="500" w:lineRule="exact"/>
        <w:rPr>
          <w:rFonts w:ascii="黑体" w:hAnsi="黑体" w:eastAsia="黑体"/>
          <w:bCs w:val="0"/>
          <w:kern w:val="2"/>
          <w:sz w:val="22"/>
          <w:szCs w:val="22"/>
          <w:lang/>
        </w:rPr>
      </w:pPr>
      <w:r>
        <w:fldChar w:fldCharType="begin"/>
      </w:r>
      <w:r>
        <w:instrText xml:space="preserve"> HYPERLINK \l "_Toc448002987" </w:instrText>
      </w:r>
      <w:r>
        <w:fldChar w:fldCharType="separate"/>
      </w:r>
      <w:r>
        <w:rPr>
          <w:rStyle w:val="50"/>
          <w:rFonts w:hint="eastAsia" w:ascii="黑体" w:hAnsi="黑体" w:eastAsia="黑体" w:cs="Calibri"/>
          <w:kern w:val="0"/>
          <w:sz w:val="22"/>
          <w:szCs w:val="22"/>
          <w:lang/>
        </w:rPr>
        <w:t>第五章  评标方法及标准</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_Toc448002987 \h </w:instrText>
      </w:r>
      <w:r>
        <w:rPr>
          <w:rFonts w:hint="eastAsia" w:ascii="黑体" w:hAnsi="黑体" w:eastAsia="黑体"/>
          <w:sz w:val="22"/>
          <w:szCs w:val="22"/>
          <w:lang/>
        </w:rPr>
        <w:fldChar w:fldCharType="separate"/>
      </w:r>
      <w:r>
        <w:rPr>
          <w:rFonts w:ascii="黑体" w:hAnsi="黑体" w:eastAsia="黑体"/>
          <w:sz w:val="22"/>
          <w:szCs w:val="22"/>
          <w:lang/>
        </w:rPr>
        <w:t>- 41 -</w:t>
      </w:r>
      <w:r>
        <w:rPr>
          <w:rFonts w:hint="eastAsia" w:ascii="黑体" w:hAnsi="黑体" w:eastAsia="黑体"/>
          <w:sz w:val="22"/>
          <w:szCs w:val="22"/>
          <w:lang/>
        </w:rPr>
        <w:fldChar w:fldCharType="end"/>
      </w:r>
      <w:r>
        <w:rPr>
          <w:rFonts w:ascii="黑体" w:hAnsi="黑体" w:eastAsia="黑体"/>
          <w:sz w:val="22"/>
          <w:szCs w:val="22"/>
          <w:lang/>
        </w:rPr>
        <w:fldChar w:fldCharType="end"/>
      </w:r>
    </w:p>
    <w:p>
      <w:pPr>
        <w:pStyle w:val="30"/>
        <w:spacing w:line="500" w:lineRule="exact"/>
        <w:rPr>
          <w:rFonts w:ascii="黑体" w:hAnsi="黑体" w:eastAsia="黑体"/>
          <w:bCs w:val="0"/>
          <w:kern w:val="2"/>
          <w:sz w:val="22"/>
          <w:szCs w:val="22"/>
          <w:lang/>
        </w:rPr>
      </w:pPr>
      <w:r>
        <w:fldChar w:fldCharType="begin"/>
      </w:r>
      <w:r>
        <w:instrText xml:space="preserve"> HYPERLINK \l "_Toc448002988" </w:instrText>
      </w:r>
      <w:r>
        <w:fldChar w:fldCharType="separate"/>
      </w:r>
      <w:r>
        <w:rPr>
          <w:rStyle w:val="50"/>
          <w:rFonts w:hint="eastAsia" w:ascii="黑体" w:hAnsi="黑体" w:eastAsia="黑体" w:cs="Calibri"/>
          <w:kern w:val="0"/>
          <w:sz w:val="22"/>
          <w:szCs w:val="22"/>
          <w:lang/>
        </w:rPr>
        <w:t>第六章  投标文件格式</w:t>
      </w:r>
      <w:r>
        <w:rPr>
          <w:rFonts w:hint="eastAsia" w:ascii="黑体" w:hAnsi="黑体" w:eastAsia="黑体"/>
          <w:sz w:val="22"/>
          <w:szCs w:val="22"/>
          <w:lang/>
        </w:rPr>
        <w:tab/>
      </w:r>
      <w:r>
        <w:rPr>
          <w:rFonts w:hint="eastAsia" w:ascii="黑体" w:hAnsi="黑体" w:eastAsia="黑体"/>
          <w:sz w:val="22"/>
          <w:szCs w:val="22"/>
          <w:lang/>
        </w:rPr>
        <w:fldChar w:fldCharType="begin"/>
      </w:r>
      <w:r>
        <w:rPr>
          <w:rFonts w:hint="eastAsia" w:ascii="黑体" w:hAnsi="黑体" w:eastAsia="黑体"/>
          <w:sz w:val="22"/>
          <w:szCs w:val="22"/>
          <w:lang/>
        </w:rPr>
        <w:instrText xml:space="preserve"> PAGEREF _Toc448002988 \h </w:instrText>
      </w:r>
      <w:r>
        <w:rPr>
          <w:rFonts w:hint="eastAsia" w:ascii="黑体" w:hAnsi="黑体" w:eastAsia="黑体"/>
          <w:sz w:val="22"/>
          <w:szCs w:val="22"/>
          <w:lang/>
        </w:rPr>
        <w:fldChar w:fldCharType="separate"/>
      </w:r>
      <w:r>
        <w:rPr>
          <w:rFonts w:ascii="黑体" w:hAnsi="黑体" w:eastAsia="黑体"/>
          <w:sz w:val="22"/>
          <w:szCs w:val="22"/>
          <w:lang/>
        </w:rPr>
        <w:t>- 46 -</w:t>
      </w:r>
      <w:r>
        <w:rPr>
          <w:rFonts w:hint="eastAsia" w:ascii="黑体" w:hAnsi="黑体" w:eastAsia="黑体"/>
          <w:sz w:val="22"/>
          <w:szCs w:val="22"/>
          <w:lang/>
        </w:rPr>
        <w:fldChar w:fldCharType="end"/>
      </w:r>
      <w:r>
        <w:rPr>
          <w:rFonts w:ascii="黑体" w:hAnsi="黑体" w:eastAsia="黑体"/>
          <w:sz w:val="22"/>
          <w:szCs w:val="22"/>
          <w:lang/>
        </w:rPr>
        <w:fldChar w:fldCharType="end"/>
      </w:r>
    </w:p>
    <w:p>
      <w:pPr>
        <w:spacing w:line="500" w:lineRule="exact"/>
        <w:jc w:val="center"/>
        <w:rPr>
          <w:rFonts w:cs="Calibri"/>
          <w:color w:val="000000"/>
          <w:sz w:val="24"/>
        </w:rPr>
      </w:pPr>
      <w:r>
        <w:rPr>
          <w:rFonts w:hint="eastAsia" w:ascii="黑体" w:hAnsi="黑体" w:eastAsia="黑体" w:cs="Calibri"/>
          <w:color w:val="000000"/>
          <w:sz w:val="22"/>
        </w:rPr>
        <w:fldChar w:fldCharType="end"/>
      </w:r>
    </w:p>
    <w:p>
      <w:pPr>
        <w:spacing w:line="500" w:lineRule="exact"/>
        <w:ind w:right="480"/>
        <w:rPr>
          <w:rFonts w:cs="Calibri"/>
          <w:color w:val="000000"/>
          <w:sz w:val="24"/>
        </w:rPr>
      </w:pPr>
    </w:p>
    <w:p>
      <w:pPr>
        <w:pStyle w:val="2"/>
        <w:spacing w:before="0" w:after="0" w:line="400" w:lineRule="exact"/>
        <w:jc w:val="center"/>
        <w:rPr>
          <w:rFonts w:ascii="Calibri" w:eastAsia="黑体" w:cs="Calibri"/>
          <w:kern w:val="0"/>
          <w:sz w:val="32"/>
        </w:rPr>
      </w:pPr>
      <w:r>
        <w:rPr>
          <w:rFonts w:ascii="Calibri" w:hAnsi="Calibri" w:cs="Calibri"/>
          <w:color w:val="000000"/>
        </w:rPr>
        <w:br w:type="page"/>
      </w:r>
      <w:bookmarkStart w:id="13" w:name="_Toc24784"/>
      <w:bookmarkStart w:id="14" w:name="_Toc7641"/>
      <w:bookmarkStart w:id="15" w:name="_Toc6832"/>
      <w:bookmarkStart w:id="16" w:name="_Toc8110"/>
      <w:bookmarkStart w:id="17" w:name="_Toc6581"/>
      <w:bookmarkStart w:id="18" w:name="_Toc22293"/>
      <w:bookmarkStart w:id="19" w:name="_Toc24932"/>
      <w:bookmarkStart w:id="20" w:name="_Toc14628"/>
      <w:bookmarkStart w:id="21" w:name="_Toc18642"/>
      <w:bookmarkStart w:id="22" w:name="_Toc448002982"/>
      <w:bookmarkStart w:id="23" w:name="_Toc248766631"/>
      <w:bookmarkStart w:id="24" w:name="_Toc249322950"/>
      <w:r>
        <w:rPr>
          <w:rFonts w:ascii="Calibri" w:eastAsia="黑体" w:cs="Calibri"/>
          <w:kern w:val="0"/>
          <w:sz w:val="32"/>
        </w:rPr>
        <w:t>第一章</w:t>
      </w:r>
      <w:r>
        <w:rPr>
          <w:rFonts w:ascii="Calibri" w:hAnsi="Calibri" w:eastAsia="黑体" w:cs="Calibri"/>
          <w:kern w:val="0"/>
          <w:sz w:val="32"/>
        </w:rPr>
        <w:t xml:space="preserve"> </w:t>
      </w:r>
      <w:bookmarkEnd w:id="13"/>
      <w:bookmarkEnd w:id="14"/>
      <w:bookmarkEnd w:id="15"/>
      <w:bookmarkEnd w:id="16"/>
      <w:bookmarkEnd w:id="17"/>
      <w:bookmarkEnd w:id="18"/>
      <w:bookmarkEnd w:id="19"/>
      <w:bookmarkEnd w:id="20"/>
      <w:bookmarkEnd w:id="21"/>
      <w:r>
        <w:rPr>
          <w:rFonts w:hint="eastAsia" w:ascii="Calibri" w:eastAsia="黑体" w:cs="Calibri"/>
          <w:kern w:val="0"/>
          <w:sz w:val="32"/>
        </w:rPr>
        <w:t>招标公告</w:t>
      </w:r>
      <w:bookmarkEnd w:id="22"/>
    </w:p>
    <w:p>
      <w:pPr>
        <w:widowControl/>
        <w:snapToGrid w:val="0"/>
        <w:spacing w:line="400" w:lineRule="exact"/>
        <w:jc w:val="left"/>
        <w:rPr>
          <w:rFonts w:ascii="Arial" w:hAnsi="Arial" w:cs="Arial"/>
          <w:b/>
          <w:bCs/>
          <w:kern w:val="0"/>
          <w:sz w:val="22"/>
        </w:rPr>
      </w:pPr>
      <w:bookmarkStart w:id="119" w:name="_GoBack"/>
      <w:r>
        <w:rPr>
          <w:rFonts w:hint="eastAsia" w:ascii="Arial" w:hAnsi="Arial" w:cs="Arial"/>
          <w:b/>
          <w:bCs/>
          <w:kern w:val="0"/>
          <w:sz w:val="22"/>
        </w:rPr>
        <w:t>一、招标范围及内容</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（1）浙江省</w:t>
      </w:r>
      <w:r>
        <w:rPr>
          <w:rFonts w:ascii="宋体" w:hAnsi="宋体" w:cs="Arial"/>
          <w:kern w:val="0"/>
          <w:sz w:val="22"/>
        </w:rPr>
        <w:t>机场集团</w:t>
      </w:r>
      <w:r>
        <w:rPr>
          <w:rFonts w:hint="eastAsia" w:ascii="宋体" w:hAnsi="宋体" w:cs="Arial"/>
          <w:kern w:val="0"/>
          <w:sz w:val="22"/>
        </w:rPr>
        <w:t>有限</w:t>
      </w:r>
      <w:r>
        <w:rPr>
          <w:rFonts w:ascii="宋体" w:hAnsi="宋体" w:cs="Arial"/>
          <w:kern w:val="0"/>
          <w:sz w:val="22"/>
        </w:rPr>
        <w:t>公司</w:t>
      </w:r>
      <w:r>
        <w:rPr>
          <w:rFonts w:hint="eastAsia" w:ascii="等线" w:hAnsi="等线" w:cs="Arial"/>
          <w:kern w:val="0"/>
          <w:sz w:val="22"/>
        </w:rPr>
        <w:t>就招标</w:t>
      </w:r>
      <w:r>
        <w:rPr>
          <w:rFonts w:ascii="等线" w:hAnsi="等线" w:cs="Arial"/>
          <w:kern w:val="0"/>
          <w:sz w:val="22"/>
        </w:rPr>
        <w:t>人及下属杭州萧山国际机场有限公司、</w:t>
      </w:r>
      <w:r>
        <w:rPr>
          <w:rFonts w:hint="eastAsia" w:ascii="等线" w:hAnsi="等线" w:cs="Arial"/>
          <w:kern w:val="0"/>
          <w:sz w:val="22"/>
        </w:rPr>
        <w:t>浙江</w:t>
      </w:r>
      <w:r>
        <w:rPr>
          <w:rFonts w:ascii="等线" w:hAnsi="等线" w:cs="Arial"/>
          <w:kern w:val="0"/>
          <w:sz w:val="22"/>
        </w:rPr>
        <w:t>省机场集团</w:t>
      </w:r>
      <w:r>
        <w:rPr>
          <w:rFonts w:hint="eastAsia" w:ascii="等线" w:hAnsi="等线" w:cs="Arial"/>
          <w:kern w:val="0"/>
          <w:sz w:val="22"/>
        </w:rPr>
        <w:t>保安</w:t>
      </w:r>
      <w:r>
        <w:rPr>
          <w:rFonts w:ascii="等线" w:hAnsi="等线" w:cs="Arial"/>
          <w:kern w:val="0"/>
          <w:sz w:val="22"/>
        </w:rPr>
        <w:t>服务有限</w:t>
      </w:r>
      <w:r>
        <w:rPr>
          <w:rFonts w:hint="eastAsia" w:ascii="等线" w:hAnsi="等线" w:cs="Arial"/>
          <w:kern w:val="0"/>
          <w:sz w:val="22"/>
        </w:rPr>
        <w:t>公司</w:t>
      </w:r>
      <w:r>
        <w:rPr>
          <w:rFonts w:ascii="等线" w:hAnsi="等线" w:cs="Arial"/>
          <w:kern w:val="0"/>
          <w:sz w:val="22"/>
        </w:rPr>
        <w:t>、</w:t>
      </w:r>
      <w:r>
        <w:rPr>
          <w:rFonts w:hint="eastAsia" w:ascii="等线" w:hAnsi="等线" w:cs="Arial"/>
          <w:kern w:val="0"/>
          <w:sz w:val="22"/>
        </w:rPr>
        <w:t>浙江</w:t>
      </w:r>
      <w:r>
        <w:rPr>
          <w:rFonts w:ascii="等线" w:hAnsi="等线" w:cs="Arial"/>
          <w:kern w:val="0"/>
          <w:sz w:val="22"/>
        </w:rPr>
        <w:t>空港培训</w:t>
      </w:r>
      <w:r>
        <w:rPr>
          <w:rFonts w:hint="eastAsia" w:ascii="等线" w:hAnsi="等线" w:cs="Arial"/>
          <w:kern w:val="0"/>
          <w:sz w:val="22"/>
        </w:rPr>
        <w:t>服务</w:t>
      </w:r>
      <w:r>
        <w:rPr>
          <w:rFonts w:ascii="等线" w:hAnsi="等线" w:cs="Arial"/>
          <w:kern w:val="0"/>
          <w:sz w:val="22"/>
        </w:rPr>
        <w:t>咨询有限公司、</w:t>
      </w:r>
      <w:r>
        <w:rPr>
          <w:rFonts w:hint="eastAsia" w:ascii="等线" w:hAnsi="等线" w:cs="Arial"/>
          <w:kern w:val="0"/>
          <w:sz w:val="22"/>
        </w:rPr>
        <w:t>浙江省</w:t>
      </w:r>
      <w:r>
        <w:rPr>
          <w:rFonts w:ascii="等线" w:hAnsi="等线" w:cs="Arial"/>
          <w:kern w:val="0"/>
          <w:sz w:val="22"/>
        </w:rPr>
        <w:t>通用航空</w:t>
      </w:r>
      <w:r>
        <w:rPr>
          <w:rFonts w:hint="eastAsia" w:ascii="等线" w:hAnsi="等线" w:cs="Arial"/>
          <w:kern w:val="0"/>
          <w:sz w:val="22"/>
        </w:rPr>
        <w:t>产业</w:t>
      </w:r>
      <w:r>
        <w:rPr>
          <w:rFonts w:ascii="等线" w:hAnsi="等线" w:cs="Arial"/>
          <w:kern w:val="0"/>
          <w:sz w:val="22"/>
        </w:rPr>
        <w:t>发展有限</w:t>
      </w:r>
      <w:r>
        <w:rPr>
          <w:rFonts w:hint="eastAsia" w:ascii="等线" w:hAnsi="等线" w:cs="Arial"/>
          <w:kern w:val="0"/>
          <w:sz w:val="22"/>
        </w:rPr>
        <w:t>公司</w:t>
      </w:r>
      <w:r>
        <w:rPr>
          <w:rFonts w:ascii="等线" w:hAnsi="等线" w:cs="Arial"/>
          <w:kern w:val="0"/>
          <w:sz w:val="22"/>
        </w:rPr>
        <w:t>、</w:t>
      </w:r>
      <w:r>
        <w:rPr>
          <w:rFonts w:hint="eastAsia" w:ascii="等线" w:hAnsi="等线"/>
          <w:kern w:val="0"/>
          <w:sz w:val="22"/>
        </w:rPr>
        <w:t>浙江</w:t>
      </w:r>
      <w:r>
        <w:rPr>
          <w:rFonts w:ascii="等线" w:hAnsi="等线"/>
          <w:kern w:val="0"/>
          <w:sz w:val="22"/>
        </w:rPr>
        <w:t>省空港融资租赁有限公司</w:t>
      </w:r>
      <w:r>
        <w:rPr>
          <w:rFonts w:hint="eastAsia" w:ascii="宋体" w:hAnsi="宋体" w:cs="Arial"/>
          <w:kern w:val="0"/>
          <w:sz w:val="22"/>
        </w:rPr>
        <w:t>（下称“集团公司”或 “招标人”）20</w:t>
      </w:r>
      <w:r>
        <w:rPr>
          <w:rFonts w:ascii="宋体" w:hAnsi="宋体" w:cs="Arial"/>
          <w:kern w:val="0"/>
          <w:sz w:val="22"/>
        </w:rPr>
        <w:t>20</w:t>
      </w:r>
      <w:r>
        <w:rPr>
          <w:rFonts w:hint="eastAsia" w:ascii="宋体" w:hAnsi="宋体" w:cs="Arial"/>
          <w:kern w:val="0"/>
          <w:sz w:val="22"/>
        </w:rPr>
        <w:t>-20</w:t>
      </w:r>
      <w:r>
        <w:rPr>
          <w:rFonts w:ascii="宋体" w:hAnsi="宋体" w:cs="Arial"/>
          <w:kern w:val="0"/>
          <w:sz w:val="22"/>
        </w:rPr>
        <w:t>22</w:t>
      </w:r>
      <w:r>
        <w:rPr>
          <w:rFonts w:hint="eastAsia" w:ascii="宋体" w:hAnsi="宋体" w:cs="Arial"/>
          <w:kern w:val="0"/>
          <w:sz w:val="22"/>
        </w:rPr>
        <w:t>年度招标代理机构选聘项目（下称“项目”）进行公开招标，符合资格条件的投标人可按照本招标文件参与投标。</w:t>
      </w:r>
      <w:r>
        <w:rPr>
          <w:rFonts w:hint="eastAsia" w:ascii="宋体" w:hAnsi="宋体" w:cs="Calibri"/>
          <w:snapToGrid w:val="0"/>
          <w:kern w:val="0"/>
          <w:sz w:val="22"/>
        </w:rPr>
        <w:t>确定中标人后，各单位分别与中标人签署合同</w:t>
      </w:r>
      <w:r>
        <w:rPr>
          <w:rFonts w:hint="eastAsia" w:ascii="宋体" w:hAnsi="宋体" w:cs="Arial"/>
          <w:kern w:val="0"/>
          <w:sz w:val="22"/>
        </w:rPr>
        <w:t>。</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（2）项目概况：</w:t>
      </w:r>
    </w:p>
    <w:p>
      <w:pPr>
        <w:widowControl/>
        <w:adjustRightInd w:val="0"/>
        <w:snapToGrid w:val="0"/>
        <w:spacing w:line="400" w:lineRule="exact"/>
        <w:ind w:firstLine="440" w:firstLineChars="200"/>
        <w:rPr>
          <w:rFonts w:hint="eastAsia" w:ascii="宋体" w:hAnsi="宋体" w:cs="Arial"/>
          <w:kern w:val="0"/>
          <w:sz w:val="22"/>
        </w:rPr>
      </w:pPr>
      <w:r>
        <w:rPr>
          <w:rFonts w:hint="eastAsia" w:ascii="宋体" w:hAnsi="宋体" w:cs="Arial"/>
          <w:kern w:val="0"/>
          <w:sz w:val="22"/>
        </w:rPr>
        <w:t>为满足招标人重大项目招标工作需要，根据集团公司相关管理规定，对招标代理机构进行选聘。本项目划分为工程建设类项目和设备、货物及服务类项目两个标段，分别选聘四家招标代理机构组建招标代理机构库，服务期三年。</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服务期内，招标人将根据实际工作需要委托招标代理机构库中的其中一家，负责代理招标人指定项目的招标事宜。</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（3）标段划分：</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标段一：工程建设项目招标代理机构选聘项目；</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标段二：设备、货物及服务招标代理机构选聘项目；</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投标人可以根据自身情况选择任一标段或选择全部标段进行投标。</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（4）服务期：</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20</w:t>
      </w:r>
      <w:r>
        <w:rPr>
          <w:rFonts w:ascii="宋体" w:hAnsi="宋体" w:cs="Arial"/>
          <w:kern w:val="0"/>
          <w:sz w:val="22"/>
        </w:rPr>
        <w:t>20</w:t>
      </w:r>
      <w:r>
        <w:rPr>
          <w:rFonts w:hint="eastAsia" w:ascii="宋体" w:hAnsi="宋体" w:cs="Arial"/>
          <w:kern w:val="0"/>
          <w:sz w:val="22"/>
        </w:rPr>
        <w:t>年1月1日-20</w:t>
      </w:r>
      <w:r>
        <w:rPr>
          <w:rFonts w:ascii="宋体" w:hAnsi="宋体" w:cs="Arial"/>
          <w:kern w:val="0"/>
          <w:sz w:val="22"/>
        </w:rPr>
        <w:t>22</w:t>
      </w:r>
      <w:r>
        <w:rPr>
          <w:rFonts w:hint="eastAsia" w:ascii="宋体" w:hAnsi="宋体" w:cs="Arial"/>
          <w:kern w:val="0"/>
          <w:sz w:val="22"/>
        </w:rPr>
        <w:t>年12月31日</w:t>
      </w:r>
    </w:p>
    <w:p>
      <w:pPr>
        <w:widowControl/>
        <w:snapToGrid w:val="0"/>
        <w:spacing w:line="40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（1）</w:t>
      </w:r>
      <w:r>
        <w:rPr>
          <w:rFonts w:ascii="宋体" w:hAnsi="宋体" w:cs="Arial"/>
          <w:kern w:val="0"/>
          <w:sz w:val="22"/>
        </w:rPr>
        <w:t>具有独立法人资格，持有有效营业执照</w:t>
      </w:r>
      <w:r>
        <w:rPr>
          <w:rFonts w:hint="eastAsia" w:ascii="宋体" w:hAnsi="宋体" w:cs="Arial"/>
          <w:kern w:val="0"/>
          <w:sz w:val="22"/>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不予退还其投标保证金。</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（3）近年（201</w:t>
      </w:r>
      <w:r>
        <w:rPr>
          <w:rFonts w:ascii="宋体" w:hAnsi="宋体" w:cs="Arial"/>
          <w:kern w:val="0"/>
          <w:sz w:val="22"/>
        </w:rPr>
        <w:t>6</w:t>
      </w:r>
      <w:r>
        <w:rPr>
          <w:rFonts w:hint="eastAsia" w:ascii="宋体" w:hAnsi="宋体" w:cs="Arial"/>
          <w:kern w:val="0"/>
          <w:sz w:val="22"/>
        </w:rPr>
        <w:t>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不予退还其投标保证金。</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4）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不予退还其投标保证金。</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宋体"/>
          <w:kern w:val="0"/>
          <w:sz w:val="22"/>
        </w:rPr>
        <w:t>（5）投标人</w:t>
      </w:r>
      <w:r>
        <w:rPr>
          <w:rFonts w:hint="eastAsia" w:ascii="宋体" w:hAnsi="宋体" w:cs="Arial"/>
          <w:kern w:val="0"/>
          <w:sz w:val="22"/>
        </w:rPr>
        <w:t>拟派项目负责人及项目团队成员必须是投标人本单位在册职工（需提供近一年的社会保险经办机构出具的在本单位交纳社会保险证明复印件）；</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（6）资质要求</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标段一：具有住房和城乡建设部颁发的</w:t>
      </w:r>
      <w:r>
        <w:rPr>
          <w:rFonts w:ascii="宋体" w:hAnsi="宋体" w:cs="Arial"/>
          <w:kern w:val="0"/>
          <w:sz w:val="22"/>
        </w:rPr>
        <w:t>工程造价咨询企业</w:t>
      </w:r>
      <w:r>
        <w:rPr>
          <w:rFonts w:hint="eastAsia" w:ascii="宋体" w:hAnsi="宋体" w:cs="Arial"/>
          <w:kern w:val="0"/>
          <w:sz w:val="22"/>
        </w:rPr>
        <w:t>甲级</w:t>
      </w:r>
      <w:r>
        <w:rPr>
          <w:rFonts w:ascii="宋体" w:hAnsi="宋体" w:cs="Arial"/>
          <w:kern w:val="0"/>
          <w:sz w:val="22"/>
        </w:rPr>
        <w:t>，且在有效期内</w:t>
      </w:r>
      <w:r>
        <w:rPr>
          <w:rFonts w:hint="eastAsia" w:ascii="宋体" w:hAnsi="宋体" w:cs="Arial"/>
          <w:kern w:val="0"/>
          <w:sz w:val="22"/>
        </w:rPr>
        <w:t>；</w:t>
      </w:r>
      <w:r>
        <w:rPr>
          <w:rFonts w:ascii="宋体" w:hAnsi="宋体" w:cs="Arial"/>
          <w:kern w:val="0"/>
          <w:sz w:val="22"/>
        </w:rPr>
        <w:t xml:space="preserve"> </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标段二：无。</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（7）本次招标不接受联合体投标。</w:t>
      </w:r>
    </w:p>
    <w:p>
      <w:pPr>
        <w:widowControl/>
        <w:snapToGrid w:val="0"/>
        <w:spacing w:line="40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400" w:lineRule="exact"/>
        <w:ind w:firstLine="440" w:firstLineChars="200"/>
      </w:pPr>
      <w:r>
        <w:rPr>
          <w:rFonts w:hint="eastAsia" w:ascii="宋体" w:hAnsi="宋体" w:cs="Arial"/>
          <w:kern w:val="0"/>
          <w:sz w:val="22"/>
        </w:rPr>
        <w:t>凡符合资格条件并有投标意向的潜在投标人，请通过浙江省</w:t>
      </w:r>
      <w:r>
        <w:rPr>
          <w:rFonts w:ascii="宋体" w:hAnsi="宋体" w:cs="Arial"/>
          <w:kern w:val="0"/>
          <w:sz w:val="22"/>
        </w:rPr>
        <w:t>机场集团有限公司</w:t>
      </w:r>
      <w:r>
        <w:rPr>
          <w:rFonts w:hint="eastAsia" w:ascii="宋体" w:hAnsi="宋体" w:cs="Arial"/>
          <w:kern w:val="0"/>
          <w:sz w:val="22"/>
        </w:rPr>
        <w:t>主页</w:t>
      </w:r>
      <w:r>
        <w:rPr>
          <w:rFonts w:ascii="宋体" w:hAnsi="宋体" w:cs="Arial"/>
          <w:kern w:val="0"/>
          <w:sz w:val="22"/>
        </w:rPr>
        <w:fldChar w:fldCharType="begin"/>
      </w:r>
      <w:r>
        <w:rPr>
          <w:rFonts w:ascii="宋体" w:hAnsi="宋体" w:cs="Arial"/>
          <w:kern w:val="0"/>
          <w:sz w:val="22"/>
        </w:rPr>
        <w:instrText xml:space="preserve"> HYPERLINK "http://www.zjsairport.com" </w:instrText>
      </w:r>
      <w:r>
        <w:rPr>
          <w:rFonts w:ascii="宋体" w:hAnsi="宋体" w:cs="Arial"/>
          <w:kern w:val="0"/>
          <w:sz w:val="22"/>
        </w:rPr>
        <w:fldChar w:fldCharType="separate"/>
      </w:r>
      <w:r>
        <w:rPr>
          <w:rFonts w:ascii="宋体" w:hAnsi="宋体"/>
        </w:rPr>
        <w:t>http://www.zjsairport.com</w:t>
      </w:r>
      <w:r>
        <w:rPr>
          <w:rFonts w:ascii="宋体" w:hAnsi="宋体"/>
        </w:rPr>
        <w:fldChar w:fldCharType="end"/>
      </w:r>
      <w:r>
        <w:rPr>
          <w:rFonts w:hint="eastAsia" w:ascii="宋体" w:hAnsi="宋体" w:cs="Arial"/>
          <w:kern w:val="0"/>
          <w:sz w:val="22"/>
        </w:rPr>
        <w:t>自行下载招标文件。</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40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（1）投标文件递交截止时间： 2019年</w:t>
      </w:r>
      <w:r>
        <w:rPr>
          <w:rFonts w:hint="eastAsia" w:ascii="宋体" w:hAnsi="宋体" w:cs="Arial"/>
          <w:kern w:val="0"/>
          <w:sz w:val="22"/>
          <w:lang w:val="en-US" w:eastAsia="zh-CN"/>
        </w:rPr>
        <w:t>12</w:t>
      </w:r>
      <w:r>
        <w:rPr>
          <w:rFonts w:hint="eastAsia" w:ascii="宋体" w:hAnsi="宋体" w:cs="Arial"/>
          <w:kern w:val="0"/>
          <w:sz w:val="22"/>
        </w:rPr>
        <w:t>月</w:t>
      </w:r>
      <w:r>
        <w:rPr>
          <w:rFonts w:hint="eastAsia" w:ascii="宋体" w:hAnsi="宋体" w:cs="Arial"/>
          <w:kern w:val="0"/>
          <w:sz w:val="22"/>
          <w:lang w:val="en-US" w:eastAsia="zh-CN"/>
        </w:rPr>
        <w:t>11</w:t>
      </w:r>
      <w:r>
        <w:rPr>
          <w:rFonts w:hint="eastAsia" w:ascii="宋体" w:hAnsi="宋体" w:cs="Arial"/>
          <w:kern w:val="0"/>
          <w:sz w:val="22"/>
        </w:rPr>
        <w:t>日上午9时00分（北京时间）。投标文件在封口处加盖公章，并派专人于2019年</w:t>
      </w:r>
      <w:r>
        <w:rPr>
          <w:rFonts w:hint="eastAsia" w:ascii="宋体" w:hAnsi="宋体" w:cs="Arial"/>
          <w:kern w:val="0"/>
          <w:sz w:val="22"/>
          <w:lang w:val="en-US" w:eastAsia="zh-CN"/>
        </w:rPr>
        <w:t>12</w:t>
      </w:r>
      <w:r>
        <w:rPr>
          <w:rFonts w:hint="eastAsia" w:ascii="宋体" w:hAnsi="宋体" w:cs="Arial"/>
          <w:kern w:val="0"/>
          <w:sz w:val="22"/>
        </w:rPr>
        <w:t>月</w:t>
      </w:r>
      <w:r>
        <w:rPr>
          <w:rFonts w:hint="eastAsia" w:ascii="宋体" w:hAnsi="宋体" w:cs="Arial"/>
          <w:kern w:val="0"/>
          <w:sz w:val="22"/>
          <w:lang w:val="en-US" w:eastAsia="zh-CN"/>
        </w:rPr>
        <w:t>11</w:t>
      </w:r>
      <w:r>
        <w:rPr>
          <w:rFonts w:hint="eastAsia" w:ascii="宋体" w:hAnsi="宋体" w:cs="Arial"/>
          <w:kern w:val="0"/>
          <w:sz w:val="22"/>
        </w:rPr>
        <w:t>日上午9时00分（北京时间）前送至杭州</w:t>
      </w:r>
      <w:r>
        <w:rPr>
          <w:rFonts w:ascii="宋体" w:hAnsi="宋体" w:cs="Arial"/>
          <w:kern w:val="0"/>
          <w:sz w:val="22"/>
        </w:rPr>
        <w:t>萧山国际机场</w:t>
      </w:r>
      <w:r>
        <w:rPr>
          <w:rFonts w:hint="eastAsia" w:ascii="宋体" w:hAnsi="宋体" w:cs="Arial"/>
          <w:kern w:val="0"/>
          <w:sz w:val="22"/>
        </w:rPr>
        <w:t>翔越路综合服务楼园区招标中心，逾期无效；若采用投递方式的，请于</w:t>
      </w:r>
      <w:r>
        <w:rPr>
          <w:rFonts w:hint="eastAsia" w:ascii="宋体" w:hAnsi="宋体" w:cs="Arial"/>
          <w:kern w:val="0"/>
          <w:sz w:val="22"/>
        </w:rPr>
        <w:t xml:space="preserve"> 2019年</w:t>
      </w:r>
      <w:r>
        <w:rPr>
          <w:rFonts w:hint="eastAsia" w:ascii="宋体" w:hAnsi="宋体" w:cs="Arial"/>
          <w:kern w:val="0"/>
          <w:sz w:val="22"/>
          <w:lang w:val="en-US" w:eastAsia="zh-CN"/>
        </w:rPr>
        <w:t>12</w:t>
      </w:r>
      <w:r>
        <w:rPr>
          <w:rFonts w:hint="eastAsia" w:ascii="宋体" w:hAnsi="宋体" w:cs="Arial"/>
          <w:kern w:val="0"/>
          <w:sz w:val="22"/>
        </w:rPr>
        <w:t>月</w:t>
      </w:r>
      <w:r>
        <w:rPr>
          <w:rFonts w:hint="eastAsia" w:ascii="宋体" w:hAnsi="宋体" w:cs="Arial"/>
          <w:kern w:val="0"/>
          <w:sz w:val="22"/>
          <w:lang w:val="en-US" w:eastAsia="zh-CN"/>
        </w:rPr>
        <w:t>11</w:t>
      </w:r>
      <w:r>
        <w:rPr>
          <w:rFonts w:hint="eastAsia" w:ascii="宋体" w:hAnsi="宋体" w:cs="Arial"/>
          <w:kern w:val="0"/>
          <w:sz w:val="22"/>
        </w:rPr>
        <w:t>日上午9时00分</w:t>
      </w:r>
      <w:r>
        <w:rPr>
          <w:rFonts w:hint="eastAsia" w:ascii="宋体" w:hAnsi="宋体" w:cs="Arial"/>
          <w:kern w:val="0"/>
          <w:sz w:val="22"/>
        </w:rPr>
        <w:t>（北京时间）前投递至杭州萧山</w:t>
      </w:r>
      <w:r>
        <w:rPr>
          <w:rFonts w:ascii="宋体" w:hAnsi="宋体" w:cs="Arial"/>
          <w:kern w:val="0"/>
          <w:sz w:val="22"/>
        </w:rPr>
        <w:t>国际机场</w:t>
      </w:r>
      <w:r>
        <w:rPr>
          <w:rFonts w:hint="eastAsia" w:ascii="宋体" w:hAnsi="宋体" w:cs="Arial"/>
          <w:kern w:val="0"/>
          <w:sz w:val="22"/>
        </w:rPr>
        <w:t>综合楼213室，逾期无效。</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（2）逾期送达或者未送达指定地点的投标文件，招标人不予受理。</w:t>
      </w:r>
    </w:p>
    <w:p>
      <w:pPr>
        <w:widowControl/>
        <w:snapToGrid w:val="0"/>
        <w:spacing w:line="340" w:lineRule="exact"/>
        <w:jc w:val="left"/>
        <w:rPr>
          <w:rFonts w:ascii="等线" w:hAnsi="等线" w:cs="Arial"/>
          <w:b/>
          <w:bCs/>
          <w:kern w:val="0"/>
          <w:sz w:val="22"/>
        </w:rPr>
      </w:pPr>
      <w:r>
        <w:rPr>
          <w:rFonts w:hint="eastAsia" w:ascii="等线" w:hAnsi="等线" w:cs="Arial"/>
          <w:b/>
          <w:bCs/>
          <w:kern w:val="0"/>
          <w:sz w:val="22"/>
        </w:rPr>
        <w:t>五、发布公告的媒介</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中国采购与招标网和浙江省机场集团有限公司主页</w:t>
      </w:r>
      <w:r>
        <w:rPr>
          <w:rFonts w:hint="eastAsia" w:ascii="宋体" w:hAnsi="宋体" w:cs="Arial"/>
          <w:kern w:val="0"/>
          <w:sz w:val="22"/>
        </w:rPr>
        <w:t>上发布</w:t>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中国采购与招标网</w:t>
      </w:r>
      <w:r>
        <w:rPr>
          <w:rFonts w:ascii="宋体" w:hAnsi="宋体" w:cs="Arial"/>
          <w:kern w:val="0"/>
          <w:sz w:val="22"/>
        </w:rPr>
        <w:t xml:space="preserve">  </w:t>
      </w:r>
      <w:r>
        <w:rPr>
          <w:rFonts w:ascii="宋体" w:hAnsi="宋体" w:cs="Arial"/>
          <w:kern w:val="0"/>
          <w:sz w:val="22"/>
        </w:rPr>
        <w:fldChar w:fldCharType="begin"/>
      </w:r>
      <w:r>
        <w:rPr>
          <w:rFonts w:ascii="宋体" w:hAnsi="宋体" w:cs="Arial"/>
          <w:kern w:val="0"/>
          <w:sz w:val="22"/>
        </w:rPr>
        <w:instrText xml:space="preserve"> HYPERLINK "http://www.chinabidding.com.cn" </w:instrText>
      </w:r>
      <w:r>
        <w:rPr>
          <w:rFonts w:ascii="宋体" w:hAnsi="宋体" w:cs="Arial"/>
          <w:kern w:val="0"/>
          <w:sz w:val="22"/>
        </w:rPr>
        <w:fldChar w:fldCharType="separate"/>
      </w:r>
      <w:r>
        <w:rPr>
          <w:rFonts w:ascii="宋体" w:hAnsi="宋体" w:cs="Arial"/>
          <w:kern w:val="0"/>
          <w:sz w:val="22"/>
        </w:rPr>
        <w:t>http://www.chinabidding.com.cn</w:t>
      </w:r>
      <w:r>
        <w:rPr>
          <w:rFonts w:ascii="宋体" w:hAnsi="宋体" w:cs="Arial"/>
          <w:kern w:val="0"/>
          <w:sz w:val="22"/>
        </w:rPr>
        <w:fldChar w:fldCharType="end"/>
      </w:r>
    </w:p>
    <w:p>
      <w:pPr>
        <w:widowControl/>
        <w:adjustRightInd w:val="0"/>
        <w:snapToGrid w:val="0"/>
        <w:spacing w:line="400" w:lineRule="exact"/>
        <w:ind w:firstLine="440" w:firstLineChars="200"/>
        <w:rPr>
          <w:rFonts w:ascii="宋体" w:hAnsi="宋体" w:cs="Arial"/>
          <w:kern w:val="0"/>
          <w:sz w:val="22"/>
        </w:rPr>
      </w:pPr>
      <w:r>
        <w:rPr>
          <w:rFonts w:hint="eastAsia" w:ascii="宋体" w:hAnsi="宋体" w:cs="Arial"/>
          <w:kern w:val="0"/>
          <w:sz w:val="22"/>
        </w:rPr>
        <w:t>浙江省机场集团有限公司主页</w:t>
      </w:r>
      <w:r>
        <w:rPr>
          <w:rFonts w:ascii="宋体" w:hAnsi="宋体" w:cs="Arial"/>
          <w:kern w:val="0"/>
          <w:sz w:val="22"/>
        </w:rPr>
        <w:fldChar w:fldCharType="begin"/>
      </w:r>
      <w:r>
        <w:rPr>
          <w:rFonts w:ascii="宋体" w:hAnsi="宋体" w:cs="Arial"/>
          <w:kern w:val="0"/>
          <w:sz w:val="22"/>
        </w:rPr>
        <w:instrText xml:space="preserve"> HYPERLINK "http://www.zjsairport.com" </w:instrText>
      </w:r>
      <w:r>
        <w:rPr>
          <w:rFonts w:ascii="宋体" w:hAnsi="宋体" w:cs="Arial"/>
          <w:kern w:val="0"/>
          <w:sz w:val="22"/>
        </w:rPr>
        <w:fldChar w:fldCharType="separate"/>
      </w:r>
      <w:r>
        <w:rPr>
          <w:rFonts w:ascii="宋体" w:hAnsi="宋体"/>
        </w:rPr>
        <w:t>http://www.zjsairport.com</w:t>
      </w:r>
      <w:r>
        <w:rPr>
          <w:rFonts w:ascii="宋体" w:hAnsi="宋体"/>
        </w:rPr>
        <w:fldChar w:fldCharType="end"/>
      </w:r>
    </w:p>
    <w:p>
      <w:pPr>
        <w:widowControl/>
        <w:adjustRightInd w:val="0"/>
        <w:snapToGrid w:val="0"/>
        <w:spacing w:line="340" w:lineRule="exact"/>
        <w:ind w:firstLine="440" w:firstLineChars="200"/>
        <w:rPr>
          <w:rFonts w:hint="eastAsia" w:ascii="等线" w:hAnsi="等线" w:cs="Arial"/>
          <w:kern w:val="0"/>
          <w:sz w:val="22"/>
        </w:rPr>
      </w:pPr>
    </w:p>
    <w:p>
      <w:pPr>
        <w:widowControl/>
        <w:snapToGrid w:val="0"/>
        <w:spacing w:line="340" w:lineRule="exact"/>
        <w:jc w:val="left"/>
        <w:rPr>
          <w:rFonts w:ascii="等线" w:hAnsi="等线" w:cs="Arial"/>
          <w:b/>
          <w:bCs/>
          <w:kern w:val="0"/>
          <w:sz w:val="22"/>
        </w:rPr>
      </w:pPr>
      <w:r>
        <w:rPr>
          <w:rFonts w:hint="eastAsia" w:ascii="等线" w:hAnsi="等线" w:cs="Arial"/>
          <w:b/>
          <w:bCs/>
          <w:kern w:val="0"/>
          <w:sz w:val="22"/>
        </w:rPr>
        <w:t>六、联系方式</w:t>
      </w:r>
    </w:p>
    <w:p>
      <w:pPr>
        <w:widowControl/>
        <w:adjustRightInd w:val="0"/>
        <w:snapToGrid w:val="0"/>
        <w:spacing w:line="340" w:lineRule="exact"/>
        <w:ind w:firstLine="440" w:firstLineChars="200"/>
        <w:rPr>
          <w:rFonts w:ascii="等线" w:hAnsi="等线"/>
          <w:sz w:val="22"/>
        </w:rPr>
      </w:pPr>
      <w:r>
        <w:rPr>
          <w:rFonts w:hint="eastAsia" w:ascii="等线" w:hAnsi="等线"/>
          <w:sz w:val="22"/>
        </w:rPr>
        <w:t xml:space="preserve">投标联系人：贾工        </w:t>
      </w:r>
      <w:r>
        <w:rPr>
          <w:rFonts w:ascii="等线" w:hAnsi="等线"/>
          <w:sz w:val="22"/>
        </w:rPr>
        <w:t xml:space="preserve"> </w:t>
      </w:r>
      <w:r>
        <w:rPr>
          <w:rFonts w:ascii="宋体" w:hAnsi="宋体"/>
          <w:sz w:val="22"/>
        </w:rPr>
        <w:t xml:space="preserve"> </w:t>
      </w:r>
      <w:r>
        <w:rPr>
          <w:rFonts w:hint="eastAsia" w:ascii="宋体" w:hAnsi="宋体"/>
          <w:sz w:val="22"/>
        </w:rPr>
        <w:t>联系电话： 0571-8</w:t>
      </w:r>
      <w:r>
        <w:rPr>
          <w:rFonts w:ascii="宋体" w:hAnsi="宋体"/>
          <w:sz w:val="22"/>
        </w:rPr>
        <w:t xml:space="preserve">3837612 </w:t>
      </w:r>
    </w:p>
    <w:p>
      <w:pPr>
        <w:widowControl/>
        <w:adjustRightInd w:val="0"/>
        <w:snapToGrid w:val="0"/>
        <w:spacing w:line="400" w:lineRule="exact"/>
        <w:ind w:firstLine="440" w:firstLineChars="200"/>
        <w:rPr>
          <w:rFonts w:hint="eastAsia" w:ascii="宋体" w:hAnsi="宋体"/>
          <w:sz w:val="22"/>
        </w:rPr>
      </w:pPr>
      <w:r>
        <w:rPr>
          <w:rFonts w:hint="eastAsia" w:ascii="宋体" w:hAnsi="宋体"/>
          <w:sz w:val="22"/>
        </w:rPr>
        <w:t xml:space="preserve">招标监督人：阮工         </w:t>
      </w:r>
      <w:r>
        <w:rPr>
          <w:rFonts w:ascii="宋体" w:hAnsi="宋体"/>
          <w:sz w:val="22"/>
        </w:rPr>
        <w:t xml:space="preserve"> </w:t>
      </w:r>
      <w:r>
        <w:rPr>
          <w:rFonts w:hint="eastAsia" w:ascii="宋体" w:hAnsi="宋体"/>
          <w:sz w:val="22"/>
        </w:rPr>
        <w:t>联系电话： 0571-86662133</w:t>
      </w:r>
    </w:p>
    <w:p>
      <w:pPr>
        <w:widowControl/>
        <w:adjustRightInd w:val="0"/>
        <w:snapToGrid w:val="0"/>
        <w:spacing w:line="400" w:lineRule="exact"/>
        <w:ind w:firstLine="440" w:firstLineChars="200"/>
        <w:rPr>
          <w:rFonts w:hint="eastAsia" w:ascii="宋体" w:hAnsi="宋体"/>
          <w:sz w:val="22"/>
        </w:rPr>
      </w:pPr>
    </w:p>
    <w:bookmarkEnd w:id="119"/>
    <w:p>
      <w:pPr>
        <w:widowControl/>
        <w:adjustRightInd w:val="0"/>
        <w:snapToGrid w:val="0"/>
        <w:spacing w:line="400" w:lineRule="exact"/>
        <w:ind w:firstLine="440" w:firstLineChars="200"/>
        <w:rPr>
          <w:rFonts w:hint="eastAsia" w:ascii="宋体" w:hAnsi="宋体"/>
          <w:sz w:val="22"/>
        </w:rPr>
      </w:pPr>
    </w:p>
    <w:p>
      <w:pPr>
        <w:pStyle w:val="2"/>
        <w:spacing w:before="0" w:after="0" w:line="400" w:lineRule="exact"/>
        <w:jc w:val="center"/>
        <w:rPr>
          <w:rFonts w:ascii="Calibri" w:hAnsi="Calibri" w:eastAsia="黑体" w:cs="Calibri"/>
          <w:kern w:val="0"/>
          <w:sz w:val="32"/>
        </w:rPr>
      </w:pPr>
      <w:bookmarkStart w:id="25"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3"/>
      <w:bookmarkEnd w:id="24"/>
      <w:bookmarkEnd w:id="25"/>
      <w:bookmarkStart w:id="26" w:name="_Toc143421654"/>
    </w:p>
    <w:p>
      <w:pPr>
        <w:pStyle w:val="67"/>
        <w:spacing w:line="400" w:lineRule="exact"/>
        <w:jc w:val="center"/>
        <w:rPr>
          <w:rFonts w:ascii="Calibri" w:hAnsi="Calibri" w:eastAsia="黑体" w:cs="Calibri"/>
          <w:kern w:val="2"/>
          <w:sz w:val="28"/>
          <w:szCs w:val="32"/>
        </w:rPr>
      </w:pPr>
      <w:bookmarkStart w:id="27" w:name="_Toc11881"/>
      <w:bookmarkStart w:id="28" w:name="_Toc349007688"/>
      <w:bookmarkStart w:id="29" w:name="_Toc349011858"/>
      <w:bookmarkStart w:id="30" w:name="_Toc386359393"/>
      <w:bookmarkStart w:id="31" w:name="_Toc444174979"/>
      <w:bookmarkStart w:id="32" w:name="_Toc444173459"/>
      <w:bookmarkStart w:id="33" w:name="_Toc448002984"/>
      <w:bookmarkStart w:id="34" w:name="_Toc444811409"/>
      <w:bookmarkStart w:id="35" w:name="_Toc386363317"/>
      <w:bookmarkStart w:id="36" w:name="_Toc400369185"/>
      <w:r>
        <w:rPr>
          <w:rFonts w:ascii="Calibri" w:hAnsi="Arial" w:eastAsia="黑体" w:cs="Calibri"/>
          <w:kern w:val="2"/>
          <w:sz w:val="28"/>
          <w:szCs w:val="32"/>
        </w:rPr>
        <w:t>投标人须知前附表</w:t>
      </w:r>
      <w:bookmarkEnd w:id="26"/>
      <w:bookmarkEnd w:id="27"/>
      <w:bookmarkEnd w:id="28"/>
      <w:bookmarkEnd w:id="29"/>
      <w:bookmarkEnd w:id="30"/>
      <w:bookmarkEnd w:id="31"/>
      <w:bookmarkEnd w:id="32"/>
      <w:bookmarkEnd w:id="33"/>
      <w:bookmarkEnd w:id="34"/>
      <w:bookmarkEnd w:id="35"/>
      <w:bookmarkEnd w:id="36"/>
    </w:p>
    <w:tbl>
      <w:tblPr>
        <w:tblStyle w:val="5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Arial"/>
                <w:kern w:val="0"/>
                <w:sz w:val="22"/>
              </w:rPr>
              <w:t>浙江省机场集团</w:t>
            </w:r>
            <w:r>
              <w:rPr>
                <w:rFonts w:hint="eastAsia" w:ascii="宋体" w:hAnsi="宋体" w:cs="Arial"/>
                <w:kern w:val="0"/>
                <w:sz w:val="22"/>
              </w:rPr>
              <w:t xml:space="preserve"> 2020</w:t>
            </w:r>
            <w:r>
              <w:rPr>
                <w:rFonts w:ascii="宋体" w:hAnsi="宋体" w:cs="Arial"/>
                <w:kern w:val="0"/>
                <w:sz w:val="22"/>
              </w:rPr>
              <w:t>-2022</w:t>
            </w:r>
            <w:r>
              <w:rPr>
                <w:rFonts w:hint="eastAsia" w:ascii="宋体" w:hAnsi="宋体" w:cs="Arial"/>
                <w:kern w:val="0"/>
                <w:sz w:val="22"/>
              </w:rPr>
              <w:t>年度招标代理机构选聘项目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杭州萧山</w:t>
            </w:r>
            <w:r>
              <w:rPr>
                <w:rFonts w:ascii="宋体" w:hAnsi="宋体" w:cs="Calibri"/>
                <w:kern w:val="0"/>
                <w:sz w:val="22"/>
              </w:rPr>
              <w:t>国际</w:t>
            </w:r>
            <w:r>
              <w:rPr>
                <w:rFonts w:hint="eastAsia" w:ascii="宋体" w:hAnsi="宋体" w:cs="Calibri"/>
                <w:kern w:val="0"/>
                <w:sz w:val="22"/>
              </w:rPr>
              <w:t>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Style w:val="114"/>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见招标公告，具体要求详见</w:t>
            </w:r>
            <w:r>
              <w:rPr>
                <w:rFonts w:hint="eastAsia" w:ascii="宋体" w:hAnsi="宋体" w:cs="Calibri"/>
                <w:kern w:val="0"/>
                <w:sz w:val="22"/>
              </w:rPr>
              <w:t>招标文件</w:t>
            </w:r>
            <w:r>
              <w:rPr>
                <w:rFonts w:ascii="宋体" w:hAnsi="宋体" w:cs="Calibri"/>
                <w:kern w:val="0"/>
                <w:sz w:val="22"/>
              </w:rPr>
              <w:t>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spacing w:line="400" w:lineRule="exact"/>
              <w:rPr>
                <w:rFonts w:ascii="宋体" w:hAnsi="宋体" w:cs="Calibri"/>
                <w:color w:val="FF0000"/>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spacing w:line="400" w:lineRule="exact"/>
              <w:rPr>
                <w:rFonts w:ascii="宋体" w:hAnsi="宋体"/>
                <w:color w:val="000000"/>
                <w:sz w:val="22"/>
              </w:rPr>
            </w:pPr>
            <w:r>
              <w:rPr>
                <w:rFonts w:hint="eastAsia" w:ascii="宋体" w:hAnsi="宋体"/>
                <w:color w:val="000000"/>
                <w:sz w:val="22"/>
              </w:rPr>
              <w:t>20</w:t>
            </w:r>
            <w:r>
              <w:rPr>
                <w:rFonts w:ascii="宋体" w:hAnsi="宋体"/>
                <w:color w:val="000000"/>
                <w:sz w:val="22"/>
              </w:rPr>
              <w:t>20</w:t>
            </w:r>
            <w:r>
              <w:rPr>
                <w:rFonts w:hint="eastAsia" w:ascii="宋体" w:hAnsi="宋体"/>
                <w:color w:val="000000"/>
                <w:sz w:val="22"/>
              </w:rPr>
              <w:t>年1月1日-20</w:t>
            </w:r>
            <w:r>
              <w:rPr>
                <w:rFonts w:ascii="宋体" w:hAnsi="宋体"/>
                <w:color w:val="000000"/>
                <w:sz w:val="22"/>
              </w:rPr>
              <w:t>22</w:t>
            </w:r>
            <w:r>
              <w:rPr>
                <w:rFonts w:hint="eastAsia" w:ascii="宋体" w:hAnsi="宋体"/>
                <w:color w:val="000000"/>
                <w:sz w:val="22"/>
              </w:rPr>
              <w:t>年12月31日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spacing w:line="400" w:lineRule="exact"/>
              <w:rPr>
                <w:rFonts w:ascii="宋体" w:hAnsi="宋体"/>
                <w:color w:val="000000"/>
                <w:sz w:val="22"/>
              </w:rPr>
            </w:pPr>
            <w:r>
              <w:rPr>
                <w:rFonts w:hint="eastAsia" w:ascii="宋体" w:hAnsi="宋体"/>
                <w:iCs/>
                <w:sz w:val="22"/>
              </w:rPr>
              <w:t>符</w:t>
            </w:r>
            <w:r>
              <w:rPr>
                <w:rFonts w:hint="eastAsia" w:ascii="宋体" w:hAnsi="宋体"/>
                <w:sz w:val="22"/>
              </w:rPr>
              <w:t>合国家有关招投标要求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2019年</w:t>
            </w:r>
            <w:r>
              <w:rPr>
                <w:rFonts w:hint="eastAsia" w:ascii="宋体" w:hAnsi="宋体" w:cs="Calibri"/>
                <w:kern w:val="0"/>
                <w:sz w:val="22"/>
                <w:lang w:val="en-US" w:eastAsia="zh-CN"/>
              </w:rPr>
              <w:t>12</w:t>
            </w:r>
            <w:r>
              <w:rPr>
                <w:rFonts w:ascii="宋体" w:hAnsi="宋体" w:cs="Calibri"/>
                <w:kern w:val="0"/>
                <w:sz w:val="22"/>
              </w:rPr>
              <w:t>月</w:t>
            </w:r>
            <w:r>
              <w:rPr>
                <w:rFonts w:hint="eastAsia" w:ascii="宋体" w:hAnsi="宋体" w:cs="Calibri"/>
                <w:kern w:val="0"/>
                <w:sz w:val="22"/>
                <w:lang w:val="en-US" w:eastAsia="zh-CN"/>
              </w:rPr>
              <w:t>4</w:t>
            </w:r>
            <w:r>
              <w:rPr>
                <w:rFonts w:ascii="宋体" w:hAnsi="宋体" w:cs="Calibri"/>
                <w:kern w:val="0"/>
                <w:sz w:val="22"/>
              </w:rPr>
              <w:t>日</w:t>
            </w:r>
            <w:r>
              <w:rPr>
                <w:rFonts w:hint="eastAsia" w:ascii="宋体" w:hAnsi="宋体" w:cs="Calibri"/>
                <w:kern w:val="0"/>
                <w:sz w:val="22"/>
              </w:rPr>
              <w:t>上午</w:t>
            </w:r>
            <w:r>
              <w:rPr>
                <w:rFonts w:ascii="宋体" w:hAnsi="宋体" w:cs="Calibri"/>
                <w:kern w:val="0"/>
                <w:sz w:val="22"/>
              </w:rPr>
              <w:t>11</w:t>
            </w:r>
            <w:r>
              <w:rPr>
                <w:rFonts w:hint="eastAsia" w:ascii="宋体" w:hAnsi="宋体" w:cs="Calibri"/>
                <w:kern w:val="0"/>
                <w:sz w:val="22"/>
              </w:rPr>
              <w:t>点</w:t>
            </w:r>
            <w:r>
              <w:rPr>
                <w:rFonts w:ascii="宋体" w:hAnsi="宋体" w:cs="Calibri"/>
                <w:kern w:val="0"/>
                <w:sz w:val="22"/>
              </w:rPr>
              <w:t>30</w:t>
            </w:r>
            <w:r>
              <w:rPr>
                <w:rFonts w:hint="eastAsia" w:ascii="宋体" w:hAnsi="宋体" w:cs="Calibri"/>
                <w:kern w:val="0"/>
                <w:sz w:val="22"/>
              </w:rPr>
              <w:t>分</w:t>
            </w:r>
            <w:r>
              <w:rPr>
                <w:rFonts w:ascii="宋体" w:hAnsi="宋体" w:cs="Calibri"/>
                <w:kern w:val="0"/>
                <w:sz w:val="22"/>
              </w:rPr>
              <w:t>前，以E-mail及书面（传真）形式提交</w:t>
            </w:r>
            <w:r>
              <w:rPr>
                <w:rFonts w:hint="eastAsia" w:ascii="宋体" w:hAnsi="宋体" w:cs="Calibri"/>
                <w:kern w:val="0"/>
                <w:sz w:val="22"/>
              </w:rPr>
              <w:t>投标联系人（</w:t>
            </w:r>
            <w:r>
              <w:rPr>
                <w:rFonts w:hint="eastAsia" w:ascii="宋体" w:hAnsi="宋体" w:cs="宋体"/>
                <w:kern w:val="0"/>
                <w:sz w:val="22"/>
              </w:rPr>
              <w:t>投标联系人:贾思勰，</w:t>
            </w:r>
            <w:r>
              <w:rPr>
                <w:rFonts w:hint="eastAsia" w:ascii="宋体" w:hAnsi="宋体" w:cs="Calibri"/>
                <w:kern w:val="0"/>
                <w:sz w:val="22"/>
              </w:rPr>
              <w:t>联系电话：0571-8</w:t>
            </w:r>
            <w:r>
              <w:rPr>
                <w:rFonts w:ascii="宋体" w:hAnsi="宋体" w:cs="Calibri"/>
                <w:kern w:val="0"/>
                <w:sz w:val="22"/>
              </w:rPr>
              <w:t>3837612</w:t>
            </w:r>
            <w:r>
              <w:rPr>
                <w:rFonts w:hint="eastAsia" w:ascii="宋体" w:hAnsi="宋体" w:cs="Calibri"/>
                <w:kern w:val="0"/>
                <w:sz w:val="22"/>
              </w:rPr>
              <w:t>，邮箱：</w:t>
            </w:r>
            <w:r>
              <w:rPr>
                <w:rFonts w:hint="eastAsia" w:ascii="宋体" w:hAnsi="宋体" w:cs="宋体"/>
                <w:kern w:val="0"/>
                <w:sz w:val="22"/>
              </w:rPr>
              <w:t>zbzx@hzairport.com</w:t>
            </w:r>
            <w:r>
              <w:rPr>
                <w:rFonts w:hint="eastAsia" w:ascii="宋体" w:hAnsi="宋体" w:cs="Calibri"/>
                <w:kern w:val="0"/>
                <w:sz w:val="22"/>
              </w:rPr>
              <w:t>），</w:t>
            </w:r>
            <w:r>
              <w:rPr>
                <w:rFonts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spacing w:line="400" w:lineRule="exact"/>
              <w:rPr>
                <w:rFonts w:ascii="宋体" w:hAnsi="宋体" w:cs="Calibri"/>
                <w:b/>
                <w:kern w:val="0"/>
                <w:sz w:val="22"/>
              </w:rPr>
            </w:pPr>
            <w:r>
              <w:rPr>
                <w:rFonts w:hint="eastAsia" w:ascii="宋体" w:hAnsi="宋体" w:cs="Calibri"/>
                <w:b/>
                <w:kern w:val="0"/>
                <w:sz w:val="22"/>
              </w:rPr>
              <w:t xml:space="preserve"> 2019年</w:t>
            </w:r>
            <w:r>
              <w:rPr>
                <w:rFonts w:hint="eastAsia" w:ascii="宋体" w:hAnsi="宋体" w:cs="Calibri"/>
                <w:b/>
                <w:kern w:val="0"/>
                <w:sz w:val="22"/>
                <w:lang w:val="en-US" w:eastAsia="zh-CN"/>
              </w:rPr>
              <w:t>12</w:t>
            </w:r>
            <w:r>
              <w:rPr>
                <w:rFonts w:hint="eastAsia" w:ascii="宋体" w:hAnsi="宋体" w:cs="Calibri"/>
                <w:b/>
                <w:kern w:val="0"/>
                <w:sz w:val="22"/>
              </w:rPr>
              <w:t>月</w:t>
            </w:r>
            <w:r>
              <w:rPr>
                <w:rFonts w:hint="eastAsia" w:ascii="宋体" w:hAnsi="宋体" w:cs="Calibri"/>
                <w:b/>
                <w:kern w:val="0"/>
                <w:sz w:val="22"/>
                <w:lang w:val="en-US" w:eastAsia="zh-CN"/>
              </w:rPr>
              <w:t>11</w:t>
            </w:r>
            <w:r>
              <w:rPr>
                <w:rFonts w:hint="eastAsia" w:ascii="宋体" w:hAnsi="宋体" w:cs="Calibri"/>
                <w:b/>
                <w:kern w:val="0"/>
                <w:sz w:val="22"/>
              </w:rPr>
              <w:t>日上午9时00分（北京时间）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7" w:name="_Toc226175287"/>
            <w:bookmarkStart w:id="38" w:name="_Toc236586447"/>
            <w:r>
              <w:rPr>
                <w:rFonts w:hint="eastAsia" w:ascii="宋体" w:hAnsi="宋体" w:cs="Calibri"/>
                <w:kern w:val="0"/>
                <w:sz w:val="22"/>
              </w:rPr>
              <w:t>对招标文件的修改将以补充公告的形式发布，所有获得招标文件的投标人应自行关注网站公告，招标人不再一一通知。</w:t>
            </w:r>
            <w:r>
              <w:rPr>
                <w:rFonts w:ascii="宋体" w:hAnsi="宋体" w:cs="Calibri"/>
                <w:kern w:val="0"/>
                <w:sz w:val="22"/>
              </w:rPr>
              <w:t>投标人</w:t>
            </w:r>
            <w:r>
              <w:rPr>
                <w:rFonts w:hint="eastAsia" w:ascii="宋体" w:hAnsi="宋体" w:cs="Calibri"/>
                <w:kern w:val="0"/>
                <w:sz w:val="22"/>
              </w:rPr>
              <w:t>无需</w:t>
            </w:r>
            <w:r>
              <w:rPr>
                <w:rFonts w:ascii="宋体" w:hAnsi="宋体" w:cs="Calibri"/>
                <w:kern w:val="0"/>
                <w:sz w:val="22"/>
              </w:rPr>
              <w:t>确认收到招标文件澄清的时间</w:t>
            </w:r>
            <w:r>
              <w:rPr>
                <w:rFonts w:hint="eastAsia" w:ascii="宋体" w:hAnsi="宋体" w:cs="Calibri"/>
                <w:kern w:val="0"/>
                <w:sz w:val="22"/>
              </w:rPr>
              <w:t>，投标人因自身贻误行为导致投标失败的，责任自负</w:t>
            </w:r>
            <w:bookmarkEnd w:id="37"/>
            <w:bookmarkEnd w:id="38"/>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w:t>
            </w:r>
            <w:r>
              <w:rPr>
                <w:rFonts w:ascii="宋体" w:hAnsi="宋体" w:cs="Calibri"/>
                <w:kern w:val="0"/>
                <w:sz w:val="22"/>
              </w:rPr>
              <w:t>投标人</w:t>
            </w:r>
            <w:r>
              <w:rPr>
                <w:rFonts w:hint="eastAsia" w:ascii="宋体" w:hAnsi="宋体" w:cs="Calibri"/>
                <w:kern w:val="0"/>
                <w:sz w:val="22"/>
              </w:rPr>
              <w:t>无需</w:t>
            </w:r>
            <w:r>
              <w:rPr>
                <w:rFonts w:ascii="宋体" w:hAnsi="宋体" w:cs="Calibri"/>
                <w:kern w:val="0"/>
                <w:sz w:val="22"/>
              </w:rPr>
              <w:t>确认收到招标文件</w:t>
            </w:r>
            <w:r>
              <w:rPr>
                <w:rFonts w:hint="eastAsia" w:ascii="宋体" w:hAnsi="宋体" w:cs="Calibri"/>
                <w:kern w:val="0"/>
                <w:sz w:val="22"/>
              </w:rPr>
              <w:t>修改</w:t>
            </w:r>
            <w:r>
              <w:rPr>
                <w:rFonts w:ascii="宋体" w:hAnsi="宋体" w:cs="Calibri"/>
                <w:kern w:val="0"/>
                <w:sz w:val="22"/>
              </w:rPr>
              <w:t>的时间</w:t>
            </w:r>
            <w:r>
              <w:rPr>
                <w:rFonts w:hint="eastAsia" w:ascii="宋体" w:hAnsi="宋体" w:cs="Calibri"/>
                <w:kern w:val="0"/>
                <w:sz w:val="22"/>
              </w:rPr>
              <w:t>，投标人因自身贻误行为导致投标失败的，责任自负。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12</w:t>
            </w:r>
            <w:r>
              <w:rPr>
                <w:rFonts w:ascii="宋体" w:hAnsi="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投标保证金</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投标保证金的形式：银行转账，</w:t>
            </w:r>
            <w:r>
              <w:rPr>
                <w:rFonts w:hint="eastAsia" w:ascii="宋体" w:hAnsi="宋体" w:cs="Calibri"/>
                <w:b/>
                <w:kern w:val="0"/>
                <w:sz w:val="22"/>
              </w:rPr>
              <w:t>必须在投标截止时间前通过投标人的基本账户以银行转账方式缴纳。</w:t>
            </w:r>
          </w:p>
          <w:p>
            <w:pPr>
              <w:autoSpaceDE w:val="0"/>
              <w:autoSpaceDN w:val="0"/>
              <w:adjustRightInd w:val="0"/>
              <w:snapToGrid w:val="0"/>
              <w:spacing w:line="400" w:lineRule="exact"/>
              <w:rPr>
                <w:rFonts w:ascii="宋体" w:hAnsi="宋体" w:cs="Calibri"/>
                <w:b/>
                <w:kern w:val="0"/>
                <w:sz w:val="22"/>
              </w:rPr>
            </w:pPr>
            <w:r>
              <w:rPr>
                <w:rFonts w:hint="eastAsia" w:ascii="宋体" w:hAnsi="宋体" w:cs="Calibri"/>
                <w:b/>
                <w:kern w:val="0"/>
                <w:sz w:val="22"/>
              </w:rPr>
              <w:t>投标保证金的金额：每标段人民币1万元整</w:t>
            </w:r>
          </w:p>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投标保证金应在投标截止时间前汇入以下帐户：</w:t>
            </w:r>
          </w:p>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开户名：浙江省机场集团有限公司</w:t>
            </w:r>
          </w:p>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开户银行：工行杭州空港城支行</w:t>
            </w:r>
          </w:p>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帐号：1202050219900012004</w:t>
            </w:r>
          </w:p>
          <w:p>
            <w:pPr>
              <w:autoSpaceDE w:val="0"/>
              <w:autoSpaceDN w:val="0"/>
              <w:adjustRightInd w:val="0"/>
              <w:snapToGrid w:val="0"/>
              <w:spacing w:line="400" w:lineRule="exact"/>
              <w:rPr>
                <w:rFonts w:ascii="宋体" w:hAnsi="宋体"/>
                <w:sz w:val="22"/>
              </w:rPr>
            </w:pPr>
            <w:r>
              <w:rPr>
                <w:rFonts w:hint="eastAsia" w:ascii="宋体" w:hAnsi="宋体" w:cs="Calibri"/>
                <w:kern w:val="0"/>
                <w:sz w:val="22"/>
              </w:rPr>
              <w:t>投标人提交投标保证金时需注明</w:t>
            </w:r>
            <w:r>
              <w:rPr>
                <w:rFonts w:hint="eastAsia" w:ascii="宋体" w:hAnsi="宋体" w:cs="Calibri"/>
                <w:b/>
                <w:kern w:val="0"/>
                <w:sz w:val="22"/>
              </w:rPr>
              <w:t>“招标代理项目标段*投标保证金”</w:t>
            </w:r>
            <w:r>
              <w:rPr>
                <w:rFonts w:hint="eastAsia" w:ascii="宋体" w:hAnsi="宋体" w:cs="Calibri"/>
                <w:kern w:val="0"/>
                <w:sz w:val="22"/>
              </w:rPr>
              <w:t xml:space="preserve">，银行回单复印件注明投标人户名、开户行、账号等信息随投标函单独封装，随投标文件一同递交。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四</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□分册装订</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w:t>
            </w:r>
            <w:r>
              <w:rPr>
                <w:rFonts w:ascii="宋体" w:hAnsi="宋体"/>
                <w:sz w:val="22"/>
                <w:u w:val="single"/>
              </w:rPr>
              <w:t>国际</w:t>
            </w:r>
            <w:r>
              <w:rPr>
                <w:rFonts w:hint="eastAsia" w:ascii="宋体" w:hAnsi="宋体"/>
                <w:sz w:val="22"/>
                <w:u w:val="single"/>
              </w:rPr>
              <w:t>机场内</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浙江省机场集团有限公司</w:t>
            </w:r>
          </w:p>
          <w:p>
            <w:pPr>
              <w:autoSpaceDE w:val="0"/>
              <w:autoSpaceDN w:val="0"/>
              <w:adjustRightInd w:val="0"/>
              <w:snapToGrid w:val="0"/>
              <w:spacing w:line="400" w:lineRule="exact"/>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浙江省机场集团</w:t>
            </w:r>
            <w:r>
              <w:rPr>
                <w:rFonts w:hint="eastAsia" w:ascii="宋体" w:hAnsi="宋体" w:cs="Arial"/>
                <w:kern w:val="0"/>
                <w:sz w:val="22"/>
              </w:rPr>
              <w:t>2020</w:t>
            </w:r>
            <w:r>
              <w:rPr>
                <w:rFonts w:ascii="宋体" w:hAnsi="宋体" w:cs="Arial"/>
                <w:kern w:val="0"/>
                <w:sz w:val="22"/>
              </w:rPr>
              <w:t>-2022</w:t>
            </w:r>
            <w:r>
              <w:rPr>
                <w:rFonts w:hint="eastAsia" w:ascii="宋体" w:hAnsi="宋体" w:cs="Arial"/>
                <w:kern w:val="0"/>
                <w:sz w:val="22"/>
              </w:rPr>
              <w:t>年度招标代理机构选聘项目</w:t>
            </w:r>
            <w:r>
              <w:rPr>
                <w:rFonts w:hint="eastAsia" w:ascii="宋体" w:hAnsi="宋体" w:cs="Calibri"/>
                <w:kern w:val="0"/>
                <w:sz w:val="22"/>
                <w:u w:val="single"/>
              </w:rPr>
              <w:t>标段*</w:t>
            </w:r>
            <w:r>
              <w:rPr>
                <w:rFonts w:hint="eastAsia" w:ascii="宋体" w:hAnsi="宋体" w:cs="宋体"/>
                <w:sz w:val="22"/>
              </w:rPr>
              <w:t>投标文件</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在</w:t>
            </w:r>
            <w:r>
              <w:rPr>
                <w:rFonts w:hint="eastAsia" w:ascii="宋体" w:hAnsi="宋体" w:cs="Arial"/>
                <w:kern w:val="0"/>
                <w:sz w:val="22"/>
              </w:rPr>
              <w:t xml:space="preserve"> 2019年</w:t>
            </w:r>
            <w:r>
              <w:rPr>
                <w:rFonts w:hint="eastAsia" w:ascii="宋体" w:hAnsi="宋体" w:cs="Arial"/>
                <w:kern w:val="0"/>
                <w:sz w:val="22"/>
                <w:lang w:val="en-US" w:eastAsia="zh-CN"/>
              </w:rPr>
              <w:t>12</w:t>
            </w:r>
            <w:r>
              <w:rPr>
                <w:rFonts w:hint="eastAsia" w:ascii="宋体" w:hAnsi="宋体" w:cs="Arial"/>
                <w:kern w:val="0"/>
                <w:sz w:val="22"/>
              </w:rPr>
              <w:t>月</w:t>
            </w:r>
            <w:r>
              <w:rPr>
                <w:rFonts w:hint="eastAsia" w:ascii="宋体" w:hAnsi="宋体" w:cs="Arial"/>
                <w:kern w:val="0"/>
                <w:sz w:val="22"/>
                <w:lang w:val="en-US" w:eastAsia="zh-CN"/>
              </w:rPr>
              <w:t>11</w:t>
            </w:r>
            <w:r>
              <w:rPr>
                <w:rFonts w:hint="eastAsia" w:ascii="宋体" w:hAnsi="宋体" w:cs="Arial"/>
                <w:kern w:val="0"/>
                <w:sz w:val="22"/>
              </w:rPr>
              <w:t>日上午9时00分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hint="eastAsia" w:ascii="等线" w:hAnsi="等线" w:cs="Arial"/>
                <w:kern w:val="0"/>
                <w:sz w:val="22"/>
              </w:rPr>
              <w:t>杭州萧山</w:t>
            </w:r>
            <w:r>
              <w:rPr>
                <w:rFonts w:ascii="等线" w:hAnsi="等线" w:cs="Arial"/>
                <w:kern w:val="0"/>
                <w:sz w:val="22"/>
              </w:rPr>
              <w:t>国际机场</w:t>
            </w:r>
            <w:r>
              <w:rPr>
                <w:rFonts w:hint="eastAsia" w:ascii="等线" w:hAnsi="等线" w:cs="Arial"/>
                <w:kern w:val="0"/>
                <w:sz w:val="22"/>
              </w:rPr>
              <w:t>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开标地点：</w:t>
            </w:r>
            <w:r>
              <w:rPr>
                <w:rFonts w:hint="eastAsia" w:ascii="等线" w:hAnsi="等线" w:cs="Arial"/>
                <w:kern w:val="0"/>
                <w:sz w:val="22"/>
              </w:rPr>
              <w:t>杭州萧山</w:t>
            </w:r>
            <w:r>
              <w:rPr>
                <w:rFonts w:ascii="等线" w:hAnsi="等线" w:cs="Arial"/>
                <w:kern w:val="0"/>
                <w:sz w:val="22"/>
              </w:rPr>
              <w:t>国际</w:t>
            </w:r>
            <w:r>
              <w:rPr>
                <w:rFonts w:hint="eastAsia" w:ascii="等线" w:hAnsi="等线" w:cs="Arial"/>
                <w:kern w:val="0"/>
                <w:sz w:val="22"/>
              </w:rPr>
              <w:t>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（1）密封情况检查：由投标人或者其集体推选的代表检查投标文件的密封情况。</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（2）开标顺序：按照后送达先开的顺序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spacing w:line="400" w:lineRule="exact"/>
              <w:jc w:val="left"/>
              <w:rPr>
                <w:rFonts w:ascii="宋体" w:hAnsi="宋体"/>
                <w:sz w:val="22"/>
              </w:rPr>
            </w:pPr>
            <w:r>
              <w:rPr>
                <w:rFonts w:hint="eastAsia" w:ascii="宋体" w:hAnsi="宋体"/>
                <w:sz w:val="22"/>
              </w:rPr>
              <w:t>评标委员会构成</w:t>
            </w:r>
            <w:r>
              <w:rPr>
                <w:rFonts w:hint="eastAsia" w:ascii="宋体" w:hAnsi="宋体" w:cs="Calibri"/>
                <w:kern w:val="0"/>
                <w:sz w:val="22"/>
              </w:rPr>
              <w:t>：</w:t>
            </w:r>
            <w:r>
              <w:rPr>
                <w:rFonts w:ascii="宋体" w:hAnsi="宋体" w:cs="Calibri"/>
                <w:kern w:val="0"/>
                <w:sz w:val="22"/>
              </w:rPr>
              <w:t>3</w:t>
            </w:r>
            <w:r>
              <w:rPr>
                <w:rFonts w:hint="eastAsia" w:ascii="宋体" w:hAnsi="宋体"/>
                <w:sz w:val="22"/>
              </w:rPr>
              <w:t>人及以上单数</w:t>
            </w:r>
          </w:p>
          <w:p>
            <w:pPr>
              <w:autoSpaceDE w:val="0"/>
              <w:autoSpaceDN w:val="0"/>
              <w:adjustRightInd w:val="0"/>
              <w:snapToGrid w:val="0"/>
              <w:spacing w:line="400" w:lineRule="exact"/>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t>□是</w:t>
            </w:r>
          </w:p>
          <w:p>
            <w:pPr>
              <w:autoSpaceDE w:val="0"/>
              <w:autoSpaceDN w:val="0"/>
              <w:adjustRightInd w:val="0"/>
              <w:snapToGrid w:val="0"/>
              <w:spacing w:line="400" w:lineRule="exact"/>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由评标委员会依据综合得分由高到低的顺序按标段分别推荐排名前四位的投标人作为浙江省机场集团20</w:t>
            </w:r>
            <w:r>
              <w:rPr>
                <w:rFonts w:ascii="宋体" w:hAnsi="宋体" w:cs="Calibri"/>
                <w:kern w:val="0"/>
                <w:sz w:val="22"/>
              </w:rPr>
              <w:t>20</w:t>
            </w:r>
            <w:r>
              <w:rPr>
                <w:rFonts w:hint="eastAsia" w:ascii="宋体" w:hAnsi="宋体" w:cs="Calibri"/>
                <w:kern w:val="0"/>
                <w:sz w:val="22"/>
              </w:rPr>
              <w:t>-20</w:t>
            </w:r>
            <w:r>
              <w:rPr>
                <w:rFonts w:ascii="宋体" w:hAnsi="宋体" w:cs="Calibri"/>
                <w:kern w:val="0"/>
                <w:sz w:val="22"/>
              </w:rPr>
              <w:t>22</w:t>
            </w:r>
            <w:r>
              <w:rPr>
                <w:rFonts w:hint="eastAsia" w:ascii="宋体" w:hAnsi="宋体" w:cs="Calibri"/>
                <w:kern w:val="0"/>
                <w:sz w:val="22"/>
              </w:rPr>
              <w:t>年度招标代理机构选聘项目的中标候选人。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履约担保</w:t>
            </w:r>
          </w:p>
        </w:tc>
        <w:tc>
          <w:tcPr>
            <w:tcW w:w="6487" w:type="dxa"/>
            <w:vAlign w:val="center"/>
          </w:tcPr>
          <w:p>
            <w:pPr>
              <w:autoSpaceDE w:val="0"/>
              <w:autoSpaceDN w:val="0"/>
              <w:adjustRightInd w:val="0"/>
              <w:snapToGrid w:val="0"/>
              <w:spacing w:line="400" w:lineRule="exact"/>
              <w:jc w:val="left"/>
              <w:rPr>
                <w:rFonts w:ascii="宋体" w:hAnsi="宋体"/>
                <w:sz w:val="22"/>
              </w:rPr>
            </w:pPr>
            <w:r>
              <w:rPr>
                <w:rFonts w:ascii="宋体" w:hAnsi="宋体"/>
                <w:sz w:val="22"/>
              </w:rPr>
              <w:t>履约担保的形式：</w:t>
            </w:r>
            <w:r>
              <w:rPr>
                <w:rFonts w:hint="eastAsia" w:ascii="宋体" w:hAnsi="宋体"/>
                <w:sz w:val="22"/>
              </w:rPr>
              <w:t>银行转账</w:t>
            </w:r>
          </w:p>
          <w:p>
            <w:pPr>
              <w:autoSpaceDE w:val="0"/>
              <w:autoSpaceDN w:val="0"/>
              <w:adjustRightInd w:val="0"/>
              <w:snapToGrid w:val="0"/>
              <w:spacing w:line="400" w:lineRule="exact"/>
              <w:jc w:val="left"/>
              <w:rPr>
                <w:rFonts w:hint="eastAsia" w:ascii="宋体" w:hAnsi="宋体"/>
                <w:sz w:val="22"/>
              </w:rPr>
            </w:pPr>
            <w:r>
              <w:rPr>
                <w:rFonts w:ascii="宋体" w:hAnsi="宋体"/>
                <w:sz w:val="22"/>
              </w:rPr>
              <w:t>履约担保的金额：</w:t>
            </w:r>
            <w:r>
              <w:rPr>
                <w:rFonts w:hint="eastAsia" w:ascii="宋体" w:hAnsi="宋体"/>
                <w:sz w:val="22"/>
              </w:rPr>
              <w:t>杭州萧山</w:t>
            </w:r>
            <w:r>
              <w:rPr>
                <w:rFonts w:ascii="宋体" w:hAnsi="宋体"/>
                <w:sz w:val="22"/>
              </w:rPr>
              <w:t>国际机场</w:t>
            </w:r>
            <w:r>
              <w:rPr>
                <w:rFonts w:hint="eastAsia" w:ascii="宋体" w:hAnsi="宋体"/>
                <w:sz w:val="22"/>
              </w:rPr>
              <w:t>有限</w:t>
            </w:r>
            <w:r>
              <w:rPr>
                <w:rFonts w:ascii="宋体" w:hAnsi="宋体"/>
                <w:sz w:val="22"/>
              </w:rPr>
              <w:t>公司</w:t>
            </w:r>
            <w:r>
              <w:rPr>
                <w:rFonts w:hint="eastAsia" w:ascii="宋体" w:hAnsi="宋体"/>
                <w:sz w:val="22"/>
              </w:rPr>
              <w:t>每家代理机构壹万元；浙江</w:t>
            </w:r>
            <w:r>
              <w:rPr>
                <w:rFonts w:ascii="宋体" w:hAnsi="宋体"/>
                <w:sz w:val="22"/>
              </w:rPr>
              <w:t>省机场</w:t>
            </w:r>
            <w:r>
              <w:rPr>
                <w:rFonts w:hint="eastAsia" w:ascii="宋体" w:hAnsi="宋体"/>
                <w:sz w:val="22"/>
              </w:rPr>
              <w:t>集团本级</w:t>
            </w:r>
            <w:r>
              <w:rPr>
                <w:rFonts w:ascii="宋体" w:hAnsi="宋体"/>
                <w:sz w:val="22"/>
              </w:rPr>
              <w:t>及</w:t>
            </w:r>
            <w:r>
              <w:rPr>
                <w:rFonts w:hint="eastAsia" w:ascii="宋体" w:hAnsi="宋体"/>
                <w:sz w:val="22"/>
              </w:rPr>
              <w:t>下属</w:t>
            </w:r>
            <w:r>
              <w:rPr>
                <w:rFonts w:hint="eastAsia" w:ascii="等线" w:hAnsi="等线" w:cs="Arial"/>
                <w:kern w:val="0"/>
                <w:sz w:val="22"/>
              </w:rPr>
              <w:t>浙江</w:t>
            </w:r>
            <w:r>
              <w:rPr>
                <w:rFonts w:ascii="等线" w:hAnsi="等线" w:cs="Arial"/>
                <w:kern w:val="0"/>
                <w:sz w:val="22"/>
              </w:rPr>
              <w:t>省机场集团</w:t>
            </w:r>
            <w:r>
              <w:rPr>
                <w:rFonts w:hint="eastAsia" w:ascii="等线" w:hAnsi="等线" w:cs="Arial"/>
                <w:kern w:val="0"/>
                <w:sz w:val="22"/>
              </w:rPr>
              <w:t>保安</w:t>
            </w:r>
            <w:r>
              <w:rPr>
                <w:rFonts w:ascii="等线" w:hAnsi="等线" w:cs="Arial"/>
                <w:kern w:val="0"/>
                <w:sz w:val="22"/>
              </w:rPr>
              <w:t>服务有限</w:t>
            </w:r>
            <w:r>
              <w:rPr>
                <w:rFonts w:hint="eastAsia" w:ascii="等线" w:hAnsi="等线" w:cs="Arial"/>
                <w:kern w:val="0"/>
                <w:sz w:val="22"/>
              </w:rPr>
              <w:t>公司</w:t>
            </w:r>
            <w:r>
              <w:rPr>
                <w:rFonts w:ascii="等线" w:hAnsi="等线" w:cs="Arial"/>
                <w:kern w:val="0"/>
                <w:sz w:val="22"/>
              </w:rPr>
              <w:t>、</w:t>
            </w:r>
            <w:r>
              <w:rPr>
                <w:rFonts w:hint="eastAsia" w:ascii="等线" w:hAnsi="等线" w:cs="Arial"/>
                <w:kern w:val="0"/>
                <w:sz w:val="22"/>
              </w:rPr>
              <w:t>浙江</w:t>
            </w:r>
            <w:r>
              <w:rPr>
                <w:rFonts w:ascii="等线" w:hAnsi="等线" w:cs="Arial"/>
                <w:kern w:val="0"/>
                <w:sz w:val="22"/>
              </w:rPr>
              <w:t>空港培训</w:t>
            </w:r>
            <w:r>
              <w:rPr>
                <w:rFonts w:hint="eastAsia" w:ascii="等线" w:hAnsi="等线" w:cs="Arial"/>
                <w:kern w:val="0"/>
                <w:sz w:val="22"/>
              </w:rPr>
              <w:t>服务</w:t>
            </w:r>
            <w:r>
              <w:rPr>
                <w:rFonts w:ascii="等线" w:hAnsi="等线" w:cs="Arial"/>
                <w:kern w:val="0"/>
                <w:sz w:val="22"/>
              </w:rPr>
              <w:t>咨询有限公司、</w:t>
            </w:r>
            <w:r>
              <w:rPr>
                <w:rFonts w:hint="eastAsia" w:ascii="等线" w:hAnsi="等线" w:cs="Arial"/>
                <w:kern w:val="0"/>
                <w:sz w:val="22"/>
              </w:rPr>
              <w:t>浙江省</w:t>
            </w:r>
            <w:r>
              <w:rPr>
                <w:rFonts w:ascii="等线" w:hAnsi="等线" w:cs="Arial"/>
                <w:kern w:val="0"/>
                <w:sz w:val="22"/>
              </w:rPr>
              <w:t>通用航空</w:t>
            </w:r>
            <w:r>
              <w:rPr>
                <w:rFonts w:hint="eastAsia" w:ascii="等线" w:hAnsi="等线" w:cs="Arial"/>
                <w:kern w:val="0"/>
                <w:sz w:val="22"/>
              </w:rPr>
              <w:t>产业</w:t>
            </w:r>
            <w:r>
              <w:rPr>
                <w:rFonts w:ascii="等线" w:hAnsi="等线" w:cs="Arial"/>
                <w:kern w:val="0"/>
                <w:sz w:val="22"/>
              </w:rPr>
              <w:t>发展有限</w:t>
            </w:r>
            <w:r>
              <w:rPr>
                <w:rFonts w:hint="eastAsia" w:ascii="等线" w:hAnsi="等线" w:cs="Arial"/>
                <w:kern w:val="0"/>
                <w:sz w:val="22"/>
              </w:rPr>
              <w:t>公司</w:t>
            </w:r>
            <w:r>
              <w:rPr>
                <w:rFonts w:ascii="等线" w:hAnsi="等线" w:cs="Arial"/>
                <w:kern w:val="0"/>
                <w:sz w:val="22"/>
              </w:rPr>
              <w:t>、</w:t>
            </w:r>
            <w:r>
              <w:rPr>
                <w:rFonts w:hint="eastAsia" w:ascii="等线" w:hAnsi="等线"/>
                <w:kern w:val="0"/>
                <w:sz w:val="22"/>
              </w:rPr>
              <w:t>浙江</w:t>
            </w:r>
            <w:r>
              <w:rPr>
                <w:rFonts w:ascii="等线" w:hAnsi="等线"/>
                <w:kern w:val="0"/>
                <w:sz w:val="22"/>
              </w:rPr>
              <w:t>省空港融资租赁有限公司</w:t>
            </w:r>
            <w:r>
              <w:rPr>
                <w:rFonts w:hint="eastAsia" w:ascii="宋体" w:hAnsi="宋体"/>
                <w:sz w:val="22"/>
              </w:rPr>
              <w:t>每家</w:t>
            </w:r>
            <w:r>
              <w:rPr>
                <w:rFonts w:ascii="宋体" w:hAnsi="宋体"/>
                <w:sz w:val="22"/>
              </w:rPr>
              <w:t>代理机构</w:t>
            </w:r>
            <w:r>
              <w:rPr>
                <w:rFonts w:hint="eastAsia" w:ascii="等线" w:hAnsi="等线"/>
                <w:kern w:val="0"/>
                <w:sz w:val="22"/>
              </w:rPr>
              <w:t>5家</w:t>
            </w:r>
            <w:r>
              <w:rPr>
                <w:rFonts w:ascii="等线" w:hAnsi="等线"/>
                <w:kern w:val="0"/>
                <w:sz w:val="22"/>
              </w:rPr>
              <w:t>单位</w:t>
            </w:r>
            <w:r>
              <w:rPr>
                <w:rFonts w:hint="eastAsia" w:ascii="宋体" w:hAnsi="宋体"/>
                <w:sz w:val="22"/>
              </w:rPr>
              <w:t>各贰仟元，</w:t>
            </w:r>
            <w:r>
              <w:rPr>
                <w:rFonts w:ascii="宋体" w:hAnsi="宋体"/>
                <w:sz w:val="22"/>
              </w:rPr>
              <w:t>共</w:t>
            </w:r>
            <w:r>
              <w:rPr>
                <w:rFonts w:hint="eastAsia" w:ascii="宋体" w:hAnsi="宋体"/>
                <w:sz w:val="22"/>
              </w:rPr>
              <w:t>壹万元</w:t>
            </w:r>
            <w:r>
              <w:rPr>
                <w:rFonts w:ascii="等线" w:hAnsi="等线"/>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spacing w:line="400" w:lineRule="exact"/>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spacing w:line="400" w:lineRule="exact"/>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shd w:val="clear" w:color="auto" w:fill="auto"/>
            <w:vAlign w:val="center"/>
          </w:tcPr>
          <w:p>
            <w:pPr>
              <w:pStyle w:val="43"/>
              <w:adjustRightInd w:val="0"/>
              <w:snapToGrid w:val="0"/>
              <w:spacing w:line="400" w:lineRule="exact"/>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utoSpaceDE w:val="0"/>
              <w:autoSpaceDN w:val="0"/>
              <w:adjustRightInd w:val="0"/>
              <w:snapToGrid w:val="0"/>
              <w:spacing w:line="400" w:lineRule="exact"/>
              <w:jc w:val="left"/>
              <w:rPr>
                <w:rFonts w:ascii="宋体" w:hAnsi="宋体"/>
                <w:sz w:val="22"/>
              </w:rPr>
            </w:pPr>
            <w:r>
              <w:rPr>
                <w:rFonts w:ascii="宋体" w:hAnsi="宋体"/>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ascii="宋体" w:hAnsi="宋体"/>
                <w:sz w:val="22"/>
              </w:rPr>
              <w:t>异议</w:t>
            </w:r>
            <w:r>
              <w:rPr>
                <w:rFonts w:ascii="宋体" w:hAnsi="宋体"/>
                <w:sz w:val="22"/>
              </w:rPr>
              <w:t>。</w:t>
            </w:r>
          </w:p>
          <w:p>
            <w:pPr>
              <w:autoSpaceDE w:val="0"/>
              <w:autoSpaceDN w:val="0"/>
              <w:adjustRightInd w:val="0"/>
              <w:snapToGrid w:val="0"/>
              <w:spacing w:line="400" w:lineRule="exact"/>
              <w:jc w:val="left"/>
              <w:rPr>
                <w:rFonts w:ascii="宋体" w:hAnsi="宋体"/>
                <w:sz w:val="22"/>
              </w:rPr>
            </w:pPr>
            <w:r>
              <w:rPr>
                <w:rFonts w:ascii="宋体" w:hAnsi="宋体"/>
                <w:sz w:val="22"/>
              </w:rPr>
              <w:t>2、本前附表内容与招标文件其他内容不一致之处，以本前附表为准。</w:t>
            </w:r>
          </w:p>
          <w:p>
            <w:pPr>
              <w:widowControl/>
              <w:adjustRightInd w:val="0"/>
              <w:snapToGrid w:val="0"/>
              <w:spacing w:line="400" w:lineRule="exact"/>
              <w:rPr>
                <w:rFonts w:hint="eastAsia" w:ascii="宋体" w:hAnsi="宋体" w:cs="Arial"/>
                <w:kern w:val="0"/>
                <w:sz w:val="22"/>
              </w:rPr>
            </w:pPr>
            <w:r>
              <w:rPr>
                <w:rFonts w:hint="eastAsia" w:ascii="宋体" w:hAnsi="宋体"/>
                <w:sz w:val="22"/>
              </w:rPr>
              <w:t>3、</w:t>
            </w:r>
            <w:r>
              <w:rPr>
                <w:rFonts w:hint="eastAsia" w:ascii="宋体" w:hAnsi="宋体" w:cs="Calibri"/>
                <w:snapToGrid w:val="0"/>
                <w:kern w:val="0"/>
                <w:sz w:val="22"/>
              </w:rPr>
              <w:t>确定中标人后，各单位分别与中标人签署合同</w:t>
            </w:r>
            <w:r>
              <w:rPr>
                <w:rFonts w:hint="eastAsia" w:ascii="宋体" w:hAnsi="宋体" w:cs="Arial"/>
                <w:kern w:val="0"/>
                <w:sz w:val="22"/>
              </w:rPr>
              <w:t>。</w:t>
            </w:r>
          </w:p>
        </w:tc>
      </w:tr>
      <w:bookmarkEnd w:id="1"/>
      <w:bookmarkEnd w:id="2"/>
    </w:tbl>
    <w:p>
      <w:pPr>
        <w:autoSpaceDE w:val="0"/>
        <w:autoSpaceDN w:val="0"/>
        <w:adjustRightInd w:val="0"/>
        <w:spacing w:line="400" w:lineRule="exact"/>
        <w:ind w:firstLine="420" w:firstLineChars="200"/>
        <w:rPr>
          <w:rFonts w:eastAsia="黑体" w:cs="Calibri"/>
          <w:b/>
          <w:bCs/>
          <w:kern w:val="0"/>
          <w:szCs w:val="21"/>
        </w:rPr>
      </w:pPr>
      <w:bookmarkStart w:id="39" w:name="_Toc143421656"/>
      <w:bookmarkStart w:id="40" w:name="_Toc11067"/>
    </w:p>
    <w:bookmarkEnd w:id="39"/>
    <w:bookmarkEnd w:id="40"/>
    <w:p>
      <w:pPr>
        <w:autoSpaceDE w:val="0"/>
        <w:autoSpaceDN w:val="0"/>
        <w:adjustRightInd w:val="0"/>
        <w:snapToGrid w:val="0"/>
        <w:spacing w:line="360" w:lineRule="exact"/>
        <w:rPr>
          <w:rFonts w:hint="eastAsia"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eastAsia="黑体" w:cs="Calibri"/>
          <w:b/>
          <w:bCs/>
          <w:kern w:val="0"/>
          <w:szCs w:val="21"/>
        </w:rPr>
      </w:pPr>
    </w:p>
    <w:p>
      <w:pPr>
        <w:autoSpaceDE w:val="0"/>
        <w:autoSpaceDN w:val="0"/>
        <w:adjustRightInd w:val="0"/>
        <w:snapToGrid w:val="0"/>
        <w:spacing w:line="360" w:lineRule="exact"/>
        <w:rPr>
          <w:rFonts w:hint="eastAsia" w:eastAsia="黑体" w:cs="Calibri"/>
          <w:b/>
          <w:bCs/>
          <w:kern w:val="0"/>
          <w:szCs w:val="21"/>
        </w:rPr>
      </w:pP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bookmarkStart w:id="41" w:name="_Toc26216"/>
      <w:r>
        <w:rPr>
          <w:rFonts w:ascii="宋体" w:hAnsi="宋体" w:cs="Calibri"/>
          <w:b/>
          <w:bCs/>
          <w:kern w:val="0"/>
          <w:sz w:val="22"/>
        </w:rPr>
        <w:t>1.1 项目</w:t>
      </w:r>
      <w:bookmarkEnd w:id="41"/>
      <w:r>
        <w:rPr>
          <w:rFonts w:ascii="宋体" w:hAnsi="宋体" w:cs="Calibri"/>
          <w:b/>
          <w:bCs/>
          <w:kern w:val="0"/>
          <w:sz w:val="22"/>
        </w:rPr>
        <w:t>概况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1.1.2项目</w:t>
      </w:r>
      <w:r>
        <w:rPr>
          <w:rFonts w:hint="eastAsia" w:ascii="宋体" w:hAnsi="宋体" w:cs="Calibri"/>
          <w:color w:val="000000"/>
          <w:kern w:val="0"/>
          <w:sz w:val="22"/>
        </w:rPr>
        <w:t>实施</w:t>
      </w:r>
      <w:r>
        <w:rPr>
          <w:rFonts w:ascii="宋体" w:hAnsi="宋体" w:cs="Calibri"/>
          <w:color w:val="000000"/>
          <w:kern w:val="0"/>
          <w:sz w:val="22"/>
        </w:rPr>
        <w:t>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42"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42"/>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3"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3"/>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4"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5"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5"/>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7"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color w:val="000000"/>
          <w:sz w:val="22"/>
        </w:rPr>
      </w:pPr>
      <w:bookmarkStart w:id="48"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48"/>
    </w:p>
    <w:p>
      <w:pPr>
        <w:adjustRightInd w:val="0"/>
        <w:snapToGrid w:val="0"/>
        <w:spacing w:line="360" w:lineRule="exact"/>
        <w:ind w:firstLine="440" w:firstLineChars="20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49"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4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50"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5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涉及到其它专业的部分分项工作</w:t>
      </w:r>
      <w:r>
        <w:rPr>
          <w:rFonts w:ascii="宋体" w:hAnsi="宋体" w:cs="Calibri"/>
          <w:color w:val="000000"/>
          <w:sz w:val="22"/>
        </w:rPr>
        <w:t>允许分包。</w:t>
      </w:r>
    </w:p>
    <w:p>
      <w:pPr>
        <w:autoSpaceDE w:val="0"/>
        <w:autoSpaceDN w:val="0"/>
        <w:adjustRightInd w:val="0"/>
        <w:snapToGrid w:val="0"/>
        <w:spacing w:line="360" w:lineRule="exact"/>
        <w:rPr>
          <w:rFonts w:ascii="宋体" w:hAnsi="宋体" w:cs="Calibri"/>
          <w:b/>
          <w:bCs/>
          <w:kern w:val="0"/>
          <w:sz w:val="22"/>
        </w:rPr>
      </w:pPr>
      <w:bookmarkStart w:id="51"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5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52" w:name="_Toc143421657"/>
      <w:bookmarkStart w:id="53" w:name="_Toc15241"/>
      <w:r>
        <w:rPr>
          <w:rFonts w:ascii="宋体" w:hAnsi="宋体" w:cs="Calibri"/>
          <w:b/>
          <w:bCs/>
          <w:kern w:val="0"/>
          <w:sz w:val="22"/>
        </w:rPr>
        <w:t>2.招标文件</w:t>
      </w:r>
      <w:bookmarkEnd w:id="52"/>
      <w:bookmarkEnd w:id="53"/>
    </w:p>
    <w:p>
      <w:pPr>
        <w:autoSpaceDE w:val="0"/>
        <w:autoSpaceDN w:val="0"/>
        <w:adjustRightInd w:val="0"/>
        <w:snapToGrid w:val="0"/>
        <w:spacing w:line="360" w:lineRule="exact"/>
        <w:rPr>
          <w:rFonts w:ascii="宋体" w:hAnsi="宋体" w:cs="Calibri"/>
          <w:b/>
          <w:bCs/>
          <w:kern w:val="0"/>
          <w:sz w:val="22"/>
        </w:rPr>
      </w:pPr>
      <w:bookmarkStart w:id="54" w:name="_Toc1426"/>
      <w:r>
        <w:rPr>
          <w:rFonts w:ascii="宋体" w:hAnsi="宋体" w:cs="Calibri"/>
          <w:b/>
          <w:bCs/>
          <w:kern w:val="0"/>
          <w:sz w:val="22"/>
        </w:rPr>
        <w:t>2.1 招标文件的组成</w:t>
      </w:r>
      <w:bookmarkEnd w:id="54"/>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本招标文件包括：</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（1）招标公告</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color w:val="000000"/>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4</w:t>
      </w:r>
      <w:r>
        <w:rPr>
          <w:rFonts w:ascii="宋体" w:hAnsi="宋体" w:cs="Calibri"/>
          <w:color w:val="000000"/>
          <w:kern w:val="0"/>
          <w:sz w:val="22"/>
        </w:rPr>
        <w:t>）合同条款</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5</w:t>
      </w:r>
      <w:r>
        <w:rPr>
          <w:rFonts w:ascii="宋体" w:hAnsi="宋体" w:cs="Calibri"/>
          <w:color w:val="000000"/>
          <w:kern w:val="0"/>
          <w:sz w:val="22"/>
        </w:rPr>
        <w:t>）评标办法及标准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w:t>
      </w:r>
      <w:r>
        <w:rPr>
          <w:rFonts w:hint="eastAsia" w:ascii="宋体" w:hAnsi="宋体" w:cs="Calibri"/>
          <w:color w:val="000000"/>
          <w:kern w:val="0"/>
          <w:sz w:val="22"/>
        </w:rPr>
        <w:t>6</w:t>
      </w:r>
      <w:r>
        <w:rPr>
          <w:rFonts w:ascii="宋体" w:hAnsi="宋体" w:cs="Calibri"/>
          <w:color w:val="000000"/>
          <w:kern w:val="0"/>
          <w:sz w:val="22"/>
        </w:rPr>
        <w:t>）投标文件格式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5" w:name="_Toc18230"/>
      <w:r>
        <w:rPr>
          <w:rFonts w:ascii="宋体" w:hAnsi="宋体" w:cs="Calibri"/>
          <w:b/>
          <w:bCs/>
          <w:kern w:val="0"/>
          <w:sz w:val="22"/>
        </w:rPr>
        <w:t>2.2 招标文件的澄清</w:t>
      </w:r>
      <w:bookmarkEnd w:id="55"/>
    </w:p>
    <w:p>
      <w:pPr>
        <w:adjustRightInd w:val="0"/>
        <w:snapToGrid w:val="0"/>
        <w:spacing w:line="360" w:lineRule="exact"/>
        <w:ind w:firstLine="440"/>
        <w:rPr>
          <w:rFonts w:ascii="宋体" w:hAnsi="宋体" w:cs="Calibri"/>
          <w:color w:val="000000"/>
          <w:sz w:val="22"/>
        </w:rPr>
      </w:pPr>
      <w:bookmarkStart w:id="56" w:name="_Toc18303"/>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6"/>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7" w:name="_Toc143421658"/>
      <w:bookmarkStart w:id="58" w:name="_Toc18870"/>
      <w:r>
        <w:rPr>
          <w:rFonts w:ascii="宋体" w:hAnsi="宋体" w:cs="Calibri"/>
          <w:b/>
          <w:bCs/>
          <w:kern w:val="0"/>
          <w:sz w:val="22"/>
        </w:rPr>
        <w:t>3.投标文件</w:t>
      </w:r>
      <w:bookmarkEnd w:id="57"/>
      <w:bookmarkEnd w:id="58"/>
    </w:p>
    <w:p>
      <w:pPr>
        <w:autoSpaceDE w:val="0"/>
        <w:autoSpaceDN w:val="0"/>
        <w:adjustRightInd w:val="0"/>
        <w:snapToGrid w:val="0"/>
        <w:spacing w:line="360" w:lineRule="exact"/>
        <w:rPr>
          <w:rFonts w:ascii="宋体" w:hAnsi="宋体" w:cs="Calibri"/>
          <w:b/>
          <w:bCs/>
          <w:kern w:val="0"/>
          <w:sz w:val="22"/>
        </w:rPr>
      </w:pPr>
      <w:bookmarkStart w:id="59" w:name="_Toc461"/>
      <w:r>
        <w:rPr>
          <w:rFonts w:ascii="宋体" w:hAnsi="宋体" w:cs="Calibri"/>
          <w:b/>
          <w:bCs/>
          <w:kern w:val="0"/>
          <w:sz w:val="22"/>
        </w:rPr>
        <w:t>3.1 投标文件的语言和计量单位</w:t>
      </w:r>
      <w:bookmarkEnd w:id="59"/>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3.1.1投标文件与投标有关的所有文件均应使用中文。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3.1.3招标文件中的“天”除特别说明外，均为日历天。</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3.1.4招标文件中所指的“合同”除特别说明外，指 “</w:t>
      </w:r>
      <w:r>
        <w:rPr>
          <w:rFonts w:hint="eastAsia" w:ascii="宋体" w:hAnsi="宋体" w:cs="Calibri"/>
          <w:color w:val="000000"/>
          <w:kern w:val="0"/>
          <w:sz w:val="22"/>
        </w:rPr>
        <w:t>服务</w:t>
      </w:r>
      <w:r>
        <w:rPr>
          <w:rFonts w:ascii="宋体" w:hAnsi="宋体" w:cs="Calibri"/>
          <w:color w:val="000000"/>
          <w:kern w:val="0"/>
          <w:sz w:val="22"/>
        </w:rPr>
        <w:t>合同”。</w:t>
      </w:r>
    </w:p>
    <w:p>
      <w:pPr>
        <w:autoSpaceDE w:val="0"/>
        <w:autoSpaceDN w:val="0"/>
        <w:adjustRightInd w:val="0"/>
        <w:snapToGrid w:val="0"/>
        <w:spacing w:line="360" w:lineRule="exact"/>
        <w:rPr>
          <w:rFonts w:ascii="宋体" w:hAnsi="宋体" w:cs="Calibri"/>
          <w:b/>
          <w:bCs/>
          <w:kern w:val="0"/>
          <w:sz w:val="22"/>
        </w:rPr>
      </w:pPr>
      <w:bookmarkStart w:id="60" w:name="_Toc1411"/>
      <w:r>
        <w:rPr>
          <w:rFonts w:ascii="宋体" w:hAnsi="宋体" w:cs="Calibri"/>
          <w:b/>
          <w:bCs/>
          <w:kern w:val="0"/>
          <w:sz w:val="22"/>
        </w:rPr>
        <w:t>3.2 投标文件的组成</w:t>
      </w:r>
      <w:bookmarkEnd w:id="60"/>
    </w:p>
    <w:p>
      <w:pPr>
        <w:adjustRightInd w:val="0"/>
        <w:snapToGrid w:val="0"/>
        <w:spacing w:line="360" w:lineRule="exact"/>
        <w:ind w:firstLine="440" w:firstLineChars="200"/>
        <w:rPr>
          <w:rFonts w:ascii="宋体" w:hAnsi="宋体" w:cs="Calibri"/>
          <w:color w:val="000000"/>
          <w:sz w:val="22"/>
        </w:rPr>
      </w:pPr>
      <w:bookmarkStart w:id="61" w:name="_Toc32225"/>
      <w:r>
        <w:rPr>
          <w:rFonts w:ascii="宋体" w:hAnsi="宋体" w:cs="Calibri"/>
          <w:color w:val="000000"/>
          <w:sz w:val="22"/>
        </w:rPr>
        <w:t>3.2.1投标函；</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w:t>
      </w:r>
      <w:r>
        <w:rPr>
          <w:rFonts w:ascii="宋体" w:hAnsi="宋体" w:cs="Calibri"/>
          <w:color w:val="000000"/>
          <w:sz w:val="22"/>
        </w:rPr>
        <w:t xml:space="preserve"> 投标报价表；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3.2.5投标人资格证明文件：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w:t>
      </w:r>
      <w:r>
        <w:rPr>
          <w:rFonts w:hint="eastAsia" w:ascii="宋体" w:hAnsi="宋体" w:cs="Calibri"/>
          <w:sz w:val="22"/>
        </w:rPr>
        <w:t>税务登记证、</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（2）信用中国网站www.creditchina.gov.cn 、中国裁判文书网http://wenshu.court.gov.cn查询结果以及主管税务部门出具的一般纳税人资格认定《税务事项通知书》或《增值税一般纳税人登记表》或投标人电子税务局一般纳税人资格查询网页；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（3）有关证明投标人的企业信誉及获得各种奖励等资料；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（4）投标人经济实力：包括企业注册资金、财务报告与报表中反映的财务状况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w:t>
      </w:r>
      <w:r>
        <w:rPr>
          <w:rFonts w:ascii="宋体" w:hAnsi="宋体" w:cs="Calibri"/>
          <w:color w:val="000000"/>
          <w:sz w:val="22"/>
        </w:rPr>
        <w:t>5</w:t>
      </w:r>
      <w:r>
        <w:rPr>
          <w:rFonts w:hint="eastAsia" w:ascii="宋体" w:hAnsi="宋体" w:cs="Calibri"/>
          <w:color w:val="000000"/>
          <w:sz w:val="22"/>
        </w:rPr>
        <w:t>）</w:t>
      </w:r>
      <w:r>
        <w:rPr>
          <w:rFonts w:ascii="宋体" w:hAnsi="宋体" w:cs="Calibri"/>
          <w:color w:val="000000"/>
          <w:sz w:val="22"/>
        </w:rPr>
        <w:t>近三年</w:t>
      </w:r>
      <w:r>
        <w:rPr>
          <w:rFonts w:hint="eastAsia" w:ascii="宋体" w:hAnsi="宋体" w:cs="Calibri"/>
          <w:color w:val="000000"/>
          <w:sz w:val="22"/>
        </w:rPr>
        <w:t>（2016年1月1日至投标截止日）</w:t>
      </w:r>
      <w:r>
        <w:rPr>
          <w:rFonts w:ascii="宋体" w:hAnsi="宋体" w:cs="Calibri"/>
          <w:color w:val="000000"/>
          <w:sz w:val="22"/>
        </w:rPr>
        <w:t>完成类似项目业绩情况</w:t>
      </w:r>
      <w:r>
        <w:rPr>
          <w:rFonts w:hint="eastAsia"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w:t>
      </w:r>
      <w:r>
        <w:rPr>
          <w:rFonts w:ascii="宋体" w:hAnsi="宋体" w:cs="Calibri"/>
          <w:color w:val="000000"/>
          <w:sz w:val="22"/>
        </w:rPr>
        <w:t>6</w:t>
      </w:r>
      <w:r>
        <w:rPr>
          <w:rFonts w:hint="eastAsia" w:ascii="宋体" w:hAnsi="宋体" w:cs="Calibri"/>
          <w:color w:val="000000"/>
          <w:sz w:val="22"/>
        </w:rPr>
        <w:t>）招标文件投标人资格要求中提供的相关材料。</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3.2.6</w:t>
      </w:r>
      <w:r>
        <w:rPr>
          <w:rFonts w:hint="eastAsia" w:ascii="宋体" w:hAnsi="宋体" w:cs="Calibri"/>
          <w:color w:val="000000"/>
          <w:sz w:val="22"/>
        </w:rPr>
        <w:t xml:space="preserve"> </w:t>
      </w:r>
      <w:r>
        <w:rPr>
          <w:rFonts w:ascii="宋体" w:hAnsi="宋体" w:cs="Calibri"/>
          <w:color w:val="000000"/>
          <w:sz w:val="22"/>
        </w:rPr>
        <w:t>服务大纲</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（1）本项目概况；</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（2）工作内容和依据；</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w:t>
      </w:r>
      <w:r>
        <w:rPr>
          <w:rFonts w:hint="eastAsia" w:ascii="宋体" w:hAnsi="宋体" w:cs="Calibri"/>
          <w:color w:val="000000"/>
          <w:sz w:val="22"/>
        </w:rPr>
        <w:t>现场机构、人力、物资设备配置</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w:t>
      </w:r>
      <w:r>
        <w:rPr>
          <w:rFonts w:hint="eastAsia" w:ascii="宋体" w:hAnsi="宋体" w:cs="Calibri"/>
          <w:color w:val="000000"/>
          <w:sz w:val="22"/>
        </w:rPr>
        <w:t>运行、安全、服务等相关管理方案</w:t>
      </w:r>
      <w:r>
        <w:rPr>
          <w:rFonts w:ascii="宋体" w:hAnsi="宋体" w:cs="Calibri"/>
          <w:color w:val="000000"/>
          <w:sz w:val="22"/>
        </w:rPr>
        <w:t>；</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adjustRightInd w:val="0"/>
        <w:snapToGrid w:val="0"/>
        <w:spacing w:line="360" w:lineRule="exact"/>
        <w:ind w:firstLine="440" w:firstLineChars="200"/>
        <w:rPr>
          <w:rFonts w:ascii="宋体" w:hAnsi="宋体" w:cs="Calibri"/>
          <w:color w:val="000000"/>
          <w:sz w:val="22"/>
        </w:rPr>
      </w:pPr>
      <w:r>
        <w:rPr>
          <w:rFonts w:hint="eastAsia" w:ascii="宋体" w:hAnsi="宋体" w:cs="Calibri"/>
          <w:color w:val="000000"/>
          <w:sz w:val="22"/>
        </w:rPr>
        <w:t>（7）对特殊情况的承诺以及灾害性、突发事件的应急预案；</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8</w:t>
      </w:r>
      <w:r>
        <w:rPr>
          <w:rFonts w:ascii="宋体" w:hAnsi="宋体"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9</w:t>
      </w:r>
      <w:r>
        <w:rPr>
          <w:rFonts w:ascii="宋体" w:hAnsi="宋体" w:cs="Calibri"/>
          <w:color w:val="000000"/>
          <w:sz w:val="22"/>
        </w:rPr>
        <w:t>）投入本项目服务的仪器、仪表、设备及交通工具汇总表</w:t>
      </w:r>
      <w:r>
        <w:rPr>
          <w:rFonts w:hint="eastAsia" w:ascii="宋体" w:hAnsi="宋体" w:cs="Calibri"/>
          <w:color w:val="000000"/>
          <w:sz w:val="22"/>
        </w:rPr>
        <w:t>。</w:t>
      </w:r>
    </w:p>
    <w:p>
      <w:pPr>
        <w:adjustRightInd w:val="0"/>
        <w:snapToGrid w:val="0"/>
        <w:spacing w:line="360" w:lineRule="exact"/>
        <w:ind w:firstLine="440" w:firstLineChars="200"/>
        <w:rPr>
          <w:rFonts w:ascii="宋体" w:hAnsi="宋体"/>
          <w:sz w:val="22"/>
        </w:rPr>
      </w:pPr>
      <w:r>
        <w:rPr>
          <w:rFonts w:ascii="宋体" w:hAnsi="宋体" w:cs="Calibri"/>
          <w:color w:val="000000"/>
          <w:sz w:val="22"/>
        </w:rPr>
        <w:t>3.2.7</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Arial"/>
          <w:color w:val="00000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61"/>
    </w:p>
    <w:p>
      <w:pPr>
        <w:adjustRightInd w:val="0"/>
        <w:snapToGrid w:val="0"/>
        <w:spacing w:line="360" w:lineRule="exact"/>
        <w:ind w:firstLine="440" w:firstLineChars="200"/>
        <w:rPr>
          <w:rFonts w:ascii="宋体" w:hAnsi="宋体" w:cs="Calibri"/>
          <w:color w:val="000000"/>
          <w:kern w:val="0"/>
          <w:sz w:val="22"/>
        </w:rPr>
      </w:pPr>
      <w:bookmarkStart w:id="62" w:name="_Toc13307"/>
      <w:r>
        <w:rPr>
          <w:rFonts w:ascii="宋体" w:hAnsi="宋体" w:cs="Calibri"/>
          <w:color w:val="000000"/>
          <w:kern w:val="0"/>
          <w:sz w:val="22"/>
        </w:rPr>
        <w:t>3.2.1 投标人应按本招标文件中“投标文件格式”的要求填写相应表格。</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3.2.4投标报价的其他要求</w:t>
      </w:r>
      <w:r>
        <w:rPr>
          <w:rFonts w:hint="eastAsia" w:ascii="宋体" w:hAnsi="宋体" w:cs="Calibri"/>
          <w:color w:val="000000"/>
          <w:kern w:val="0"/>
          <w:sz w:val="22"/>
        </w:rPr>
        <w:t>：</w:t>
      </w:r>
      <w:r>
        <w:rPr>
          <w:rFonts w:hint="eastAsia" w:ascii="宋体" w:hAnsi="宋体"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cs="Calibri"/>
          <w:b/>
          <w:color w:val="000000"/>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62"/>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63" w:name="_Toc30464"/>
      <w:r>
        <w:rPr>
          <w:rFonts w:ascii="宋体" w:hAnsi="宋体" w:cs="Calibri"/>
          <w:b/>
          <w:bCs/>
          <w:kern w:val="0"/>
          <w:sz w:val="22"/>
        </w:rPr>
        <w:t>3.5 投标保证金</w:t>
      </w:r>
      <w:bookmarkEnd w:id="63"/>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4"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5</w:t>
      </w:r>
      <w:r>
        <w:rPr>
          <w:rFonts w:hint="eastAsia" w:ascii="宋体" w:hAnsi="宋体" w:cs="Calibri"/>
          <w:kern w:val="0"/>
          <w:sz w:val="22"/>
        </w:rPr>
        <w:t>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不予退还其投标保证金。不予退还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4"/>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3.6.1 投标文件应按本须知第3.2款规定的内容和第</w:t>
      </w:r>
      <w:r>
        <w:rPr>
          <w:rFonts w:hint="eastAsia" w:ascii="宋体" w:hAnsi="宋体" w:cs="Calibri"/>
          <w:color w:val="000000"/>
          <w:sz w:val="22"/>
        </w:rPr>
        <w:t>六</w:t>
      </w:r>
      <w:r>
        <w:rPr>
          <w:rFonts w:ascii="宋体" w:hAnsi="宋体" w:cs="Calibri"/>
          <w:color w:val="000000"/>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 xml:space="preserve">3.6.2 </w:t>
      </w:r>
      <w:r>
        <w:rPr>
          <w:rFonts w:ascii="宋体" w:hAnsi="宋体" w:cs="Calibri"/>
          <w:color w:val="000000"/>
          <w:kern w:val="0"/>
          <w:sz w:val="22"/>
        </w:rPr>
        <w:t>投标文件应对招标文件有关</w:t>
      </w:r>
      <w:r>
        <w:rPr>
          <w:rFonts w:hint="eastAsia" w:ascii="宋体" w:hAnsi="宋体" w:cs="Calibri"/>
          <w:color w:val="000000"/>
          <w:kern w:val="0"/>
          <w:sz w:val="22"/>
        </w:rPr>
        <w:t>服务</w:t>
      </w:r>
      <w:r>
        <w:rPr>
          <w:rFonts w:ascii="宋体" w:hAnsi="宋体" w:cs="Calibri"/>
          <w:color w:val="000000"/>
          <w:kern w:val="0"/>
          <w:sz w:val="22"/>
        </w:rPr>
        <w:t>期、投标有效期、招标</w:t>
      </w:r>
      <w:r>
        <w:rPr>
          <w:rFonts w:hint="eastAsia" w:ascii="宋体" w:hAnsi="宋体" w:cs="Calibri"/>
          <w:color w:val="000000"/>
          <w:kern w:val="0"/>
          <w:sz w:val="22"/>
        </w:rPr>
        <w:t>内容</w:t>
      </w:r>
      <w:r>
        <w:rPr>
          <w:rFonts w:ascii="宋体" w:hAnsi="宋体" w:cs="Calibri"/>
          <w:color w:val="000000"/>
          <w:kern w:val="0"/>
          <w:sz w:val="22"/>
        </w:rPr>
        <w:t>等实质性内容作出响应。</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color w:val="000000"/>
          <w:kern w:val="0"/>
          <w:sz w:val="22"/>
        </w:rPr>
        <w:t>签字或盖章的具体要求见投标人须知前附表。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3.6.4投标文件正本一份， 副本份数见投标人须知前附表。正本、副本的封面上应清楚地标记</w:t>
      </w:r>
      <w:r>
        <w:rPr>
          <w:rFonts w:ascii="宋体" w:hAnsi="宋体" w:cs="Calibri"/>
          <w:b/>
          <w:bCs/>
          <w:color w:val="000000"/>
          <w:sz w:val="22"/>
        </w:rPr>
        <w:t>“正本</w:t>
      </w:r>
      <w:r>
        <w:rPr>
          <w:rFonts w:ascii="宋体" w:hAnsi="宋体" w:cs="Calibri"/>
          <w:color w:val="000000"/>
          <w:sz w:val="22"/>
        </w:rPr>
        <w:t>”或“</w:t>
      </w:r>
      <w:r>
        <w:rPr>
          <w:rFonts w:ascii="宋体" w:hAnsi="宋体" w:cs="Calibri"/>
          <w:b/>
          <w:bCs/>
          <w:color w:val="000000"/>
          <w:sz w:val="22"/>
        </w:rPr>
        <w:t>副本</w:t>
      </w:r>
      <w:r>
        <w:rPr>
          <w:rFonts w:ascii="宋体" w:hAnsi="宋体" w:cs="Calibri"/>
          <w:color w:val="000000"/>
          <w:sz w:val="22"/>
        </w:rPr>
        <w:t>”的字样。当副本和正本不一致时，以正本为准。</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3.6.5投标文件的正本与副本应分别按A4规格装订成册，具体装订要求见投标人须知前附表规定。</w:t>
      </w:r>
      <w:bookmarkStart w:id="65" w:name="_Toc143421659"/>
    </w:p>
    <w:p>
      <w:pPr>
        <w:autoSpaceDE w:val="0"/>
        <w:autoSpaceDN w:val="0"/>
        <w:adjustRightInd w:val="0"/>
        <w:snapToGrid w:val="0"/>
        <w:spacing w:line="360" w:lineRule="exact"/>
        <w:rPr>
          <w:rFonts w:ascii="宋体" w:hAnsi="宋体" w:cs="Calibri"/>
          <w:b/>
          <w:bCs/>
          <w:kern w:val="0"/>
          <w:sz w:val="22"/>
        </w:rPr>
      </w:pPr>
      <w:bookmarkStart w:id="66" w:name="_Toc32652"/>
      <w:r>
        <w:rPr>
          <w:rFonts w:ascii="宋体" w:hAnsi="宋体" w:cs="Calibri"/>
          <w:b/>
          <w:bCs/>
          <w:kern w:val="0"/>
          <w:sz w:val="22"/>
        </w:rPr>
        <w:t>4.投标</w:t>
      </w:r>
      <w:bookmarkEnd w:id="65"/>
      <w:bookmarkEnd w:id="66"/>
    </w:p>
    <w:p>
      <w:pPr>
        <w:autoSpaceDE w:val="0"/>
        <w:autoSpaceDN w:val="0"/>
        <w:adjustRightInd w:val="0"/>
        <w:snapToGrid w:val="0"/>
        <w:spacing w:line="360" w:lineRule="exact"/>
        <w:rPr>
          <w:rFonts w:ascii="宋体" w:hAnsi="宋体" w:cs="Calibri"/>
          <w:b/>
          <w:bCs/>
          <w:kern w:val="0"/>
          <w:sz w:val="22"/>
        </w:rPr>
      </w:pPr>
      <w:bookmarkStart w:id="67" w:name="_Toc649"/>
      <w:r>
        <w:rPr>
          <w:rFonts w:ascii="宋体" w:hAnsi="宋体" w:cs="Calibri"/>
          <w:b/>
          <w:bCs/>
          <w:kern w:val="0"/>
          <w:sz w:val="22"/>
        </w:rPr>
        <w:t>4.1 投标文件的密封和标识</w:t>
      </w:r>
      <w:bookmarkEnd w:id="67"/>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4.1.1</w:t>
      </w:r>
      <w:r>
        <w:rPr>
          <w:rFonts w:ascii="宋体" w:hAnsi="宋体" w:cs="Calibri"/>
          <w:color w:val="000000"/>
          <w:kern w:val="0"/>
          <w:sz w:val="22"/>
        </w:rPr>
        <w:t>投标文件的正本、副本可一同</w:t>
      </w:r>
      <w:r>
        <w:rPr>
          <w:rFonts w:hint="eastAsia" w:ascii="宋体" w:hAnsi="宋体" w:cs="Calibri"/>
          <w:color w:val="000000"/>
          <w:kern w:val="0"/>
          <w:sz w:val="22"/>
        </w:rPr>
        <w:t>密封</w:t>
      </w:r>
      <w:r>
        <w:rPr>
          <w:rFonts w:ascii="宋体" w:hAnsi="宋体" w:cs="Calibri"/>
          <w:color w:val="000000"/>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4.1.</w:t>
      </w:r>
      <w:r>
        <w:rPr>
          <w:rFonts w:hint="eastAsia" w:ascii="宋体" w:hAnsi="宋体" w:cs="Calibri"/>
          <w:color w:val="000000"/>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8" w:name="_Toc16616"/>
      <w:r>
        <w:rPr>
          <w:rFonts w:ascii="宋体" w:hAnsi="宋体" w:cs="Calibri"/>
          <w:b/>
          <w:bCs/>
          <w:kern w:val="0"/>
          <w:sz w:val="22"/>
        </w:rPr>
        <w:t xml:space="preserve">4.2 投标文件的递交 </w:t>
      </w:r>
      <w:bookmarkEnd w:id="68"/>
    </w:p>
    <w:p>
      <w:pPr>
        <w:autoSpaceDE w:val="0"/>
        <w:autoSpaceDN w:val="0"/>
        <w:adjustRightInd w:val="0"/>
        <w:snapToGrid w:val="0"/>
        <w:spacing w:line="360" w:lineRule="exact"/>
        <w:ind w:firstLine="440"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4.2.2投标人送达投标文件的地点：见投标人须知前附表。</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4.2.</w:t>
      </w:r>
      <w:r>
        <w:rPr>
          <w:rFonts w:hint="eastAsia" w:ascii="宋体" w:hAnsi="宋体" w:cs="Calibri"/>
          <w:color w:val="000000"/>
          <w:sz w:val="22"/>
        </w:rPr>
        <w:t>4</w:t>
      </w:r>
      <w:r>
        <w:rPr>
          <w:rFonts w:ascii="宋体" w:hAnsi="宋体" w:cs="Calibri"/>
          <w:color w:val="000000"/>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69" w:name="_Toc26099"/>
      <w:r>
        <w:rPr>
          <w:rFonts w:ascii="宋体" w:hAnsi="宋体" w:cs="Calibri"/>
          <w:b/>
          <w:bCs/>
          <w:kern w:val="0"/>
          <w:sz w:val="22"/>
        </w:rPr>
        <w:t>4.3 投标文件的修改和撤回</w:t>
      </w:r>
      <w:bookmarkEnd w:id="69"/>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70" w:name="_Toc29641"/>
      <w:r>
        <w:rPr>
          <w:rFonts w:ascii="宋体" w:hAnsi="宋体" w:cs="Calibri"/>
          <w:b/>
          <w:bCs/>
          <w:kern w:val="0"/>
          <w:sz w:val="22"/>
        </w:rPr>
        <w:t>5.开标</w:t>
      </w:r>
      <w:bookmarkEnd w:id="70"/>
    </w:p>
    <w:p>
      <w:pPr>
        <w:autoSpaceDE w:val="0"/>
        <w:autoSpaceDN w:val="0"/>
        <w:adjustRightInd w:val="0"/>
        <w:snapToGrid w:val="0"/>
        <w:spacing w:line="360" w:lineRule="exact"/>
        <w:rPr>
          <w:rFonts w:ascii="宋体" w:hAnsi="宋体" w:cs="Calibri"/>
          <w:b/>
          <w:bCs/>
          <w:kern w:val="0"/>
          <w:sz w:val="22"/>
        </w:rPr>
      </w:pPr>
      <w:bookmarkStart w:id="71" w:name="_Toc15123"/>
      <w:r>
        <w:rPr>
          <w:rFonts w:ascii="宋体" w:hAnsi="宋体" w:cs="Calibri"/>
          <w:b/>
          <w:bCs/>
          <w:kern w:val="0"/>
          <w:sz w:val="22"/>
        </w:rPr>
        <w:t>5.1 开标时间和地点</w:t>
      </w:r>
      <w:bookmarkEnd w:id="71"/>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5.1.1</w:t>
      </w:r>
      <w:r>
        <w:rPr>
          <w:rFonts w:ascii="宋体" w:hAnsi="宋体" w:cs="Calibri"/>
          <w:sz w:val="22"/>
        </w:rPr>
        <w:t>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72" w:name="_Toc7101"/>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72"/>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主持人按下列程序进行开标：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（1）宣布开标纪律；</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（3）宣布开标人、唱标人、记录人、监标人等有关人员姓名；</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w:t>
      </w:r>
      <w:r>
        <w:rPr>
          <w:rFonts w:ascii="宋体" w:hAnsi="宋体" w:cs="Calibri"/>
          <w:color w:val="000000"/>
          <w:sz w:val="22"/>
        </w:rPr>
        <w:t>按照宣布的开标顺序当众开标，公布投标人名称、投标保证金的递交情况、投标报价、</w:t>
      </w:r>
      <w:r>
        <w:rPr>
          <w:rFonts w:hint="eastAsia" w:ascii="宋体" w:hAnsi="宋体" w:cs="Calibri"/>
          <w:color w:val="000000"/>
          <w:sz w:val="22"/>
        </w:rPr>
        <w:t>服务期</w:t>
      </w:r>
      <w:r>
        <w:rPr>
          <w:rFonts w:ascii="宋体" w:hAnsi="宋体" w:cs="Calibri"/>
          <w:color w:val="000000"/>
          <w:sz w:val="22"/>
        </w:rPr>
        <w:t>及其他内容，并记录在案；</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73" w:name="_Toc31578"/>
      <w:r>
        <w:rPr>
          <w:rFonts w:ascii="宋体" w:hAnsi="宋体" w:cs="Calibri"/>
          <w:b/>
          <w:bCs/>
          <w:kern w:val="0"/>
          <w:sz w:val="22"/>
        </w:rPr>
        <w:t>6.评标</w:t>
      </w:r>
      <w:bookmarkEnd w:id="73"/>
    </w:p>
    <w:p>
      <w:pPr>
        <w:autoSpaceDE w:val="0"/>
        <w:autoSpaceDN w:val="0"/>
        <w:adjustRightInd w:val="0"/>
        <w:snapToGrid w:val="0"/>
        <w:spacing w:line="360" w:lineRule="exact"/>
        <w:rPr>
          <w:rFonts w:ascii="宋体" w:hAnsi="宋体" w:cs="Calibri"/>
          <w:b/>
          <w:bCs/>
          <w:kern w:val="0"/>
          <w:sz w:val="22"/>
        </w:rPr>
      </w:pPr>
      <w:bookmarkStart w:id="74" w:name="_Toc10279"/>
      <w:r>
        <w:rPr>
          <w:rFonts w:ascii="宋体" w:hAnsi="宋体" w:cs="Calibri"/>
          <w:b/>
          <w:bCs/>
          <w:kern w:val="0"/>
          <w:sz w:val="22"/>
        </w:rPr>
        <w:t>6.1 评标委员会</w:t>
      </w:r>
      <w:bookmarkEnd w:id="74"/>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6.1.1</w:t>
      </w:r>
      <w:r>
        <w:rPr>
          <w:rFonts w:ascii="宋体" w:hAnsi="宋体" w:cs="Calibri"/>
          <w:kern w:val="0"/>
          <w:sz w:val="22"/>
        </w:rPr>
        <w:t>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6.1.2评标委员会成员有下列情形之一的，应当回避：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（1）招标人或投标人的主要负责人的近亲属；</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（2）项目主管部门或者行政监督部门的人员；</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5" w:name="_Toc3460"/>
      <w:r>
        <w:rPr>
          <w:rFonts w:ascii="宋体" w:hAnsi="宋体" w:cs="Calibri"/>
          <w:b/>
          <w:bCs/>
          <w:kern w:val="0"/>
          <w:sz w:val="22"/>
        </w:rPr>
        <w:t>6.2 评标原则</w:t>
      </w:r>
      <w:bookmarkEnd w:id="75"/>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6" w:name="_Toc28178"/>
      <w:r>
        <w:rPr>
          <w:rFonts w:ascii="宋体" w:hAnsi="宋体" w:cs="Calibri"/>
          <w:b/>
          <w:bCs/>
          <w:kern w:val="0"/>
          <w:sz w:val="22"/>
        </w:rPr>
        <w:t>6.3 评标</w:t>
      </w:r>
      <w:bookmarkEnd w:id="76"/>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评标委员会按照第</w:t>
      </w:r>
      <w:r>
        <w:rPr>
          <w:rFonts w:hint="eastAsia" w:ascii="宋体" w:hAnsi="宋体" w:cs="Calibri"/>
          <w:color w:val="000000"/>
          <w:kern w:val="0"/>
          <w:sz w:val="22"/>
        </w:rPr>
        <w:t>五</w:t>
      </w:r>
      <w:r>
        <w:rPr>
          <w:rFonts w:ascii="宋体" w:hAnsi="宋体" w:cs="Calibri"/>
          <w:color w:val="000000"/>
          <w:kern w:val="0"/>
          <w:sz w:val="22"/>
        </w:rPr>
        <w:t>章“评标方法及标准”对投标文件进行评审。第</w:t>
      </w:r>
      <w:r>
        <w:rPr>
          <w:rFonts w:hint="eastAsia" w:ascii="宋体" w:hAnsi="宋体" w:cs="Calibri"/>
          <w:color w:val="000000"/>
          <w:kern w:val="0"/>
          <w:sz w:val="22"/>
        </w:rPr>
        <w:t>五</w:t>
      </w:r>
      <w:r>
        <w:rPr>
          <w:rFonts w:ascii="宋体" w:hAnsi="宋体" w:cs="Calibri"/>
          <w:color w:val="000000"/>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7" w:name="_Toc24237"/>
      <w:r>
        <w:rPr>
          <w:rFonts w:ascii="宋体" w:hAnsi="宋体" w:cs="Calibri"/>
          <w:b/>
          <w:bCs/>
          <w:kern w:val="0"/>
          <w:sz w:val="22"/>
        </w:rPr>
        <w:t>7.合同授予</w:t>
      </w:r>
      <w:bookmarkEnd w:id="77"/>
    </w:p>
    <w:p>
      <w:pPr>
        <w:autoSpaceDE w:val="0"/>
        <w:autoSpaceDN w:val="0"/>
        <w:adjustRightInd w:val="0"/>
        <w:snapToGrid w:val="0"/>
        <w:spacing w:line="360" w:lineRule="exact"/>
        <w:rPr>
          <w:rFonts w:ascii="宋体" w:hAnsi="宋体" w:cs="Calibri"/>
          <w:b/>
          <w:bCs/>
          <w:kern w:val="0"/>
          <w:sz w:val="22"/>
        </w:rPr>
      </w:pPr>
      <w:bookmarkStart w:id="78" w:name="_Toc18809"/>
      <w:r>
        <w:rPr>
          <w:rFonts w:ascii="宋体" w:hAnsi="宋体" w:cs="Calibri"/>
          <w:b/>
          <w:bCs/>
          <w:kern w:val="0"/>
          <w:sz w:val="22"/>
        </w:rPr>
        <w:t>7.1 定标方式</w:t>
      </w:r>
      <w:bookmarkEnd w:id="78"/>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79" w:name="_Toc14573"/>
      <w:r>
        <w:rPr>
          <w:rFonts w:ascii="宋体" w:hAnsi="宋体" w:cs="Calibri"/>
          <w:b/>
          <w:bCs/>
          <w:kern w:val="0"/>
          <w:sz w:val="22"/>
        </w:rPr>
        <w:t>7.2 中标通知</w:t>
      </w:r>
      <w:bookmarkEnd w:id="79"/>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80" w:name="_Toc27132"/>
      <w:bookmarkStart w:id="81" w:name="_Toc27581"/>
      <w:r>
        <w:rPr>
          <w:rFonts w:ascii="宋体" w:hAnsi="宋体" w:cs="Calibri"/>
          <w:b/>
          <w:bCs/>
          <w:kern w:val="0"/>
          <w:sz w:val="22"/>
        </w:rPr>
        <w:t>7.3 履约</w:t>
      </w:r>
      <w:r>
        <w:rPr>
          <w:rFonts w:hint="eastAsia" w:ascii="宋体" w:hAnsi="宋体" w:cs="Calibri"/>
          <w:b/>
          <w:bCs/>
          <w:kern w:val="0"/>
          <w:sz w:val="22"/>
        </w:rPr>
        <w:t>保证金</w:t>
      </w:r>
      <w:bookmarkEnd w:id="80"/>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81"/>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sz w:val="22"/>
        </w:rPr>
        <w:t>7</w:t>
      </w:r>
      <w:bookmarkStart w:id="82" w:name="_Toc219809801"/>
      <w:bookmarkStart w:id="83" w:name="_Toc220123241"/>
      <w:bookmarkStart w:id="84" w:name="_Toc11806"/>
      <w:r>
        <w:rPr>
          <w:rFonts w:ascii="宋体" w:hAnsi="宋体" w:cs="Calibri"/>
          <w:color w:val="000000"/>
          <w:kern w:val="0"/>
          <w:sz w:val="22"/>
        </w:rPr>
        <w:t>.4.1招标人和中标人应当自中标通知书发出之日起30个工作日内订立书面合同（合同条款按第</w:t>
      </w:r>
      <w:r>
        <w:rPr>
          <w:rFonts w:hint="eastAsia" w:ascii="宋体" w:hAnsi="宋体" w:cs="Calibri"/>
          <w:color w:val="000000"/>
          <w:kern w:val="0"/>
          <w:sz w:val="22"/>
        </w:rPr>
        <w:t>四</w:t>
      </w:r>
      <w:r>
        <w:rPr>
          <w:rFonts w:ascii="宋体" w:hAnsi="宋体" w:cs="Calibri"/>
          <w:color w:val="000000"/>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color w:val="000000"/>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b/>
          <w:color w:val="000000"/>
          <w:kern w:val="0"/>
          <w:sz w:val="22"/>
        </w:rPr>
      </w:pPr>
      <w:r>
        <w:rPr>
          <w:rFonts w:hint="eastAsia" w:ascii="宋体" w:hAnsi="宋体" w:cs="Calibri"/>
          <w:color w:val="000000"/>
          <w:kern w:val="0"/>
          <w:sz w:val="22"/>
        </w:rPr>
        <w:t xml:space="preserve">7.4.3 </w:t>
      </w:r>
      <w:r>
        <w:rPr>
          <w:rFonts w:hint="eastAsia" w:ascii="宋体" w:hAnsi="宋体" w:cs="Calibri"/>
          <w:b/>
          <w:color w:val="000000"/>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 xml:space="preserve">7.4.4 </w:t>
      </w:r>
      <w:r>
        <w:rPr>
          <w:rFonts w:hint="eastAsia" w:ascii="宋体" w:hAnsi="宋体" w:cs="Calibri"/>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82"/>
      <w:bookmarkEnd w:id="83"/>
      <w:bookmarkEnd w:id="84"/>
    </w:p>
    <w:p>
      <w:pPr>
        <w:autoSpaceDE w:val="0"/>
        <w:autoSpaceDN w:val="0"/>
        <w:adjustRightInd w:val="0"/>
        <w:snapToGrid w:val="0"/>
        <w:spacing w:line="360" w:lineRule="exact"/>
        <w:rPr>
          <w:rFonts w:ascii="宋体" w:hAnsi="宋体" w:cs="Calibri"/>
          <w:b/>
          <w:bCs/>
          <w:kern w:val="0"/>
          <w:sz w:val="22"/>
        </w:rPr>
      </w:pPr>
      <w:bookmarkStart w:id="85" w:name="_Toc219809802"/>
      <w:bookmarkStart w:id="86" w:name="_Toc220123242"/>
      <w:bookmarkStart w:id="87" w:name="_Toc15553"/>
      <w:r>
        <w:rPr>
          <w:rFonts w:ascii="宋体" w:hAnsi="宋体" w:cs="Calibri"/>
          <w:b/>
          <w:bCs/>
          <w:kern w:val="0"/>
          <w:sz w:val="22"/>
        </w:rPr>
        <w:t>8.1 重新招标</w:t>
      </w:r>
      <w:bookmarkEnd w:id="85"/>
      <w:bookmarkEnd w:id="86"/>
      <w:bookmarkEnd w:id="8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有下列情形之一的，招标人将重新招标；</w:t>
      </w:r>
    </w:p>
    <w:p>
      <w:pPr>
        <w:adjustRightInd w:val="0"/>
        <w:snapToGrid w:val="0"/>
        <w:spacing w:line="360" w:lineRule="exact"/>
        <w:ind w:firstLine="440" w:firstLineChars="200"/>
        <w:rPr>
          <w:rFonts w:ascii="宋体" w:hAnsi="宋体" w:cs="Calibri"/>
          <w:color w:val="000000"/>
          <w:kern w:val="0"/>
          <w:sz w:val="22"/>
        </w:rPr>
      </w:pPr>
      <w:r>
        <w:rPr>
          <w:rFonts w:ascii="宋体" w:hAnsi="宋体" w:cs="Calibri"/>
          <w:color w:val="000000"/>
          <w:kern w:val="0"/>
          <w:sz w:val="22"/>
        </w:rPr>
        <w:t>（1）投标截止时间止，投标人少于3个的；</w:t>
      </w:r>
    </w:p>
    <w:p>
      <w:pPr>
        <w:adjustRightInd w:val="0"/>
        <w:snapToGrid w:val="0"/>
        <w:spacing w:line="360" w:lineRule="exact"/>
        <w:ind w:firstLine="440" w:firstLineChars="200"/>
        <w:rPr>
          <w:rFonts w:ascii="宋体" w:hAnsi="宋体" w:cs="Calibri"/>
          <w:color w:val="000000"/>
          <w:kern w:val="0"/>
          <w:sz w:val="22"/>
        </w:rPr>
      </w:pPr>
      <w:r>
        <w:rPr>
          <w:rFonts w:hint="eastAsia" w:ascii="宋体" w:hAnsi="宋体" w:cs="Calibri"/>
          <w:color w:val="000000"/>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kern w:val="0"/>
          <w:sz w:val="22"/>
        </w:rPr>
        <w:t>（</w:t>
      </w:r>
      <w:r>
        <w:rPr>
          <w:rFonts w:hint="eastAsia" w:ascii="宋体" w:hAnsi="宋体" w:cs="Calibri"/>
          <w:color w:val="000000"/>
          <w:kern w:val="0"/>
          <w:sz w:val="22"/>
        </w:rPr>
        <w:t>3</w:t>
      </w:r>
      <w:r>
        <w:rPr>
          <w:rFonts w:ascii="宋体" w:hAnsi="宋体" w:cs="Calibri"/>
          <w:color w:val="000000"/>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8" w:name="_Toc219809803"/>
      <w:bookmarkStart w:id="89" w:name="_Toc220123243"/>
      <w:bookmarkStart w:id="90" w:name="_Toc18806"/>
      <w:r>
        <w:rPr>
          <w:rFonts w:ascii="宋体" w:hAnsi="宋体" w:cs="Calibri"/>
          <w:b/>
          <w:bCs/>
          <w:kern w:val="0"/>
          <w:sz w:val="22"/>
        </w:rPr>
        <w:t>8.2 不再招标</w:t>
      </w:r>
      <w:bookmarkEnd w:id="88"/>
      <w:bookmarkEnd w:id="89"/>
      <w:bookmarkEnd w:id="9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91" w:name="_Toc215941254"/>
      <w:bookmarkStart w:id="92" w:name="_Toc219809804"/>
      <w:bookmarkStart w:id="93" w:name="_Toc220123244"/>
      <w:bookmarkStart w:id="94" w:name="_Toc2986"/>
      <w:r>
        <w:rPr>
          <w:rFonts w:ascii="宋体" w:hAnsi="宋体" w:cs="Calibri"/>
          <w:b/>
          <w:bCs/>
          <w:kern w:val="0"/>
          <w:sz w:val="22"/>
        </w:rPr>
        <w:t>9.纪律和监督</w:t>
      </w:r>
      <w:bookmarkEnd w:id="91"/>
      <w:bookmarkEnd w:id="92"/>
      <w:bookmarkEnd w:id="93"/>
      <w:bookmarkEnd w:id="94"/>
    </w:p>
    <w:p>
      <w:pPr>
        <w:autoSpaceDE w:val="0"/>
        <w:autoSpaceDN w:val="0"/>
        <w:adjustRightInd w:val="0"/>
        <w:snapToGrid w:val="0"/>
        <w:spacing w:line="360" w:lineRule="exact"/>
        <w:rPr>
          <w:rFonts w:ascii="宋体" w:hAnsi="宋体" w:cs="Calibri"/>
          <w:b/>
          <w:bCs/>
          <w:kern w:val="0"/>
          <w:sz w:val="22"/>
        </w:rPr>
      </w:pPr>
      <w:bookmarkStart w:id="95" w:name="_Toc219809805"/>
      <w:bookmarkStart w:id="96" w:name="_Toc220123245"/>
      <w:bookmarkStart w:id="97" w:name="_Toc5509"/>
      <w:r>
        <w:rPr>
          <w:rFonts w:ascii="宋体" w:hAnsi="宋体" w:cs="Calibri"/>
          <w:b/>
          <w:bCs/>
          <w:kern w:val="0"/>
          <w:sz w:val="22"/>
        </w:rPr>
        <w:t>9.1 对招标人的纪律要求</w:t>
      </w:r>
      <w:bookmarkEnd w:id="95"/>
      <w:bookmarkEnd w:id="96"/>
      <w:bookmarkEnd w:id="97"/>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8" w:name="_Toc219809806"/>
      <w:bookmarkStart w:id="99" w:name="_Toc220123246"/>
      <w:bookmarkStart w:id="100" w:name="_Toc10820"/>
      <w:r>
        <w:rPr>
          <w:rFonts w:ascii="宋体" w:hAnsi="宋体" w:cs="Calibri"/>
          <w:b/>
          <w:bCs/>
          <w:kern w:val="0"/>
          <w:sz w:val="22"/>
        </w:rPr>
        <w:t>9.2 对投标人的纪律要求</w:t>
      </w:r>
      <w:bookmarkEnd w:id="98"/>
      <w:bookmarkEnd w:id="99"/>
      <w:bookmarkEnd w:id="100"/>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color w:val="000000"/>
          <w:sz w:val="22"/>
        </w:rPr>
      </w:pPr>
      <w:r>
        <w:rPr>
          <w:rFonts w:hint="eastAsia" w:ascii="宋体" w:hAnsi="宋体" w:cs="Calibri"/>
          <w:b/>
          <w:color w:val="000000"/>
          <w:sz w:val="22"/>
        </w:rPr>
        <w:t>若投标人存在串通投标或弄虚作假或有其他违法行为的，招标人有权不予退还投标人的投标保证金，2年内禁止参与招标人所有招标项目的投标，给招标人造成损失的，还需承担赔偿责任。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101" w:name="_Toc219809807"/>
      <w:bookmarkStart w:id="102" w:name="_Toc220123247"/>
      <w:bookmarkStart w:id="103" w:name="_Toc10756"/>
      <w:r>
        <w:rPr>
          <w:rFonts w:ascii="宋体" w:hAnsi="宋体" w:cs="Calibri"/>
          <w:b/>
          <w:bCs/>
          <w:kern w:val="0"/>
          <w:sz w:val="22"/>
        </w:rPr>
        <w:t>9.3 对评标委员会成员的纪律要求</w:t>
      </w:r>
      <w:bookmarkEnd w:id="101"/>
      <w:bookmarkEnd w:id="102"/>
      <w:bookmarkEnd w:id="103"/>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五</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4" w:name="_Toc219809808"/>
      <w:bookmarkStart w:id="105" w:name="_Toc220123248"/>
      <w:bookmarkStart w:id="106" w:name="_Toc12792"/>
      <w:r>
        <w:rPr>
          <w:rFonts w:ascii="宋体" w:hAnsi="宋体" w:cs="Calibri"/>
          <w:b/>
          <w:bCs/>
          <w:kern w:val="0"/>
          <w:sz w:val="22"/>
        </w:rPr>
        <w:t>9.4 对评标活动有关的工作人员的纪律要求</w:t>
      </w:r>
      <w:bookmarkEnd w:id="104"/>
      <w:bookmarkEnd w:id="105"/>
      <w:bookmarkEnd w:id="106"/>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7" w:name="_Toc219809809"/>
      <w:bookmarkStart w:id="108" w:name="_Toc220123249"/>
      <w:bookmarkStart w:id="109" w:name="_Toc239"/>
      <w:r>
        <w:rPr>
          <w:rFonts w:ascii="宋体" w:hAnsi="宋体" w:cs="Calibri"/>
          <w:b/>
          <w:bCs/>
          <w:kern w:val="0"/>
          <w:sz w:val="22"/>
        </w:rPr>
        <w:t>9.5 投诉</w:t>
      </w:r>
      <w:bookmarkEnd w:id="107"/>
      <w:bookmarkEnd w:id="108"/>
      <w:bookmarkEnd w:id="109"/>
    </w:p>
    <w:p>
      <w:pPr>
        <w:adjustRightInd w:val="0"/>
        <w:snapToGrid w:val="0"/>
        <w:spacing w:line="360" w:lineRule="exact"/>
        <w:ind w:firstLine="440" w:firstLineChars="20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10" w:name="_Toc10817"/>
      <w:r>
        <w:rPr>
          <w:rFonts w:ascii="宋体" w:hAnsi="宋体" w:cs="Calibri"/>
          <w:b/>
          <w:bCs/>
          <w:kern w:val="0"/>
          <w:sz w:val="22"/>
        </w:rPr>
        <w:t>10. 需要补充的其他内容</w:t>
      </w:r>
      <w:bookmarkEnd w:id="110"/>
    </w:p>
    <w:p>
      <w:pPr>
        <w:autoSpaceDE w:val="0"/>
        <w:autoSpaceDN w:val="0"/>
        <w:adjustRightInd w:val="0"/>
        <w:snapToGrid w:val="0"/>
        <w:spacing w:line="360" w:lineRule="exact"/>
        <w:ind w:firstLine="440" w:firstLineChars="200"/>
        <w:jc w:val="left"/>
        <w:rPr>
          <w:rFonts w:ascii="宋体" w:hAnsi="宋体" w:cs="Calibri"/>
          <w:color w:val="000000"/>
          <w:sz w:val="22"/>
        </w:rPr>
      </w:pPr>
      <w:r>
        <w:rPr>
          <w:rFonts w:ascii="宋体" w:hAnsi="宋体" w:cs="Calibri"/>
          <w:color w:val="000000"/>
          <w:sz w:val="22"/>
        </w:rPr>
        <w:t>需要补充的其他内容：见投标人须知前附表。</w:t>
      </w:r>
    </w:p>
    <w:p>
      <w:pPr>
        <w:pStyle w:val="2"/>
        <w:snapToGrid w:val="0"/>
        <w:spacing w:before="0" w:after="0" w:line="400" w:lineRule="exact"/>
        <w:rPr>
          <w:rFonts w:hint="eastAsia" w:ascii="宋体" w:hAnsi="宋体"/>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spacing w:line="400" w:lineRule="exact"/>
        <w:jc w:val="center"/>
        <w:rPr>
          <w:rFonts w:ascii="仿宋_GB2312" w:hAnsi="宋体" w:eastAsia="仿宋_GB2312"/>
          <w:b/>
          <w:sz w:val="28"/>
          <w:szCs w:val="28"/>
        </w:rPr>
      </w:pPr>
      <w:bookmarkStart w:id="111" w:name="_Toc223327527"/>
      <w:bookmarkStart w:id="112" w:name="_Toc213036227"/>
    </w:p>
    <w:p>
      <w:pPr>
        <w:pStyle w:val="2"/>
        <w:spacing w:before="0" w:after="0" w:line="400" w:lineRule="exact"/>
        <w:jc w:val="center"/>
        <w:rPr>
          <w:rFonts w:ascii="Calibri" w:hAnsi="Calibri" w:eastAsia="黑体" w:cs="Calibri"/>
          <w:kern w:val="0"/>
          <w:sz w:val="32"/>
        </w:rPr>
      </w:pPr>
      <w:bookmarkStart w:id="113"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1"/>
      <w:bookmarkEnd w:id="112"/>
      <w:r>
        <w:rPr>
          <w:rFonts w:hint="eastAsia" w:ascii="Calibri" w:hAnsi="Calibri" w:eastAsia="黑体" w:cs="Calibri"/>
          <w:kern w:val="0"/>
          <w:sz w:val="32"/>
        </w:rPr>
        <w:t>服务技术标准及要求</w:t>
      </w:r>
      <w:bookmarkEnd w:id="113"/>
    </w:p>
    <w:p>
      <w:pPr>
        <w:pStyle w:val="2"/>
        <w:spacing w:before="0" w:after="0" w:line="400" w:lineRule="exact"/>
        <w:jc w:val="left"/>
        <w:rPr>
          <w:rFonts w:ascii="宋体" w:hAnsi="宋体" w:cs="Calibri"/>
          <w:color w:val="000000"/>
          <w:kern w:val="2"/>
          <w:sz w:val="22"/>
        </w:rPr>
      </w:pPr>
      <w:r>
        <w:rPr>
          <w:rFonts w:hint="eastAsia" w:ascii="宋体" w:hAnsi="宋体" w:cs="Calibri"/>
          <w:color w:val="000000"/>
          <w:kern w:val="2"/>
          <w:sz w:val="22"/>
        </w:rPr>
        <w:t>一、服务内容及要求</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标段一：工程建设项目招标代理机构选聘项目（包含工程建设项目所涉及的勘察、设计、监理施工等）</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1、招标准备阶段主要工作内容</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1.1全面了解项目工程情况和计划安排；</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1.2协助招标人初步拟订招标方案、招标计划、标段划分；</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1.3编制资格预审文件或招标文件；根据招标人要求，制定合同专用条款；编制各标段工程量清单和各标段工程预算价，做好与工程造价咨询机构编制的工程量清单和预算价复核工作；根据投标单位的反馈意见做好工程量清单的复核、调整工作；协助招标人确定最高投标限价；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1.4向招标人提供有关招投标的法律咨询服务。</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2、招标、评标阶段主要工作内容</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2.1负责做好向招投标管理部门办理工程报建和发包申请，以及资格预审文件或招标文件的备案审定和修改工作。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2.2起草、发布招标公告，并发售资格预审文件或招标文件；及时向招标人反馈报名情况。</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2.3负责组织标前会及现场踏勘；并负责做好资格预审文件或招标文件的澄清和答疑工作；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2.4组织开标、评标工作；协助招标人审查投标人资格；出具书面招标情况汇报和评标报告，送招标人及有关部门备案和公示；</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2.5负责做好投标人提出的异议和投诉的处理。</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2.6负责向中标人发中标通知书，并将中标结果通知所有未中标的投标人。</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2.7协助招标人做好与中标人在合同签订前有关事项的书面确认，并根据招投标管理部门的有关规定，负责办理合同报备工作。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2.9协助委托人做好与中标人在合同签订前有关事项的书面确认，并根据招投标管理部门的有关规定，负责办理合同报备工作。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2.10负责整理汇总招标、评标过程中的有关原始文件和资料，按招标人档案管理要求提交存档；</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2.11</w:t>
      </w:r>
      <w:r>
        <w:rPr>
          <w:rFonts w:hint="eastAsia" w:ascii="宋体" w:hAnsi="宋体" w:cs="Calibri"/>
          <w:color w:val="000000"/>
          <w:sz w:val="22"/>
        </w:rPr>
        <w:t>按照招标工作的有关规定，做好相关其它工作。</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2.12</w:t>
      </w:r>
      <w:r>
        <w:rPr>
          <w:rFonts w:ascii="Microsoft YaHei,Segoe UI Emoji" w:hAnsi="Microsoft YaHei,Segoe UI Emoji"/>
          <w:color w:val="000000"/>
          <w:szCs w:val="21"/>
        </w:rPr>
        <w:t>负责核实合同条款内容发布的招标文件、中标单位提供的投标文件、投标承诺等内容相符，并出具书面承诺函（详见附件）后，</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所属的具体经办部门才可以申报合同审核流程。</w:t>
      </w:r>
    </w:p>
    <w:p>
      <w:pPr>
        <w:adjustRightInd w:val="0"/>
        <w:snapToGrid w:val="0"/>
        <w:spacing w:line="400" w:lineRule="exact"/>
        <w:ind w:firstLine="330" w:firstLineChars="150"/>
        <w:rPr>
          <w:rFonts w:ascii="宋体" w:hAnsi="宋体" w:cs="Calibri"/>
          <w:color w:val="000000"/>
          <w:sz w:val="22"/>
        </w:rPr>
      </w:pPr>
      <w:r>
        <w:rPr>
          <w:rFonts w:hint="eastAsia" w:ascii="宋体" w:hAnsi="宋体" w:cs="Calibri"/>
          <w:color w:val="000000"/>
          <w:sz w:val="22"/>
        </w:rPr>
        <w:t xml:space="preserve"> 3、后期服务阶段</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合同执行过程中应定期进行回访，并应协助招标人督促中标人按投标承诺认真履行合同。</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标段二：设备、货物及服务招标代理机构选聘项目</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1、主要服务内容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1.1协助招标人办理项目立项申报事宜。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1.2编制招标相关文件报送招标人审核后报相关主管部门批准。</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1.3依法代表招标人发布招标公告，负责与政府招标管理部门进行协调。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1.4组织现场踏勘和答疑。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1.5.组织标前会议，负责资格预审文件和招标文件的澄清、修改与补充。</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1.6组织开标。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1.7组织专家评审，编制招标情况书面报告，并将评审报告报送招标人，并报相关主管部门审批。</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1.8负责做好投标人提出的异议和投诉的处理。</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1.9负责向中标人发中标通知书，并将中标结果通知所有未中标的投标人。</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1.10负责办理与招标项目有关的报批手续。</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1.11负责整理汇总招标、评标过程中的有关原始文件和资料，按招标人档案管理要求提交存档。</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1.12按照招标工作的有关规定，做好相关其它工作</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1.132.12</w:t>
      </w:r>
      <w:r>
        <w:rPr>
          <w:rFonts w:ascii="Microsoft YaHei,Segoe UI Emoji" w:hAnsi="Microsoft YaHei,Segoe UI Emoji"/>
          <w:color w:val="000000"/>
          <w:szCs w:val="21"/>
        </w:rPr>
        <w:t>负责核实合同条款内容发布的招标文件、中标单位提供的投标文件、投标承诺等内容相符，并出具书面承诺函（详见附件）后，</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所属的具体经办部门才可以申报合同审核流程。</w:t>
      </w:r>
    </w:p>
    <w:p>
      <w:pPr>
        <w:pStyle w:val="2"/>
        <w:spacing w:before="0" w:after="0" w:line="400" w:lineRule="exact"/>
        <w:jc w:val="left"/>
        <w:rPr>
          <w:rFonts w:ascii="宋体" w:hAnsi="宋体" w:cs="Calibri"/>
          <w:color w:val="000000"/>
          <w:kern w:val="2"/>
          <w:sz w:val="22"/>
        </w:rPr>
      </w:pPr>
      <w:r>
        <w:rPr>
          <w:rFonts w:hint="eastAsia" w:ascii="宋体" w:hAnsi="宋体" w:cs="Calibri"/>
          <w:color w:val="000000"/>
          <w:kern w:val="2"/>
          <w:sz w:val="22"/>
        </w:rPr>
        <w:t>二、其他配套服务要求：</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 为招标人提供招标有关的法律、法规、政策等方面的建议；</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 招标人在自行组织实施招标项目时，投标人按招标人要求在（省、全国性的招标网站）发布招标公告；</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3、 为招标人提供招标咨询服务，协助对招标人自行组织实施的项目招标文件进行编制，并提出修改意见；</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 协助对招标人自行组织实施的招标项目工程项目工程量清单及预算价进行编制；</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5、每项招标代理业务结束后，向委托人无偿提供该项招标代理完整成果的纸质资料一套，电子版资料一套。</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6、 按招标人要求，对招标人员工开展招标知识讲座培训，每年至少一次，内容由招标人决定；</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7、其他应招标人要求提供的服务。</w:t>
      </w:r>
    </w:p>
    <w:p>
      <w:pPr>
        <w:pStyle w:val="2"/>
        <w:spacing w:before="0" w:after="0" w:line="400" w:lineRule="exact"/>
        <w:jc w:val="left"/>
        <w:rPr>
          <w:rFonts w:ascii="宋体" w:hAnsi="宋体" w:cs="Calibri"/>
          <w:color w:val="000000"/>
          <w:kern w:val="2"/>
          <w:sz w:val="22"/>
        </w:rPr>
      </w:pPr>
      <w:r>
        <w:rPr>
          <w:rFonts w:hint="eastAsia" w:ascii="宋体" w:hAnsi="宋体" w:cs="Calibri"/>
          <w:color w:val="000000"/>
          <w:kern w:val="2"/>
          <w:sz w:val="22"/>
        </w:rPr>
        <w:t>三、招标代理报价</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1、招标代理报价方案。投标人以</w:t>
      </w:r>
      <w:r>
        <w:rPr>
          <w:rFonts w:ascii="宋体" w:hAnsi="宋体" w:cs="Calibri"/>
          <w:color w:val="000000"/>
          <w:sz w:val="22"/>
        </w:rPr>
        <w:t>国家</w:t>
      </w:r>
      <w:r>
        <w:rPr>
          <w:rFonts w:hint="eastAsia" w:ascii="宋体" w:hAnsi="宋体" w:cs="Calibri"/>
          <w:color w:val="000000"/>
          <w:sz w:val="22"/>
        </w:rPr>
        <w:t>发展改革委员会发布的</w:t>
      </w:r>
      <w:r>
        <w:rPr>
          <w:rFonts w:ascii="宋体" w:hAnsi="宋体" w:cs="Calibri"/>
          <w:color w:val="000000"/>
          <w:sz w:val="22"/>
        </w:rPr>
        <w:t>发改办价格[2003]857号文</w:t>
      </w:r>
      <w:r>
        <w:rPr>
          <w:rFonts w:hint="eastAsia" w:ascii="宋体" w:hAnsi="宋体" w:cs="Calibri"/>
          <w:color w:val="000000"/>
          <w:sz w:val="22"/>
        </w:rPr>
        <w:t>、发改价格[2011]534号文</w:t>
      </w:r>
      <w:r>
        <w:rPr>
          <w:rFonts w:ascii="宋体" w:hAnsi="宋体" w:cs="Calibri"/>
          <w:color w:val="000000"/>
          <w:sz w:val="22"/>
        </w:rPr>
        <w:t>的规定</w:t>
      </w:r>
      <w:r>
        <w:rPr>
          <w:rFonts w:hint="eastAsia" w:ascii="宋体" w:hAnsi="宋体" w:cs="Calibri"/>
          <w:color w:val="000000"/>
          <w:sz w:val="22"/>
        </w:rPr>
        <w:t>为基数，对三年内所承接招标项目不分金额大小、不分项目性质自行确定优惠幅度，提出</w:t>
      </w:r>
      <w:r>
        <w:rPr>
          <w:rFonts w:hint="eastAsia" w:ascii="宋体" w:hAnsi="宋体" w:cs="Calibri"/>
          <w:b/>
          <w:color w:val="000000"/>
          <w:sz w:val="22"/>
        </w:rPr>
        <w:t>优惠费率（优惠</w:t>
      </w:r>
      <w:r>
        <w:rPr>
          <w:rFonts w:ascii="宋体" w:hAnsi="宋体" w:cs="Calibri"/>
          <w:b/>
          <w:color w:val="000000"/>
          <w:sz w:val="22"/>
        </w:rPr>
        <w:t>费率</w:t>
      </w:r>
      <w:r>
        <w:rPr>
          <w:rFonts w:hint="eastAsia" w:ascii="宋体" w:hAnsi="宋体" w:cs="Calibri"/>
          <w:b/>
          <w:color w:val="000000"/>
          <w:sz w:val="22"/>
        </w:rPr>
        <w:t>=</w:t>
      </w:r>
      <w:r>
        <w:rPr>
          <w:rFonts w:ascii="宋体" w:hAnsi="宋体" w:cs="Calibri"/>
          <w:b/>
          <w:color w:val="000000"/>
          <w:sz w:val="22"/>
        </w:rPr>
        <w:t>1-下浮率</w:t>
      </w:r>
      <w:r>
        <w:rPr>
          <w:rFonts w:hint="eastAsia" w:ascii="宋体" w:hAnsi="宋体" w:cs="Calibri"/>
          <w:b/>
          <w:color w:val="000000"/>
          <w:sz w:val="22"/>
        </w:rPr>
        <w:t>）</w:t>
      </w:r>
      <w:r>
        <w:rPr>
          <w:rFonts w:hint="eastAsia" w:ascii="宋体" w:hAnsi="宋体" w:cs="Calibri"/>
          <w:color w:val="000000"/>
          <w:sz w:val="22"/>
        </w:rPr>
        <w:t>。即招标代理服务费＝基数×优惠费率。</w:t>
      </w:r>
      <w:r>
        <w:rPr>
          <w:rFonts w:hint="eastAsia" w:ascii="宋体" w:hAnsi="宋体" w:cs="Calibri"/>
          <w:b/>
          <w:color w:val="000000"/>
          <w:sz w:val="22"/>
        </w:rPr>
        <w:t>招标代理服务费原则上由各项目中标单位负责支付给招标代理公司，政府部门有相关规定的从其规定。其中标段</w:t>
      </w:r>
      <w:r>
        <w:rPr>
          <w:rFonts w:ascii="宋体" w:hAnsi="宋体" w:cs="Calibri"/>
          <w:b/>
          <w:color w:val="000000"/>
          <w:sz w:val="22"/>
        </w:rPr>
        <w:t>二</w:t>
      </w:r>
      <w:r>
        <w:rPr>
          <w:rFonts w:hint="eastAsia" w:ascii="宋体" w:hAnsi="宋体" w:cs="Calibri"/>
          <w:b/>
          <w:color w:val="000000"/>
          <w:sz w:val="22"/>
        </w:rPr>
        <w:t>涉及</w:t>
      </w:r>
      <w:r>
        <w:rPr>
          <w:rFonts w:ascii="宋体" w:hAnsi="宋体" w:cs="Calibri"/>
          <w:b/>
          <w:color w:val="000000"/>
          <w:sz w:val="22"/>
        </w:rPr>
        <w:t>的服务类项目（</w:t>
      </w:r>
      <w:r>
        <w:rPr>
          <w:rFonts w:hint="eastAsia" w:ascii="宋体" w:hAnsi="宋体" w:cs="Calibri"/>
          <w:b/>
          <w:color w:val="000000"/>
          <w:sz w:val="22"/>
        </w:rPr>
        <w:t>如</w:t>
      </w:r>
      <w:r>
        <w:rPr>
          <w:rFonts w:ascii="宋体" w:hAnsi="宋体" w:cs="Calibri"/>
          <w:b/>
          <w:color w:val="000000"/>
          <w:sz w:val="22"/>
        </w:rPr>
        <w:t>外包等），</w:t>
      </w:r>
      <w:r>
        <w:rPr>
          <w:rFonts w:hint="eastAsia" w:ascii="宋体" w:hAnsi="宋体" w:cs="Calibri"/>
          <w:b/>
          <w:color w:val="000000"/>
          <w:sz w:val="22"/>
        </w:rPr>
        <w:t>若</w:t>
      </w:r>
      <w:r>
        <w:rPr>
          <w:rFonts w:ascii="宋体" w:hAnsi="宋体" w:cs="Calibri"/>
          <w:b/>
          <w:color w:val="000000"/>
          <w:sz w:val="22"/>
        </w:rPr>
        <w:t>合同期大于</w:t>
      </w:r>
      <w:r>
        <w:rPr>
          <w:rFonts w:hint="eastAsia" w:ascii="宋体" w:hAnsi="宋体" w:cs="Calibri"/>
          <w:b/>
          <w:color w:val="000000"/>
          <w:sz w:val="22"/>
        </w:rPr>
        <w:t>一年</w:t>
      </w:r>
      <w:r>
        <w:rPr>
          <w:rFonts w:ascii="宋体" w:hAnsi="宋体" w:cs="Calibri"/>
          <w:b/>
          <w:color w:val="000000"/>
          <w:sz w:val="22"/>
        </w:rPr>
        <w:t>，</w:t>
      </w:r>
      <w:r>
        <w:rPr>
          <w:rFonts w:hint="eastAsia" w:ascii="宋体" w:hAnsi="宋体" w:cs="Calibri"/>
          <w:b/>
          <w:color w:val="000000"/>
          <w:sz w:val="22"/>
        </w:rPr>
        <w:t>计算</w:t>
      </w:r>
      <w:r>
        <w:rPr>
          <w:rFonts w:ascii="宋体" w:hAnsi="宋体" w:cs="Calibri"/>
          <w:b/>
          <w:color w:val="000000"/>
          <w:sz w:val="22"/>
        </w:rPr>
        <w:t>招标代理服务费时</w:t>
      </w:r>
      <w:r>
        <w:rPr>
          <w:rFonts w:hint="eastAsia" w:ascii="宋体" w:hAnsi="宋体" w:cs="Calibri"/>
          <w:b/>
          <w:color w:val="000000"/>
          <w:sz w:val="22"/>
        </w:rPr>
        <w:t>，以</w:t>
      </w:r>
      <w:r>
        <w:rPr>
          <w:rFonts w:ascii="宋体" w:hAnsi="宋体" w:cs="Calibri"/>
          <w:b/>
          <w:color w:val="000000"/>
          <w:sz w:val="22"/>
        </w:rPr>
        <w:t>第一年的中标金额</w:t>
      </w:r>
      <w:r>
        <w:rPr>
          <w:rFonts w:hint="eastAsia" w:ascii="宋体" w:hAnsi="宋体" w:cs="Calibri"/>
          <w:b/>
          <w:color w:val="000000"/>
          <w:sz w:val="22"/>
        </w:rPr>
        <w:t>计算</w:t>
      </w:r>
      <w:r>
        <w:rPr>
          <w:rFonts w:ascii="宋体" w:hAnsi="宋体" w:cs="Calibri"/>
          <w:b/>
          <w:color w:val="000000"/>
          <w:sz w:val="22"/>
        </w:rPr>
        <w:t>基数</w:t>
      </w:r>
      <w:r>
        <w:rPr>
          <w:rFonts w:hint="eastAsia" w:ascii="宋体" w:hAnsi="宋体" w:cs="Calibri"/>
          <w:b/>
          <w:color w:val="000000"/>
          <w:sz w:val="22"/>
        </w:rPr>
        <w:t>，无</w:t>
      </w:r>
      <w:r>
        <w:rPr>
          <w:rFonts w:ascii="宋体" w:hAnsi="宋体" w:cs="Calibri"/>
          <w:b/>
          <w:color w:val="000000"/>
          <w:sz w:val="22"/>
        </w:rPr>
        <w:t>具体</w:t>
      </w:r>
      <w:r>
        <w:rPr>
          <w:rFonts w:hint="eastAsia" w:ascii="宋体" w:hAnsi="宋体" w:cs="Calibri"/>
          <w:b/>
          <w:color w:val="000000"/>
          <w:sz w:val="22"/>
        </w:rPr>
        <w:t>中标</w:t>
      </w:r>
      <w:r>
        <w:rPr>
          <w:rFonts w:ascii="宋体" w:hAnsi="宋体" w:cs="Calibri"/>
          <w:b/>
          <w:color w:val="000000"/>
          <w:sz w:val="22"/>
        </w:rPr>
        <w:t>金额的</w:t>
      </w:r>
      <w:r>
        <w:rPr>
          <w:rFonts w:hint="eastAsia" w:ascii="宋体" w:hAnsi="宋体" w:cs="Calibri"/>
          <w:b/>
          <w:color w:val="000000"/>
          <w:sz w:val="22"/>
        </w:rPr>
        <w:t>招标项目</w:t>
      </w:r>
      <w:r>
        <w:rPr>
          <w:rFonts w:ascii="宋体" w:hAnsi="宋体" w:cs="Calibri"/>
          <w:b/>
          <w:color w:val="000000"/>
          <w:sz w:val="22"/>
        </w:rPr>
        <w:t>，招标代理</w:t>
      </w:r>
      <w:r>
        <w:rPr>
          <w:rFonts w:hint="eastAsia" w:ascii="宋体" w:hAnsi="宋体" w:cs="Calibri"/>
          <w:b/>
          <w:color w:val="000000"/>
          <w:sz w:val="22"/>
        </w:rPr>
        <w:t>服务</w:t>
      </w:r>
      <w:r>
        <w:rPr>
          <w:rFonts w:ascii="宋体" w:hAnsi="宋体" w:cs="Calibri"/>
          <w:b/>
          <w:color w:val="000000"/>
          <w:sz w:val="22"/>
        </w:rPr>
        <w:t>费</w:t>
      </w:r>
      <w:r>
        <w:rPr>
          <w:rFonts w:hint="eastAsia" w:ascii="宋体" w:hAnsi="宋体" w:cs="Calibri"/>
          <w:b/>
          <w:color w:val="000000"/>
          <w:sz w:val="22"/>
        </w:rPr>
        <w:t>另行</w:t>
      </w:r>
      <w:r>
        <w:rPr>
          <w:rFonts w:ascii="宋体" w:hAnsi="宋体" w:cs="Calibri"/>
          <w:b/>
          <w:color w:val="000000"/>
          <w:sz w:val="22"/>
        </w:rPr>
        <w:t>协商明确。</w:t>
      </w:r>
    </w:p>
    <w:p>
      <w:pPr>
        <w:adjustRightInd w:val="0"/>
        <w:snapToGrid w:val="0"/>
        <w:spacing w:line="400" w:lineRule="exact"/>
        <w:ind w:firstLine="440" w:firstLineChars="200"/>
        <w:rPr>
          <w:rFonts w:hint="eastAsia" w:ascii="宋体" w:cs="宋体"/>
          <w:color w:val="000000"/>
        </w:rPr>
      </w:pPr>
      <w:r>
        <w:rPr>
          <w:rFonts w:hint="eastAsia" w:ascii="宋体" w:hAnsi="宋体" w:cs="Calibri"/>
          <w:color w:val="000000"/>
          <w:sz w:val="22"/>
        </w:rPr>
        <w:t>2、招标代理服务费报价应包括为完成项目招标代理服务过程中可能发生的所有费用，包括但</w:t>
      </w:r>
      <w:r>
        <w:rPr>
          <w:rFonts w:ascii="宋体" w:hAnsi="宋体" w:cs="Calibri"/>
          <w:color w:val="000000"/>
          <w:sz w:val="22"/>
        </w:rPr>
        <w:t>不限于</w:t>
      </w:r>
      <w:r>
        <w:rPr>
          <w:rFonts w:hint="eastAsia" w:ascii="宋体" w:hAnsi="宋体" w:cs="Calibri"/>
          <w:color w:val="000000"/>
          <w:sz w:val="22"/>
        </w:rPr>
        <w:t>受托人的人员工资、设备的费用，交通费、通信费、招标文件印刷费，招标公告发布费用，组织投标人踏勘现场并答疑，组织开标、评标、定标，评标场租费，专家评审费以及协助合同签订等业务工作的费用，以及风险(政策调整等因素)、税费、管理、利润、和为完成所有要求而可能产生的不可预见的所有费用。</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3、如招标项目为民航专业工程，评标专家应为民航专业工程及货物招标投标评标专家库成员。鉴于上述专家库为国家级专家库，成员来自全国各地，故该类项目工程招标代理服务费用除前款内容以外，还应包括专家往来交通费（含机票、车船票、市内交通费等）、住宿费、餐饮费等（食宿标准不得低于财政部相关规定），评标专家咨询费标准按照民航系统标准，并派专人、专车接送，遇专家往返时间不一致时，须分别接送，不得要求专家等候统一接送。各投标人进行报价时应统筹考虑民航专业工程额外服务费用问题，综合计算优惠费率。</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4、根据华东局发明电[201</w:t>
      </w:r>
      <w:r>
        <w:rPr>
          <w:rFonts w:ascii="宋体" w:hAnsi="宋体" w:cs="Calibri"/>
          <w:b/>
          <w:color w:val="000000"/>
          <w:sz w:val="22"/>
        </w:rPr>
        <w:t>5</w:t>
      </w:r>
      <w:r>
        <w:rPr>
          <w:rFonts w:hint="eastAsia" w:ascii="宋体" w:hAnsi="宋体" w:cs="Calibri"/>
          <w:b/>
          <w:color w:val="000000"/>
          <w:sz w:val="22"/>
        </w:rPr>
        <w:t>]3044号、华东局发明电[2016]627号，民航专业工程建设项目统一开评标地点为上海或者北京，故该类项目工程招标代理服务费用除前款内容以外，还应包括招标代理机构人员及招标人监督人员的往来交通费（含机票、车船票、市内交通费等）、住宿费、餐饮费等，各投标人进行报价时应统筹考虑民航专业工程额外服务费用问题，综合计算优惠费率。</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5、根据浙发改法规[2014]645号，省重点建设项目的评标专家在全库内部分地区随机抽取，不受地域限制，故该类项目招标代理服务费用除前款内容以外，还应包括专家往来交通费（含机票、车船票、市内交通费等）、住宿费、餐饮费等（食宿标准不得低于财政部相关规定），各投标人进行报价时应统筹考虑上述因素，综合计算优惠费率。</w:t>
      </w:r>
    </w:p>
    <w:p>
      <w:pPr>
        <w:adjustRightInd w:val="0"/>
        <w:snapToGrid w:val="0"/>
        <w:spacing w:line="400" w:lineRule="exact"/>
        <w:ind w:firstLine="440" w:firstLineChars="200"/>
        <w:rPr>
          <w:rFonts w:hint="eastAsia" w:ascii="宋体" w:hAnsi="宋体" w:cs="Calibri"/>
          <w:b/>
          <w:color w:val="000000"/>
          <w:sz w:val="22"/>
        </w:rPr>
      </w:pPr>
    </w:p>
    <w:p>
      <w:pPr>
        <w:widowControl/>
        <w:spacing w:line="400" w:lineRule="exact"/>
        <w:jc w:val="left"/>
        <w:rPr>
          <w:rFonts w:eastAsia="黑体" w:cs="Calibri"/>
          <w:b/>
          <w:bCs/>
          <w:kern w:val="0"/>
          <w:sz w:val="32"/>
          <w:szCs w:val="44"/>
        </w:rPr>
      </w:pPr>
      <w:bookmarkStart w:id="114" w:name="_Toc448002986"/>
      <w:r>
        <w:rPr>
          <w:rFonts w:eastAsia="黑体" w:cs="Calibri"/>
          <w:kern w:val="0"/>
          <w:sz w:val="32"/>
        </w:rPr>
        <w:br w:type="page"/>
      </w:r>
    </w:p>
    <w:p>
      <w:pPr>
        <w:pStyle w:val="2"/>
        <w:spacing w:before="0" w:after="0" w:line="400" w:lineRule="exact"/>
        <w:jc w:val="center"/>
        <w:rPr>
          <w:rFonts w:ascii="Calibri" w:hAnsi="Calibri" w:eastAsia="黑体" w:cs="Calibri"/>
          <w:kern w:val="0"/>
          <w:sz w:val="32"/>
        </w:rPr>
      </w:pPr>
      <w:r>
        <w:rPr>
          <w:rFonts w:hint="eastAsia" w:ascii="Calibri" w:hAnsi="Calibri" w:eastAsia="黑体" w:cs="Calibri"/>
          <w:kern w:val="0"/>
          <w:sz w:val="32"/>
        </w:rPr>
        <w:t xml:space="preserve">第四章  </w:t>
      </w:r>
      <w:r>
        <w:rPr>
          <w:rFonts w:ascii="Calibri" w:hAnsi="Calibri" w:eastAsia="黑体" w:cs="Calibri"/>
          <w:kern w:val="0"/>
          <w:sz w:val="32"/>
        </w:rPr>
        <w:t>合同</w:t>
      </w:r>
      <w:r>
        <w:rPr>
          <w:rFonts w:hint="eastAsia" w:ascii="Calibri" w:hAnsi="Calibri" w:eastAsia="黑体" w:cs="Calibri"/>
          <w:kern w:val="0"/>
          <w:sz w:val="32"/>
        </w:rPr>
        <w:t>主要</w:t>
      </w:r>
      <w:r>
        <w:rPr>
          <w:rFonts w:ascii="Calibri" w:hAnsi="Calibri" w:eastAsia="黑体" w:cs="Calibri"/>
          <w:kern w:val="0"/>
          <w:sz w:val="32"/>
        </w:rPr>
        <w:t>条款</w:t>
      </w:r>
      <w:bookmarkEnd w:id="114"/>
    </w:p>
    <w:p>
      <w:pPr>
        <w:widowControl/>
        <w:jc w:val="left"/>
        <w:rPr>
          <w:rFonts w:ascii="宋体" w:hAnsi="宋体"/>
          <w:b/>
          <w:sz w:val="32"/>
        </w:rPr>
      </w:pPr>
      <w:r>
        <w:rPr>
          <w:rFonts w:ascii="宋体" w:hAnsi="宋体"/>
          <w:b/>
          <w:sz w:val="32"/>
        </w:rPr>
        <w:br w:type="page"/>
      </w:r>
    </w:p>
    <w:p>
      <w:pPr>
        <w:spacing w:line="400" w:lineRule="exact"/>
        <w:jc w:val="center"/>
        <w:rPr>
          <w:rFonts w:ascii="宋体" w:hAnsi="宋体"/>
          <w:b/>
          <w:sz w:val="32"/>
        </w:rPr>
      </w:pPr>
      <w:r>
        <w:rPr>
          <w:rFonts w:hint="eastAsia" w:ascii="宋体" w:hAnsi="宋体"/>
          <w:b/>
          <w:sz w:val="32"/>
        </w:rPr>
        <w:t>工程建设项目招标代理合同</w:t>
      </w:r>
    </w:p>
    <w:p>
      <w:pPr>
        <w:adjustRightInd w:val="0"/>
        <w:snapToGrid w:val="0"/>
        <w:spacing w:line="400" w:lineRule="exact"/>
        <w:ind w:firstLine="440" w:firstLineChars="200"/>
        <w:jc w:val="center"/>
        <w:rPr>
          <w:rFonts w:ascii="宋体" w:hAnsi="宋体" w:cs="Calibri"/>
          <w:b/>
          <w:color w:val="000000"/>
          <w:sz w:val="22"/>
        </w:rPr>
      </w:pPr>
      <w:r>
        <w:rPr>
          <w:rFonts w:hint="eastAsia" w:ascii="宋体" w:hAnsi="宋体" w:cs="Calibri"/>
          <w:b/>
          <w:color w:val="000000"/>
          <w:sz w:val="22"/>
        </w:rPr>
        <w:t>第一部分 合同协议书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委托人：</w:t>
      </w: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住所地：</w:t>
      </w:r>
      <w:r>
        <w:rPr>
          <w:rFonts w:ascii="宋体" w:hAnsi="宋体" w:cs="Calibri"/>
          <w:color w:val="000000"/>
          <w:sz w:val="22"/>
        </w:rPr>
        <w:t xml:space="preserve"> </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 xml:space="preserve">受托人： </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 xml:space="preserve">住所地： </w:t>
      </w:r>
    </w:p>
    <w:p>
      <w:pPr>
        <w:adjustRightInd w:val="0"/>
        <w:snapToGrid w:val="0"/>
        <w:spacing w:line="400" w:lineRule="exact"/>
        <w:ind w:firstLine="440" w:firstLineChars="200"/>
        <w:rPr>
          <w:rFonts w:hint="eastAsia" w:ascii="宋体" w:hAnsi="宋体" w:cs="Calibri"/>
          <w:color w:val="000000"/>
          <w:sz w:val="22"/>
        </w:rPr>
      </w:pP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依照《中华人民共和国合同法》、 《中华人民共和国招标投标法》及实施条例和国家的有关法律、行政法规，遵循平等、自愿、公平和诚实信用的原则，双方就工程建设项目招标代理事项协商一致，订立本合同。</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一、委托招标代理内容</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工程建设项目施工及相关设计、监理、咨询等，具体以委托人实际委托为准。</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1、招标准备阶段主要工作内容</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1.1全面了解项目工程情况和计划安排；</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1.2协助招标人初步拟订招标方案、招标计划、标段划分；</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1.3编制资格预审文件或招标文件；根据招标人要求，制定合同专用条款；编制各标段工程量清单和各标段工程预算价，做好与工程造价咨询机构编制的工程量清单和预算价复核工作；根据投标单位的反馈意见做好工程量清单的复核、调整工作；协助招标人确定最高投标限价；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1.4向招标人提供有关招投标的法律咨询服务。</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2、招标、评标阶段主要工作内容</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2.1负责做好向招投标管理部门办理工程报建和发包申请，以及资格预审文件或招标文件的备案审定和修改工作；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2.2起草、发布招标公告，并发售资格预审文件或招标文件；及时向招标人反馈报名情况；</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2.3负责组织标前会及现场踏勘；并负责做好资格预审文件或招标文件的澄清和答疑工作；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2.4组织开标、评标工作；协助招标人审查投标人资格；出具书面招标情况汇报和评标报告，送招标人及有关部门备案和公示；</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2.5负责做好投标人提出的异议和投诉的处理；</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2.6负责向中标人发中标通知书，并将中标结果通知所有未中标的投标人；</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2.7协助招标人做好与中标人在合同签订前有关事项的书面确认，并根据招投标管理部门的有关规定，负责办理合同报备工作；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2.8负责整理汇总招标、评标过程中的有关原始文件和资料，按招标人档案管理要求提交存档；</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2.9按照招标工作的有关规定，做好相关其它工作。</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2.10</w:t>
      </w:r>
      <w:r>
        <w:rPr>
          <w:rFonts w:ascii="Microsoft YaHei,Segoe UI Emoji" w:hAnsi="Microsoft YaHei,Segoe UI Emoji"/>
          <w:color w:val="000000"/>
          <w:szCs w:val="21"/>
        </w:rPr>
        <w:t>负责核实合同条款内容发布的招标文件、中标单位提供的投标文件、投标承诺等内容相符，并出具书面承诺函（详见附件）后，</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所属的具体经办部门才可以申报合同审核流程。</w:t>
      </w:r>
    </w:p>
    <w:p>
      <w:pPr>
        <w:adjustRightInd w:val="0"/>
        <w:snapToGrid w:val="0"/>
        <w:spacing w:line="400" w:lineRule="exact"/>
        <w:ind w:firstLine="440" w:firstLineChars="200"/>
        <w:rPr>
          <w:rFonts w:hint="eastAsia" w:ascii="宋体" w:hAnsi="宋体" w:cs="Calibri"/>
          <w:color w:val="000000"/>
          <w:sz w:val="22"/>
        </w:rPr>
      </w:pPr>
    </w:p>
    <w:p>
      <w:pPr>
        <w:adjustRightInd w:val="0"/>
        <w:snapToGrid w:val="0"/>
        <w:spacing w:line="400" w:lineRule="exact"/>
        <w:ind w:firstLine="330" w:firstLineChars="150"/>
        <w:rPr>
          <w:rFonts w:ascii="宋体" w:hAnsi="宋体" w:cs="Calibri"/>
          <w:color w:val="000000"/>
          <w:sz w:val="22"/>
        </w:rPr>
      </w:pPr>
      <w:r>
        <w:rPr>
          <w:rFonts w:hint="eastAsia" w:ascii="宋体" w:hAnsi="宋体" w:cs="Calibri"/>
          <w:color w:val="000000"/>
          <w:sz w:val="22"/>
        </w:rPr>
        <w:t xml:space="preserve"> 3、后期服务阶段</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合同执行过程中应定期进行回访，并应协助招标人督促中标人按投标承诺认真履行合同。</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二、招标代理服务费及支付方式</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招标代理服务费报价应包括为完成项目招标代理服务过程中可能发生的所有费用，包括但不仅限于公告公示费、资格预审文件或招标文件制作费、工程量清单编制、复核费、预算编制费、评标专家咨询费、市内交通费用、场租费等。</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2、政府交易中心收取的费用，由委托人、受托人各自承担。</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3、如招标项目为民航专业工程，招标评标专家应为民航总局专家库成员。因民航总局专家库为国家级专家库，成员来自全国各地，故该类项目工程招标代理服务费用除前款内容以外，还应包括专家往来交通费（含机票、车船票、市内交通费等）、住宿费、餐饮费等（食宿标准不得低于财政部相关规定），评标专家咨询费标准按照民航系统标准，并派专人、专车接送，遇专家往返时间不一致时，须分别接送，不得要求专家等候统一接送。</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4、根据华东局发明电[201</w:t>
      </w:r>
      <w:r>
        <w:rPr>
          <w:rFonts w:ascii="宋体" w:hAnsi="宋体" w:cs="Calibri"/>
          <w:color w:val="000000"/>
          <w:sz w:val="22"/>
        </w:rPr>
        <w:t>5</w:t>
      </w:r>
      <w:r>
        <w:rPr>
          <w:rFonts w:hint="eastAsia" w:ascii="宋体" w:hAnsi="宋体" w:cs="Calibri"/>
          <w:color w:val="000000"/>
          <w:sz w:val="22"/>
        </w:rPr>
        <w:t>]3044号、华东局发明电[2016]627号文件，民航专业工程建设项目统一开评标地点为上海或者北京，故该类项目工程招标代理服务费用除前款内容以外，还应包括受托人人员及委托人监督人员的往来交通费（含机票、车船票、市内交通费等）、住宿费、餐饮费等。</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5、根据浙发改法规[2014]645号，省重点建设项目的评标专家在全库内部分地区随机抽取，不受地域限制，故该类项目招标代理服务费用除前款内容以外，还应包括专家往来交通费（含机票、车船票、市内交通费等）、住宿费、餐饮费等（食宿标准不得低于财政部相关规定）。</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6、由受托人向中标人收取，招标代理服务费为</w:t>
      </w:r>
      <w:r>
        <w:rPr>
          <w:rFonts w:ascii="宋体" w:hAnsi="宋体" w:cs="Calibri"/>
          <w:color w:val="000000"/>
          <w:sz w:val="22"/>
        </w:rPr>
        <w:t>发改办价格[2003]857号文</w:t>
      </w:r>
      <w:r>
        <w:rPr>
          <w:rFonts w:hint="eastAsia" w:ascii="宋体" w:hAnsi="宋体" w:cs="Calibri"/>
          <w:color w:val="000000"/>
          <w:sz w:val="22"/>
        </w:rPr>
        <w:t>、发改价格[2011]534号文规定的基数*优惠费率。若政府部门规定招标代理服务费必须由委托人支付的，按照前述计算方式确定招标代理服务费后，由受托人提供招标完成的请款报告由委托人经办部门确认后支付。</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三、组成本合同的文件及解释顺序：</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1、本合同履行过程中双方以书面形式签署的补充和修正文件；</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2、本合同协议书；</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3、本合同专用条款；</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4、本合同通用条款；</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5、招标文件；</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6、投标文件。</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四、本协议书中的有关词语定义与本合同第一部分《通用条款》中分别赋予它们的定义相同。</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五、受托人向委托人承诺，按照本合同的约定，承担本合同专用条款中约定范围内的代理业务。</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六、合同订立</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代理服务期限为三年。</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1、起始时间： 20</w:t>
      </w:r>
      <w:r>
        <w:rPr>
          <w:rFonts w:ascii="宋体" w:hAnsi="宋体" w:cs="Calibri"/>
          <w:color w:val="000000"/>
          <w:sz w:val="22"/>
        </w:rPr>
        <w:t>20</w:t>
      </w:r>
      <w:r>
        <w:rPr>
          <w:rFonts w:hint="eastAsia" w:ascii="宋体" w:hAnsi="宋体" w:cs="Calibri"/>
          <w:color w:val="000000"/>
          <w:sz w:val="22"/>
        </w:rPr>
        <w:t>年1月1日；</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2、终止时间： 20</w:t>
      </w:r>
      <w:r>
        <w:rPr>
          <w:rFonts w:ascii="宋体" w:hAnsi="宋体" w:cs="Calibri"/>
          <w:color w:val="000000"/>
          <w:sz w:val="22"/>
        </w:rPr>
        <w:t>22</w:t>
      </w:r>
      <w:r>
        <w:rPr>
          <w:rFonts w:hint="eastAsia" w:ascii="宋体" w:hAnsi="宋体" w:cs="Calibri"/>
          <w:color w:val="000000"/>
          <w:sz w:val="22"/>
        </w:rPr>
        <w:t>年12月 31日。</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合同订立地点：</w:t>
      </w: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七、合同生效</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本合同经双方法定代表人或者授权代理人签字盖章之日起生效。</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八、本合同一式陆份，双方各执叁份，双方法定代表人或者授权代理人签字并加盖公章之日起生效。</w:t>
      </w:r>
    </w:p>
    <w:p>
      <w:pPr>
        <w:adjustRightInd w:val="0"/>
        <w:snapToGrid w:val="0"/>
        <w:spacing w:line="400" w:lineRule="exact"/>
        <w:ind w:firstLine="440" w:firstLineChars="200"/>
        <w:rPr>
          <w:rFonts w:ascii="宋体" w:hAnsi="宋体" w:cs="Calibri"/>
          <w:color w:val="000000"/>
          <w:sz w:val="22"/>
        </w:rPr>
      </w:pP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委托人（盖章）：                      受托人（盖章）：</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法定代表人（签字或盖章）：            法定代表人（签字或盖章）：</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授权代理人（签字或盖章）：            授权代理人（签字或盖章）：</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单位地址：                            单位地址：</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邮政编码：                            邮政编码：</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联系电话：                            联系电话：</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传    真：                            传    真：</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电子信箱：                            电子信箱：</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开户银行：                            开户银行：</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帐    号：                            帐    号：</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签订时间：</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widowControl/>
        <w:spacing w:line="400" w:lineRule="exact"/>
        <w:jc w:val="left"/>
        <w:rPr>
          <w:rFonts w:ascii="宋体" w:hAnsi="宋体" w:cs="Calibri"/>
          <w:b/>
          <w:color w:val="000000"/>
          <w:sz w:val="22"/>
        </w:rPr>
      </w:pPr>
      <w:r>
        <w:rPr>
          <w:rFonts w:ascii="宋体" w:hAnsi="宋体" w:cs="Calibri"/>
          <w:b/>
          <w:color w:val="000000"/>
          <w:sz w:val="22"/>
        </w:rPr>
        <w:br w:type="page"/>
      </w:r>
    </w:p>
    <w:p>
      <w:pPr>
        <w:adjustRightInd w:val="0"/>
        <w:snapToGrid w:val="0"/>
        <w:spacing w:line="400" w:lineRule="exact"/>
        <w:ind w:firstLine="440" w:firstLineChars="200"/>
        <w:jc w:val="center"/>
        <w:rPr>
          <w:rFonts w:ascii="宋体" w:hAnsi="宋体" w:cs="Calibri"/>
          <w:b/>
          <w:color w:val="000000"/>
          <w:sz w:val="22"/>
        </w:rPr>
      </w:pPr>
      <w:r>
        <w:rPr>
          <w:rFonts w:hint="eastAsia" w:ascii="宋体" w:hAnsi="宋体" w:cs="Calibri"/>
          <w:b/>
          <w:color w:val="000000"/>
          <w:sz w:val="22"/>
        </w:rPr>
        <w:t>第二部分    合同通用条款</w:t>
      </w:r>
    </w:p>
    <w:p>
      <w:pPr>
        <w:adjustRightInd w:val="0"/>
        <w:snapToGrid w:val="0"/>
        <w:spacing w:line="400" w:lineRule="exact"/>
        <w:ind w:firstLine="440" w:firstLineChars="200"/>
        <w:rPr>
          <w:rFonts w:ascii="宋体" w:hAnsi="宋体" w:cs="Calibri"/>
          <w:color w:val="000000"/>
          <w:sz w:val="22"/>
        </w:rPr>
      </w:pPr>
    </w:p>
    <w:p>
      <w:pPr>
        <w:adjustRightInd w:val="0"/>
        <w:snapToGrid w:val="0"/>
        <w:spacing w:line="400" w:lineRule="exact"/>
        <w:ind w:firstLine="440" w:firstLineChars="200"/>
        <w:rPr>
          <w:rFonts w:hint="eastAsia" w:ascii="宋体" w:hAnsi="宋体" w:cs="Calibri"/>
          <w:b/>
          <w:color w:val="000000"/>
          <w:sz w:val="22"/>
        </w:rPr>
      </w:pPr>
      <w:r>
        <w:rPr>
          <w:rFonts w:hint="eastAsia" w:ascii="宋体" w:hAnsi="宋体" w:cs="Calibri"/>
          <w:b/>
          <w:color w:val="000000"/>
          <w:sz w:val="22"/>
        </w:rPr>
        <w:t>一、词语定义和适用法律</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l、词语定义</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下列词语除本合同专用条款另有约定外，应具有本条款所赋予的定义</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1.1招标代理合同：委托人将工程建设项目招标工作委托给具有相应招标代理资质的受托人，实施招标活动签订的委托合同，</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1.2通用条款：是根据有关法律、行政法规和工程建设项目招标代理的需要所订立，通用于各类工程建设项目招标代理的条款。</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1.3专用条款：是委托人与受托人根据有关法律、行政法规规定，结合具体工程建设项目招标代理的实际，经协商达成一致意见的条款，是对通用条款的具体化、补充或修改。</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1.4委托人：指在合同中约定的，具有建设项目招标委托主体资格的当事人，以及取得该当事人资格的合法继承人。</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1.5受托人：指在合同中约定的，被委托人接受的具有建设项目招标代理主体资格的当事人，以及取得该当事人资格的合法继承人。</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1.6招标代理项目负责人：指受托人在专用条款中指定的负责合同履行的代表。</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1.7工程建设项目：指由委托人和受托人在合同中约定的委托代理招标的工程。</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1.8招标代理业务：委托人委托受托人代理实施工程建设项目招标的工作内容。</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1.9附加服务：指委托人和受托人在本合同通用条款4.1款和专用条款4.1款中双方约定工作范围之外的附加工作。</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1.10代理报酬：委托人和受托人在合同中约定的，受托人按照约定应收取的代理报酬总额。</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1.11图纸：指由委托人提供的满足招标需要的所有图纸、计算书、配套说明以及相关的技术资料。</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1.12书面形式：指具有公章、法定代表人或授权代理人签字的合同书、信件和数据电文(包括电报、电传、传真)等可以有形地表现所载内容的形式。</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1.13违约责任：指合同一方不履行合同义务或履行合同义务不符合约定所应承担的责任。</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1.14索赔：指在合同履行过程中，对于并非自己的过错，而是应由对方承担责任的情况造成的实际损失，向对方提出经济补偿或其他的要求。</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1.15不可抗力：指双方无法控制和不可预见的事件，但不包括双方的违约或疏忽。这些事件包括但不限于战争、严重火灾、洪水、台风、地震，或其他双方一致认为属于不可抗力的事件。</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2、合同文件及解释顺序</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2.1合同文件应能互相解释，互为说明。除本合同专用条款另有约定外，组成本合同的文件及优先解释顺序如下：</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(1)本合同履行过程中双方以书面形式签署的补充和修正文件；</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(2)本合同协议书：</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(3)本合同专用条款；</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(4)本合同通用条款。</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2.2当合同文件内容出现含糊不清或不相一致时，应在不影响招标</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代理业务正常进行的情况下，  由委托人和受托人协商解决。双方协商不成时，按本合同通用条款第12条关于争议的约定处理。</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3、语言文字和适用法律</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3.1语言文字</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除本合同专用条款中另有约定，本合同文件使用汉语语言文字书写、解释和说明。如本合同专用条款约定使用两种以上(含两种)语言文字时，汉语应为解释和说明本合同的标准语言文字。</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3.2适用法律和行政法规</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本合同文件适用有关法律和行政法规。需要明示的法律和行政法规，双方可在本合同专用条款中约定。</w:t>
      </w:r>
    </w:p>
    <w:p>
      <w:pPr>
        <w:adjustRightInd w:val="0"/>
        <w:snapToGrid w:val="0"/>
        <w:spacing w:line="400" w:lineRule="exact"/>
        <w:ind w:firstLine="440" w:firstLineChars="200"/>
        <w:rPr>
          <w:rFonts w:hint="eastAsia" w:ascii="宋体" w:hAnsi="宋体" w:cs="Calibri"/>
          <w:b/>
          <w:color w:val="000000"/>
          <w:sz w:val="22"/>
        </w:rPr>
      </w:pPr>
      <w:r>
        <w:rPr>
          <w:rFonts w:hint="eastAsia" w:ascii="宋体" w:hAnsi="宋体" w:cs="Calibri"/>
          <w:b/>
          <w:color w:val="000000"/>
          <w:sz w:val="22"/>
        </w:rPr>
        <w:t xml:space="preserve"> 二、双方一般权利和义务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4、委托人的义务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4.1委托人将委托招标代理工作的具体范围和内容在本合同专用条款中约定。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4.2委托人按本合同专用条款约定的内容和时间完成下列工作：</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  向受托人提供本工程招标代理业务应具备的相关工程前期资料(如立项批准手续规划许可、报建证等)及资金落实情况资料；</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(2)向受托人提供完成本工程：招标代理业务所需的全部技术资料和图纸，需要交底的须向受托人详细交底，并对提供资料的真实性、完整性、准确性负责；</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(3)向受托人提供保证招标工作顺利完成的条件，提供的条件在本合同专用条款内约定；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(4)指定专人与受托人联系，指定人员的姓名、职务、职称在本合同专用条款内约定；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(5)根据需要，作好与第三方的协调工作；</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(6)按本合同专用条款的约定支付代理报酬；</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(7)依法应尽的其他义务，双方在本合同专用条款内约定。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4.3受托人在履行招标代理业务过程中，提出的超出招标代理范围的合理化建议，经委托人同意并取得经济效益，委托人应向受托人支付一定的经济奖励。</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4.4委托人负有对受托人为本合同提供的技术服务进行知识产权保护的责任。</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4.5委托人未能履行以上各项义务，给受托人造成损失的，应当赔偿受托人的有关损失。</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5、受托人的义务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5.2受托人按本合同专用条款约定的内容和时间完成下列工作：</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(1)依法按照公开、公平、公正和诚实信用原则，组织招标工作，维护各方的合法权益；</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(2)应用专业技术与技能为委托人提供完成招标工作相关的咨询服务；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(3)向委托人宣传有关工程招标的法律、行政法规和规章，解释合理的招标程序，  以便得到委托人的支持和配合；</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(4)依法应尽的其他义务，双方在本合同专用条款内约定。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5.3受托人应对招标工作中受托人所出具有关数据的计算、技术经济资料等的科学性和准确性负责。</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5.4受托人不得接受与本合同工程建设项目中委托招标范围之内的相关的咨询业务。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5.5受托人为本合同提供技术服务的知识产权应属受托人专有。任何第三方如果提出侵权指控，受托人须与第三方交涉并承担由此而引起的一切法律责任和费用。</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5.6未经委托人同意，受托人不得分包或转让本合同的任何权利和义务。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5.7受托人不得接受所有投标人的礼品、宴请和任何其它好处，不得泄露招标、评标、定标过程中依法需要保密的内容。合同终止后，未经委托人同意，受托人不得泄漏与本合同工程相关的任何招标资料和情况。</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 xml:space="preserve">5.8受托人未能履行以上各项义务，给委托人造成损失的，应当赔偿委托人的有关损失。    </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6、委托人的权利</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6.1委托人拥有下列权利：</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 xml:space="preserve">(1)按合同约定，接收招标代理成果； </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  向受托人询问本合同工程招标工作进展情况和相关内容或提出不违反法律、行政法规的建议；</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(3)审查受托人为本合同工程编制的各种文件，并提出修正意见；</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(4)要求受托人提交招标代理业务工作报告；</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(5)与受托人协商，建议更换其不称职的招标代理从业人员；</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(6)依法选择中标人；</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(7)本合同履行期间，由于受托人不履行合同约定的内容，给委托人造成损失或影响招标工作正常进行的，委托人有权终止本合同，并依法向受托人追索经济赔偿，直至追究法律责任；</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(8)依法享有的其他权利，双方在本合同专用条款内约定。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7、受托人的权利</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7.1受托人拥有下列权利：</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(1)按合同约定收取委托代理报酬；</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(2)对招标过程中应由委托人做出的决定，受托人有权提出建议</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(3)当委托人提供的资料不足或不明确时，有权要求委托人补足材料或作出明确的答复；</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(4)拒绝委托人提出的违反法律、行政法规的要求，并向委托作出解释；</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(5)有权参加委托人组织的涉及招标工作的所有会议和活动；</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(6)对于为本合同工程编制的所有文件拥有知识产权，委托人，使用或复制的权利；</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(7)依法享有的其他权利，双方在本合同专用条款内约定。</w:t>
      </w:r>
    </w:p>
    <w:p>
      <w:pPr>
        <w:adjustRightInd w:val="0"/>
        <w:snapToGrid w:val="0"/>
        <w:spacing w:line="400" w:lineRule="exact"/>
        <w:ind w:firstLine="440" w:firstLineChars="200"/>
        <w:rPr>
          <w:rFonts w:hint="eastAsia" w:ascii="宋体" w:hAnsi="宋体" w:cs="Calibri"/>
          <w:b/>
          <w:color w:val="000000"/>
          <w:sz w:val="22"/>
        </w:rPr>
      </w:pPr>
      <w:r>
        <w:rPr>
          <w:rFonts w:hint="eastAsia" w:ascii="宋体" w:hAnsi="宋体" w:cs="Calibri"/>
          <w:b/>
          <w:color w:val="000000"/>
          <w:sz w:val="22"/>
        </w:rPr>
        <w:t>三、委托代理报酬与收取</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8、委托代理报酬</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8.1双方按照本合同约定的招标代理业务范围，在本合同专用条款内约定委托代理报酬的计算方法、金额、币种、汇率和支付方式、时间。</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8.2受托人对所承接的招标代理业务需要出外考察的，其外出人员数量和费用，经委托人同意后，向委托人实报实销。</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8.3在招标代理业务范围内所发生的费用  (如：评标会务费、评标专家的差旅费、劳务费、公证费等)，由委托人与受托人在补充条款中约定。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9、委托代理报酬的收取</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9.1由委托人支付代理报酬的，在本合同签订后10日内，委托人应向受托人支付不少于全部代理报酬20％的代理预付款，具体额度(或比例)双方在专用条款内约定。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由中标人支付代理报酬的，在中标人与委托人签订承包合同5日内，将本合同约定的全部委托代理报酬一次性支付给受托人。</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9.2受托人完成委托人委托的招标代理工作范围以外的工作，为附加服务项目，应收取的报酬由双方协商，签订补充协议。</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9.3委托人在本合同专用条款约定的支付时间内，未能如期支付代理预付费用，自应支付之日起，按同期银行贷款利率，计算支付代理预付费用的利息。</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9.4委托人在本合同专用条款约定的支付时间内，未能如期支付代理报酬，除应承担违约责任外，还应按同期银行贷款利率，计算支付应付代理报酬的利息。</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9.5委托代理报酬应由委托人按本合同专用条款约定的支付方法和时间，直接向受托人支付；或受托人按照约定直接向中标人收取。</w:t>
      </w:r>
    </w:p>
    <w:p>
      <w:pPr>
        <w:adjustRightInd w:val="0"/>
        <w:snapToGrid w:val="0"/>
        <w:spacing w:line="400" w:lineRule="exact"/>
        <w:ind w:firstLine="440" w:firstLineChars="200"/>
        <w:rPr>
          <w:rFonts w:hint="eastAsia" w:ascii="宋体" w:hAnsi="宋体" w:cs="Calibri"/>
          <w:b/>
          <w:color w:val="000000"/>
          <w:sz w:val="22"/>
        </w:rPr>
      </w:pPr>
      <w:r>
        <w:rPr>
          <w:rFonts w:hint="eastAsia" w:ascii="宋体" w:hAnsi="宋体" w:cs="Calibri"/>
          <w:b/>
          <w:color w:val="000000"/>
          <w:sz w:val="22"/>
        </w:rPr>
        <w:t>四、违约、索赔和争议</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10、违约</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10.1委托人违约。当发生下列情况时：</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(1)本合同通用条款第4.2一(3)款提到的委托人未按本合同专用条款的约定向委托人提供为保证招标工作顺利完成的条件，致使招标工作无法进行；</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(2)本合同通用条款第4.2一(6)款提到的委托人未按本合同专用条款的约定向受托人支付委托代理报酬；</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(3)委托人不履行合同义务或不按合同约定履行义务的其他情况。</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 xml:space="preserve">    委托人承担违约责任，赔偿因其违约给受托人造成的经济损失，双方在本合同专用条款内约定委托人赔偿受托人损失的计算方法或委托人应当支付违约金的数额或计算方法。</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10.2受托人违约。当发生下列情况时：</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(1)本合同通用条款第5.2一(2)款提到的受托人未按本合同专用条款的约定，向委托人提供为完成招标工作的咨询服务；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(2)本合同通用条款第5.4款提到的受托人未按本合同专用条款的约定，接受了与本合同工程建设项目有关的投标咨询业务；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(3)本合同通用条款第5.7款提到的受托人未按本合同专用条款的约定，泄露了与本合同工程相关的任何招标资料和情况；</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(4)受托人不履行合同义务或不按合同约定履行义务的其他情况。</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10.3第三方违约。如果一方的违约被认定为是与第三方共同造成</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的，则应由合同双方中有违约的一方先行向另一方承担全部违约责任，再由承担违约责任的一方向第三方追索。</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11、索赔</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11.1当事人一方向另一方提出索赔时，要有正当的索赔理由，且有索赔事件发生时的有效证据。</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11.2委托人未能按合同约定履行自己的各项义务，或者发生应由委托人承担责任的其他情况，给受托人造成损失，受托人可按下列程序以书面形式向委托人索赔：</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(1)索赔事件发生后7天内，向委托人发出索赔报告及有关资料；</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(2)委托人收到受托人的索赔报告及有关资料后，于7天内给予答复，或要求受托人进一步补充索赔理由和证据；</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(3)委托人在收到受托人送交的索赔报告和有关资料后7天内未予答复，或未对受托人作进一步要求，视为该项索赔已经认可。</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11.3受托人未能按合同约定履行自己的各项义务，或者发生应由受托人承担责任的其他情况，给委托人造成经济损失，委托人可按11.2款确定的时限和程序向受托人提出索赔。</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12、争议</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12.1委托人和受托人在履行合同时发生争议，可以和解或者向有关部门或机构申请调解。  当事人不愿和解、调解或者和解、调解不成的，双方可以在本合同专用条款内约定以下一种方式解决争议：</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w:t>
      </w:r>
      <w:r>
        <w:rPr>
          <w:rFonts w:hint="eastAsia" w:ascii="宋体" w:hAnsi="宋体" w:cs="Calibri"/>
          <w:color w:val="000000"/>
          <w:sz w:val="22"/>
        </w:rPr>
        <w:tab/>
      </w:r>
      <w:r>
        <w:rPr>
          <w:rFonts w:hint="eastAsia" w:ascii="宋体" w:hAnsi="宋体" w:cs="Calibri"/>
          <w:color w:val="000000"/>
          <w:sz w:val="22"/>
        </w:rPr>
        <w:t>双方达成仲裁协议，向约定的仲裁委员会申请仲裁；</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(2)向有管辖权的人民法院起诉。</w:t>
      </w:r>
    </w:p>
    <w:p>
      <w:pPr>
        <w:adjustRightInd w:val="0"/>
        <w:snapToGrid w:val="0"/>
        <w:spacing w:line="400" w:lineRule="exact"/>
        <w:ind w:firstLine="440" w:firstLineChars="200"/>
        <w:rPr>
          <w:rFonts w:hint="eastAsia" w:ascii="宋体" w:hAnsi="宋体" w:cs="Calibri"/>
          <w:b/>
          <w:color w:val="000000"/>
          <w:sz w:val="22"/>
        </w:rPr>
      </w:pPr>
      <w:r>
        <w:rPr>
          <w:rFonts w:hint="eastAsia" w:ascii="宋体" w:hAnsi="宋体" w:cs="Calibri"/>
          <w:b/>
          <w:color w:val="000000"/>
          <w:sz w:val="22"/>
        </w:rPr>
        <w:t>五、合同变更、生效与终止</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13、合同变更或解除</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13.1本合同签订后，由于委托人原因，使得受托人不能持续履行招标代理业务时，委托人应及时通知受托人暂停招标代理业务。 当需要恢复招标代理业务时，应当在正式恢复前7天通知受托人。</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若暂停时间超过六个月，当需要恢复招标代理业务时，委托人应支付重新启动该招标代理工作一定的补偿费用，具体计算方法经双方协商以补充协议确定。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13.2本合同签订后，如因法律、行政法规发生变化或由于任何后续新颁布的法律、行政法规导致服务所需的成本或时间发生改变，则本合同约定的服务报酬和服务期限由双方签订补充协议进行相应调整。</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13.3本合同当事人一方要求变更或解除合同时，除法律、行政法规另有规定外，应与对方当事人协商一致并达成书面协议。末达成书面协议的，本合同依然有效。</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13.4因解除合同使当事人一方遭受损失的，除依法可以免除责任外，应由责任方负责赔偿对方的损失，赔偿方法与金额由双方在协议书中约定。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14、合同生效</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14.1除生效条件双方在协议书中另有约定外，本合同自双方签字盖章之日起生效。</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15、合同终止</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15.1受托人完成委托人全部委托招标代理业务，且委托人或中标人支付了全部代理报酬(含附加服务的报酬)后本合同终止。</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15.2本合同终止并不影响各方应有的权利和应承担的义务。</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15.3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15.4本合同的权利义务终止后，委托人和受托人应当遵循诚实信用原则，履行通知、协助、保密等义务。</w:t>
      </w:r>
    </w:p>
    <w:p>
      <w:pPr>
        <w:adjustRightInd/>
        <w:snapToGrid/>
        <w:spacing w:line="400" w:lineRule="exact"/>
        <w:ind w:firstLine="440" w:firstLineChars="200"/>
        <w:rPr>
          <w:rFonts w:hint="eastAsia" w:ascii="宋体" w:hAnsi="宋体" w:cs="Times New Roman"/>
          <w:snapToGrid w:val="0"/>
          <w:color w:val="auto"/>
          <w:kern w:val="0"/>
          <w:sz w:val="22"/>
        </w:rPr>
      </w:pPr>
      <w:r>
        <w:rPr>
          <w:rFonts w:hint="eastAsia" w:ascii="宋体" w:hAnsi="宋体" w:cs="Calibri"/>
          <w:color w:val="000000"/>
          <w:sz w:val="22"/>
        </w:rPr>
        <w:t>15.5</w:t>
      </w:r>
      <w:r>
        <w:rPr>
          <w:rFonts w:ascii="Microsoft YaHei,Segoe UI Emoji" w:hAnsi="Microsoft YaHei,Segoe UI Emoji"/>
          <w:color w:val="000000"/>
          <w:szCs w:val="21"/>
        </w:rPr>
        <w:t>甲方有权因自身管理模式或者组织结构调整等原因而提前解除合同，乙方承诺接受并不提出任何异议，且甲方不向乙方承担任何违约责</w:t>
      </w:r>
      <w:r>
        <w:rPr>
          <w:rFonts w:hint="eastAsia" w:ascii="Microsoft YaHei,Segoe UI Emoji" w:hAnsi="Microsoft YaHei,Segoe UI Emoji"/>
          <w:color w:val="000000"/>
          <w:szCs w:val="21"/>
        </w:rPr>
        <w:t>任</w:t>
      </w:r>
      <w:r>
        <w:rPr>
          <w:rFonts w:ascii="Microsoft YaHei,Segoe UI Emoji" w:hAnsi="Microsoft YaHei,Segoe UI Emoji"/>
          <w:color w:val="000000"/>
          <w:szCs w:val="21"/>
        </w:rPr>
        <w:t>。</w:t>
      </w:r>
    </w:p>
    <w:p>
      <w:pPr>
        <w:adjustRightInd w:val="0"/>
        <w:snapToGrid w:val="0"/>
        <w:spacing w:line="400" w:lineRule="exact"/>
        <w:ind w:firstLine="440" w:firstLineChars="200"/>
        <w:rPr>
          <w:rFonts w:hint="eastAsia" w:ascii="宋体" w:hAnsi="宋体" w:cs="Calibri"/>
          <w:b/>
          <w:color w:val="000000"/>
          <w:sz w:val="22"/>
        </w:rPr>
      </w:pPr>
      <w:r>
        <w:rPr>
          <w:rFonts w:hint="eastAsia" w:ascii="宋体" w:hAnsi="宋体" w:cs="Calibri"/>
          <w:b/>
          <w:color w:val="000000"/>
          <w:sz w:val="22"/>
        </w:rPr>
        <w:t>六、其他</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16、合同的份数</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16.1本合同正本一式陆份，委托人和受托人各执三份。副本根据双方需要在本合同专用条款内约定。</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17、补充条款</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双方根据有关法律、行政法规规定，结合本合同招标工程实际，经协商一致后，可对本合同通用条款未涉及的内容进行补充。</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color w:val="000000"/>
          <w:sz w:val="22"/>
        </w:rPr>
      </w:pPr>
    </w:p>
    <w:p>
      <w:pPr>
        <w:adjustRightInd w:val="0"/>
        <w:snapToGrid w:val="0"/>
        <w:spacing w:line="400" w:lineRule="exact"/>
        <w:rPr>
          <w:rFonts w:hint="eastAsia" w:ascii="宋体" w:hAnsi="宋体" w:cs="Calibri"/>
          <w:b/>
          <w:color w:val="000000"/>
          <w:sz w:val="22"/>
        </w:rPr>
      </w:pPr>
    </w:p>
    <w:p>
      <w:pPr>
        <w:adjustRightInd w:val="0"/>
        <w:snapToGrid w:val="0"/>
        <w:spacing w:line="400" w:lineRule="exact"/>
        <w:ind w:firstLine="440" w:firstLineChars="200"/>
        <w:jc w:val="center"/>
        <w:rPr>
          <w:rFonts w:ascii="宋体" w:hAnsi="宋体" w:cs="Calibri"/>
          <w:b/>
          <w:color w:val="000000"/>
          <w:sz w:val="22"/>
        </w:rPr>
      </w:pPr>
      <w:r>
        <w:rPr>
          <w:rFonts w:hint="eastAsia" w:ascii="宋体" w:hAnsi="宋体" w:cs="Calibri"/>
          <w:b/>
          <w:color w:val="000000"/>
          <w:sz w:val="22"/>
        </w:rPr>
        <w:t>第三部分   合同专用条款</w:t>
      </w:r>
    </w:p>
    <w:p>
      <w:pPr>
        <w:adjustRightInd w:val="0"/>
        <w:snapToGrid w:val="0"/>
        <w:spacing w:line="400" w:lineRule="exact"/>
        <w:ind w:firstLine="440" w:firstLineChars="200"/>
        <w:rPr>
          <w:rFonts w:ascii="宋体" w:hAnsi="宋体" w:cs="Calibri"/>
          <w:color w:val="000000"/>
          <w:sz w:val="22"/>
        </w:rPr>
      </w:pPr>
      <w:r>
        <w:rPr>
          <w:rFonts w:ascii="宋体" w:hAnsi="宋体" w:cs="Calibri"/>
          <w:color w:val="000000"/>
          <w:sz w:val="22"/>
        </w:rPr>
        <w:t xml:space="preserve"> </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一、双方一般权利和义务</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1、委托人的权利和义务</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1.1 指派人员与受托人联系具体招标事宜；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1.2 向受托人提供具体招标项目申请发包的有关基础资料、技术资料、图纸以及相关要求；</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1.3 负责审定招标文件，确定招标方式和评标办法；</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1.4 负责协调与设计有关的工作，并协助受托人对招标文件的内容进行解释、答疑等咨询工作；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1.5协助受托人组建评标委员会，并按有关规定派专业人员出任评委；</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1.6 参与开标、评标、询标工作；</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1.7对于不能胜任本协议委托事项的受托人人员，要求受托人立即更换。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2、受托人的权利和义务</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2.1成立招标代理项目组，由项目负责人与委托人联系招标事宜，项目负责人原则上不得更换，应委托人要求更换的除外；</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2.2项目负责人原则上应在招投标活动的主要时间节点到场，如招标文件讨论、开评标、投诉处理等；</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2.3受托人应根据工作需要，合理增加项目班子成员，在任何情况下，若委托人认为项目负责人或项目班子成员不能胜任工作，有权要求受托人进行更换；受托人应在收到委托人通知之日起的7天内，按照委托人要求，提出新的人选，报委托人批准后，立即到位；</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2.4受托人应按照委托人要求，独立完成各项目的代理工作，遵守国家相关法律法规及委托人的相关制度规定，提供专业的代理服务。</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二、委托代理报酬与收取</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招标代理服务费报价应包括为完成项目招标代理服务过程中可能发生的所有费用，包括但不仅限于公告公示费、资格预审文件或招标文件制作费、工程量清单编制、复核费、预算编制费、评标专家咨询费、市内交通费用、场租费等。招标代理服务费由受托人向中标人收取，招标代理服务费为</w:t>
      </w:r>
      <w:r>
        <w:rPr>
          <w:rFonts w:ascii="宋体" w:hAnsi="宋体" w:cs="Calibri"/>
          <w:color w:val="000000"/>
          <w:sz w:val="22"/>
        </w:rPr>
        <w:t>发改办价格[2003]857号</w:t>
      </w:r>
      <w:r>
        <w:rPr>
          <w:rFonts w:hint="eastAsia" w:ascii="宋体" w:hAnsi="宋体" w:cs="Calibri"/>
          <w:color w:val="000000"/>
          <w:sz w:val="22"/>
        </w:rPr>
        <w:t>、发改价格[2011]534号文件规定的基数*优惠费率。若政府部门规定招标代理服务费必须由委托人支付的，按照前述计算方式确定招标代理服务费后，由受托人提供招标完成的请款报告由委托人经办部门确认后支付。</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2、政府交易中心收取的费用，由委托人、受托人各自承担。</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3、如招标项目为民航专业工程，招标评标专家应为民航总局专家库成员。因民航总局专家库为国家级专家库，成员来自全国各地，故该类项目工程招标代理服务费用除前款内容以外，还应包括专家往来交通费（含机票、车船票、市内交通费等）、住宿费、餐饮费（食宿标准不得低于财政部相关规定）等，评标专家咨询费标准按照民航系统标准，并派专人、专车接送，遇专家往返时间不一致时，须分别接送，不得要求专家等候统一接送。</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4、根据华东局发明电[201</w:t>
      </w:r>
      <w:r>
        <w:rPr>
          <w:rFonts w:ascii="宋体" w:hAnsi="宋体" w:cs="Calibri"/>
          <w:color w:val="000000"/>
          <w:sz w:val="22"/>
        </w:rPr>
        <w:t>5</w:t>
      </w:r>
      <w:r>
        <w:rPr>
          <w:rFonts w:hint="eastAsia" w:ascii="宋体" w:hAnsi="宋体" w:cs="Calibri"/>
          <w:color w:val="000000"/>
          <w:sz w:val="22"/>
        </w:rPr>
        <w:t>]3044号、华东局发明电[2016]627号文件，民航专业工程建设项目统一开评标地点为上海或者北京，故该类项目工程招标代理服务费用除前款内容以外，还应包括受托人人员及委托人监督人员的往来交通费（含机票、车船票、市内交通费等）、住宿费、餐饮费等。</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5、根据浙发改法规[2014]645号，省重点建设项目的评标专家在全库内不分地区随机抽取，不受地域限制，故该类项目招标代理服务费用除前款内容以外，还应包括专家往来交通费（含机票、车船票、市内交通费等）、住宿费、餐饮费等（食宿标准不得低于财政部相关规定）。</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三、违约、索赔和争议</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由于受托人原因造成委托人招标工作完成时间的延误（按双方确定的时间计划或时间表），每延误一天，受托人应按委托人要求赔偿委托该项招标代理服务费的千分之三作为违约金；情形严重延误达到10日的，委托人有权立即中止或终止合同，并不予退还受托人的履约保证金。</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工程施工过程中，如发现工程量清单数量有错算、漏算的，受托人应及时派员进行复核，且委托人有权委托第三方进行复核并从履约保证金中扣除委托所发生的费用。经复核确认，若发现错算、漏算项目累计工程价款超过施工合同价的正负3%（不含）以上的，则按每超过1%受托人应按该项工程招标代理服务费的10%进行赔偿，最高不超过该项工程招标代理服务费的30%。</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3、受托人有下列情形之一的，直接列入黑名单，委托人有权立即终止合同，并不予退还受托人的履约保证金：</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 xml:space="preserve">（一）与投标人串通投标的； </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（二）在招投标活动中有行贿行为或受贿行为的；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（三）提供虚假材料骗取招投标代理业务的；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（四）非法转让招标代理、咨询业务的；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（五）为其它单位或个人以挂靠名义投标或承接业务的；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（六）泄露应当保密的潜在投标人名称、数量、项目的标底、预算价的；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（七）接受同一项目的招标代理和投标咨询业务的；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（八）在评标过程中泄露参评人员名单或评标内容的；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（九）弄虚作假，将必须进行公开招标项目化整为零或以其他方式规避招标、违规分包的；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（十) 不服从行业主管部门管理监督的，或者具有抵触、不改正、遇有投诉不积极处理等情况发生的。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4、受托人有下列情形之一的，第一次暂停进入委托人招标代理机构备选库三个月，第二次委托人有权立即中止或终止合同，并不予退还受托人的履约保证金：</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（一）招标代理过程中，因存在过失，导致项目投诉、复评、流标、引起争议的，影响项目进度或造成不良影响的；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（二）收到其他部门转交信访、投诉等情况的，情况属实不属于第3条规定，且情节不严重的；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（三）招标公告、招标文件、预审文件等设置明显不符合国家现行法律法规、明显有倾向性等；</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（四）确定代理项目后非因特殊原因，无故放弃代理的；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（五）影响项目推进速度的；</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（六）未严格按照相关法律法规或招标文件要求发布招标公告、补充文件、中标公示，开、评标程序不规范、评标报告书写不规范等情形。</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5、受托人有下列情形之一的，第一次警告，第二次暂停进入委托人招标代理机构备选库一个月，第三次取消当年度进入委托人招标代理机构备选库资格：</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（一）招标公告、招标文件、预审文件等出现明显的低级失误；</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（二）拒绝或懈怠履行所承诺提供的额外服务；</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（三）未按时移交招投标相关资料或移交的资料不齐全。</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6、委托人无正当理由擅自解除本协议的，应退还履约保证金。除非发生法定的受托人有权利解除本合同的情形，受托人不得解除本协议，擅自解除本协议的，委托人有权拒绝支付本协议项下的代理费用并不予退还受托人的履约保证金。</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7、受托人及其人员违反法律法规应当行政处罚的，视情节轻重移交有关职能部门处理；构成犯罪的，由司法机关追究其刑事责任。</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8、受托人应在代理服务过程中遵守包括招投标相关法律，诚实守信，勤勉尽责，保守委托人的商业秘密和维护委托人的知识产权，违反本协议的，应承担赔偿责任。</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9、除本协议另有规定外，根据本协议约定守约方向违约方支付的违约金、赔偿金或不予退还的履约保证金不足以弥补守约方遭受的全部损失的，违约方应就守约方遭受的全部损失承担赔偿责任。</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10、</w:t>
      </w:r>
      <w:r>
        <w:rPr>
          <w:rFonts w:hint="eastAsia" w:ascii="宋体" w:hAnsi="宋体" w:cs="Arial"/>
          <w:sz w:val="22"/>
        </w:rPr>
        <w:t>本合同履行中，</w:t>
      </w:r>
      <w:r>
        <w:rPr>
          <w:rFonts w:hint="eastAsia" w:ascii="宋体" w:hAnsi="宋体"/>
          <w:sz w:val="22"/>
        </w:rPr>
        <w:t>因承包人违约，发包人扣除全部或部分履约金的</w:t>
      </w:r>
      <w:r>
        <w:rPr>
          <w:rFonts w:hint="eastAsia" w:ascii="宋体" w:hAnsi="宋体" w:cs="Arial"/>
          <w:sz w:val="22"/>
        </w:rPr>
        <w:t>，则自发包人书面通知之日起</w:t>
      </w:r>
      <w:r>
        <w:rPr>
          <w:rFonts w:ascii="宋体" w:hAnsi="宋体" w:cs="Arial"/>
          <w:sz w:val="22"/>
        </w:rPr>
        <w:t>5日内，承包人应以转账支票、银行汇票或电汇方式向发包人补足该履约保证金；逾期补足的，承包人应向发包人按未补足金额的千分之一每日计付违约金。</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11、因履行本协议的过程发生各种纠纷，双方应友好协商解决。如不能协商解决，双方均可向委托人所在地的人民法院提起诉讼。</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Calibri"/>
          <w:color w:val="000000"/>
          <w:sz w:val="22"/>
        </w:rPr>
        <w:t>12、</w:t>
      </w:r>
      <w:r>
        <w:rPr>
          <w:rFonts w:ascii="Microsoft YaHei,Segoe UI Emoji" w:hAnsi="Microsoft YaHei,Segoe UI Emoji"/>
          <w:color w:val="000000"/>
          <w:szCs w:val="21"/>
        </w:rPr>
        <w:t>若经</w:t>
      </w:r>
      <w:r>
        <w:rPr>
          <w:rFonts w:hint="eastAsia" w:ascii="Microsoft YaHei,Segoe UI Emoji" w:hAnsi="Microsoft YaHei,Segoe UI Emoji"/>
          <w:color w:val="000000"/>
          <w:szCs w:val="21"/>
        </w:rPr>
        <w:t>受托人</w:t>
      </w:r>
      <w:r>
        <w:rPr>
          <w:rFonts w:ascii="Microsoft YaHei,Segoe UI Emoji" w:hAnsi="Microsoft YaHei,Segoe UI Emoji"/>
          <w:color w:val="000000"/>
          <w:szCs w:val="21"/>
        </w:rPr>
        <w:t>招标的项目，未按照</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要求确认合同条款并出具书面承诺，</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发现一次，则扣除</w:t>
      </w:r>
      <w:r>
        <w:rPr>
          <w:rFonts w:hint="eastAsia" w:ascii="Microsoft YaHei,Segoe UI Emoji" w:hAnsi="Microsoft YaHei,Segoe UI Emoji"/>
          <w:color w:val="000000"/>
          <w:szCs w:val="21"/>
        </w:rPr>
        <w:t>受托人</w:t>
      </w:r>
      <w:r>
        <w:rPr>
          <w:rFonts w:ascii="Microsoft YaHei,Segoe UI Emoji" w:hAnsi="Microsoft YaHei,Segoe UI Emoji"/>
          <w:color w:val="000000"/>
          <w:szCs w:val="21"/>
        </w:rPr>
        <w:t>10%的履约保证金，若发现三次（含第三次），则</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有权解除本合同，</w:t>
      </w:r>
      <w:r>
        <w:rPr>
          <w:rFonts w:hint="eastAsia" w:ascii="Microsoft YaHei,Segoe UI Emoji" w:hAnsi="Microsoft YaHei,Segoe UI Emoji"/>
          <w:color w:val="000000"/>
          <w:szCs w:val="21"/>
        </w:rPr>
        <w:t>受托人</w:t>
      </w:r>
      <w:r>
        <w:rPr>
          <w:rFonts w:ascii="Microsoft YaHei,Segoe UI Emoji" w:hAnsi="Microsoft YaHei,Segoe UI Emoji"/>
          <w:color w:val="000000"/>
          <w:szCs w:val="21"/>
        </w:rPr>
        <w:t>缴纳的履约保证金全额不予以退还。</w:t>
      </w:r>
    </w:p>
    <w:p>
      <w:pPr>
        <w:adjustRightInd w:val="0"/>
        <w:snapToGrid w:val="0"/>
        <w:spacing w:line="400" w:lineRule="exact"/>
        <w:ind w:firstLine="440" w:firstLineChars="200"/>
        <w:rPr>
          <w:rFonts w:ascii="宋体" w:hAnsi="宋体" w:cs="Calibri"/>
          <w:b/>
          <w:color w:val="000000"/>
          <w:sz w:val="22"/>
        </w:rPr>
      </w:pPr>
      <w:r>
        <w:rPr>
          <w:rFonts w:hint="eastAsia" w:ascii="宋体" w:hAnsi="宋体" w:cs="Calibri"/>
          <w:b/>
          <w:color w:val="000000"/>
          <w:sz w:val="22"/>
        </w:rPr>
        <w:t>五、其他</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1、</w:t>
      </w:r>
      <w:r>
        <w:rPr>
          <w:rFonts w:hint="eastAsia" w:ascii="宋体" w:hAnsi="宋体"/>
          <w:sz w:val="22"/>
        </w:rPr>
        <w:t>不同项目、不同专业工程</w:t>
      </w:r>
      <w:r>
        <w:rPr>
          <w:rFonts w:hint="eastAsia" w:ascii="宋体" w:hAnsi="宋体" w:cs="Calibri"/>
          <w:color w:val="000000"/>
          <w:sz w:val="22"/>
        </w:rPr>
        <w:t>同时开标，必须分开进行评标，不得使用同一评标委员会评审。</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2、专家评标咨询费标准需经委托人同意。</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3、受托人严格按投标文件所列项目管理班子成员履行合同，未经委托人同意擅自更换人员影响招标时间计划的，则针对项目负责人情形的，受托人支付1万元违约金，针对其他人员情形的，受托人按每人3000元的标准支付违约金。受托人承担违约责任后，仍应按照委托人要求恢复或更换人员。</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4、在具体项目招标过程中受托人已恰当充分的履行了本协议所规定的相应职责与义务的前提下，如招标失败，则由委托人据实承担已由受托人专为履行本协议而实际开支且经委托人确认的招标费用（不包括受托人自身人员薪酬及其他一切日常营运开支），受托人应向委托人提供相应的开支凭据。</w:t>
      </w:r>
    </w:p>
    <w:p>
      <w:pPr>
        <w:adjustRightInd w:val="0"/>
        <w:snapToGrid w:val="0"/>
        <w:spacing w:line="400" w:lineRule="exact"/>
        <w:ind w:firstLine="440" w:firstLineChars="200"/>
        <w:rPr>
          <w:rFonts w:ascii="宋体" w:hAnsi="宋体" w:cs="Calibri"/>
          <w:color w:val="000000"/>
          <w:sz w:val="22"/>
        </w:rPr>
      </w:pPr>
      <w:r>
        <w:rPr>
          <w:rFonts w:hint="eastAsia" w:ascii="宋体" w:hAnsi="宋体" w:cs="Calibri"/>
          <w:color w:val="000000"/>
          <w:sz w:val="22"/>
        </w:rPr>
        <w:t>5、本协议未尽事宜，双方应通过友好协商解决。</w:t>
      </w:r>
    </w:p>
    <w:p>
      <w:pPr>
        <w:widowControl/>
        <w:spacing w:line="400" w:lineRule="exact"/>
        <w:jc w:val="left"/>
        <w:rPr>
          <w:rFonts w:ascii="宋体" w:hAnsi="宋体" w:cs="Calibri"/>
          <w:color w:val="000000"/>
          <w:sz w:val="22"/>
        </w:rPr>
      </w:pPr>
    </w:p>
    <w:p>
      <w:pPr>
        <w:widowControl/>
        <w:spacing w:line="400" w:lineRule="exact"/>
        <w:jc w:val="left"/>
        <w:rPr>
          <w:rFonts w:hint="eastAsia" w:ascii="宋体" w:hAnsi="宋体" w:cs="Calibri"/>
          <w:color w:val="000000"/>
          <w:sz w:val="22"/>
        </w:rPr>
      </w:pPr>
    </w:p>
    <w:p>
      <w:pPr>
        <w:widowControl/>
        <w:spacing w:line="400" w:lineRule="exact"/>
        <w:jc w:val="left"/>
        <w:rPr>
          <w:rFonts w:hint="eastAsia" w:ascii="宋体" w:hAnsi="宋体" w:cs="Calibri"/>
          <w:color w:val="000000"/>
          <w:sz w:val="22"/>
        </w:rPr>
      </w:pPr>
    </w:p>
    <w:p>
      <w:pPr>
        <w:spacing w:line="400" w:lineRule="exact"/>
        <w:jc w:val="center"/>
        <w:rPr>
          <w:rFonts w:hint="eastAsia" w:ascii="宋体" w:hAnsi="宋体"/>
          <w:snapToGrid w:val="0"/>
          <w:kern w:val="0"/>
          <w:sz w:val="22"/>
        </w:rPr>
      </w:pPr>
      <w:r>
        <w:rPr>
          <w:rFonts w:hint="eastAsia" w:ascii="宋体" w:hAnsi="宋体"/>
          <w:b/>
          <w:sz w:val="22"/>
        </w:rPr>
        <w:t>设备、货物及服务项目招标代理合同</w:t>
      </w:r>
    </w:p>
    <w:p>
      <w:pPr>
        <w:spacing w:line="400" w:lineRule="exact"/>
        <w:ind w:firstLine="440" w:firstLineChars="200"/>
        <w:rPr>
          <w:rFonts w:ascii="宋体" w:hAnsi="宋体"/>
          <w:snapToGrid w:val="0"/>
          <w:kern w:val="0"/>
          <w:sz w:val="22"/>
        </w:rPr>
      </w:pPr>
    </w:p>
    <w:p>
      <w:pPr>
        <w:spacing w:line="400" w:lineRule="exact"/>
        <w:ind w:firstLine="440" w:firstLineChars="200"/>
        <w:rPr>
          <w:rFonts w:ascii="宋体" w:hAnsi="宋体"/>
          <w:snapToGrid w:val="0"/>
          <w:kern w:val="0"/>
          <w:sz w:val="22"/>
        </w:rPr>
      </w:pPr>
      <w:r>
        <w:rPr>
          <w:rFonts w:hint="eastAsia" w:ascii="宋体" w:hAnsi="宋体"/>
          <w:snapToGrid w:val="0"/>
          <w:kern w:val="0"/>
          <w:sz w:val="22"/>
        </w:rPr>
        <w:t>委托方：</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住址地：</w:t>
      </w:r>
      <w:r>
        <w:rPr>
          <w:rFonts w:ascii="宋体" w:hAnsi="宋体"/>
          <w:snapToGrid w:val="0"/>
          <w:kern w:val="0"/>
          <w:sz w:val="22"/>
        </w:rPr>
        <w:t xml:space="preserve"> </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 xml:space="preserve">受托方： </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 xml:space="preserve">住址地： </w:t>
      </w:r>
    </w:p>
    <w:p>
      <w:pPr>
        <w:spacing w:line="400" w:lineRule="exact"/>
        <w:ind w:firstLine="440" w:firstLineChars="200"/>
        <w:rPr>
          <w:rFonts w:ascii="宋体" w:hAnsi="宋体"/>
          <w:b/>
          <w:snapToGrid w:val="0"/>
          <w:kern w:val="0"/>
          <w:sz w:val="22"/>
        </w:rPr>
      </w:pPr>
    </w:p>
    <w:p>
      <w:pPr>
        <w:spacing w:line="400" w:lineRule="exact"/>
        <w:ind w:firstLine="440" w:firstLineChars="200"/>
        <w:rPr>
          <w:rFonts w:ascii="宋体" w:hAnsi="宋体"/>
          <w:snapToGrid w:val="0"/>
          <w:kern w:val="0"/>
          <w:sz w:val="22"/>
        </w:rPr>
      </w:pPr>
      <w:r>
        <w:rPr>
          <w:rFonts w:hint="eastAsia" w:ascii="宋体" w:hAnsi="宋体"/>
          <w:snapToGrid w:val="0"/>
          <w:kern w:val="0"/>
          <w:sz w:val="22"/>
        </w:rPr>
        <w:t>依照《中华人民共和国合同法》、《中华人民共和国招标投标法》及</w:t>
      </w:r>
      <w:r>
        <w:rPr>
          <w:rFonts w:hint="eastAsia" w:ascii="宋体" w:hAnsi="宋体" w:cs="Calibri"/>
          <w:color w:val="000000"/>
          <w:sz w:val="22"/>
        </w:rPr>
        <w:t>实施条例和</w:t>
      </w:r>
      <w:r>
        <w:rPr>
          <w:rFonts w:hint="eastAsia" w:ascii="宋体" w:hAnsi="宋体"/>
          <w:snapToGrid w:val="0"/>
          <w:kern w:val="0"/>
          <w:sz w:val="22"/>
        </w:rPr>
        <w:t>国家的有关法律、行政法规，遵循平等、自愿、公平和诚实信用的原则，双方就</w:t>
      </w:r>
      <w:r>
        <w:rPr>
          <w:rFonts w:hint="eastAsia" w:ascii="宋体" w:hAnsi="宋体"/>
          <w:sz w:val="22"/>
        </w:rPr>
        <w:t>设备、货物采购及服务项目代理</w:t>
      </w:r>
      <w:r>
        <w:rPr>
          <w:rFonts w:hint="eastAsia" w:ascii="宋体" w:hAnsi="宋体"/>
          <w:snapToGrid w:val="0"/>
          <w:kern w:val="0"/>
          <w:sz w:val="22"/>
        </w:rPr>
        <w:t>服务事项协商一致，订立本合同。</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第一条  定义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1、招标代理工作：委托方委托代理方在具体招投标项目中开展具体的招标代理工作，代理招标工作内容详见第四条。</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2、其他规定：任何政府或行业主管部门、行业协会制定的，对招投标和招标代理工作具有合法约束力的规范性文件。</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3、任何其他与招投标相关的词汇，均应依照《中华人民共和国招标投标法》及实施条例的内容进行解释。</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第二条  委托招标代理内容</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设备、服务类项目供货及相关咨询等，具体以委托人实际委托为准。</w:t>
      </w:r>
    </w:p>
    <w:p>
      <w:pPr>
        <w:spacing w:line="400" w:lineRule="exact"/>
        <w:ind w:firstLine="440" w:firstLineChars="200"/>
        <w:jc w:val="left"/>
        <w:rPr>
          <w:rFonts w:ascii="宋体" w:hAnsi="宋体"/>
          <w:b/>
          <w:snapToGrid w:val="0"/>
          <w:kern w:val="0"/>
          <w:sz w:val="22"/>
        </w:rPr>
      </w:pPr>
      <w:r>
        <w:rPr>
          <w:rFonts w:hint="eastAsia" w:ascii="宋体" w:hAnsi="宋体"/>
          <w:b/>
          <w:snapToGrid w:val="0"/>
          <w:kern w:val="0"/>
          <w:sz w:val="22"/>
        </w:rPr>
        <w:t>第三条  委托代理报酬与收取</w:t>
      </w:r>
    </w:p>
    <w:p>
      <w:pPr>
        <w:adjustRightInd w:val="0"/>
        <w:snapToGrid w:val="0"/>
        <w:spacing w:line="400" w:lineRule="exact"/>
        <w:ind w:firstLine="440" w:firstLineChars="200"/>
        <w:rPr>
          <w:rFonts w:ascii="宋体" w:hAnsi="宋体" w:cs="Calibri"/>
          <w:snapToGrid/>
          <w:color w:val="000000"/>
          <w:kern w:val="2"/>
          <w:sz w:val="22"/>
        </w:rPr>
      </w:pPr>
      <w:r>
        <w:rPr>
          <w:rFonts w:hint="eastAsia" w:ascii="宋体" w:hAnsi="宋体" w:cs="Calibri"/>
          <w:color w:val="000000"/>
          <w:sz w:val="22"/>
        </w:rPr>
        <w:t>1、招标代理服务费费率中已包括完成招标代理服务过程中可能发生的所有费用，包括但不限于公示费、招标文件制作费、标底编制费、评标专家咨询费、场租费、从事代理服务中发生的受托方人员食宿、交通等任何其他费用等。</w:t>
      </w:r>
      <w:r>
        <w:rPr>
          <w:rFonts w:hint="eastAsia" w:ascii="宋体" w:hAnsi="宋体"/>
          <w:snapToGrid w:val="0"/>
          <w:kern w:val="0"/>
          <w:sz w:val="22"/>
        </w:rPr>
        <w:t>招标代理服务费由受托人向中标人收取，招标代理服务费为</w:t>
      </w:r>
      <w:r>
        <w:rPr>
          <w:rFonts w:ascii="宋体" w:hAnsi="宋体" w:cs="Calibri"/>
          <w:color w:val="000000"/>
          <w:sz w:val="22"/>
        </w:rPr>
        <w:t>发改办价格[2003]857号</w:t>
      </w:r>
      <w:r>
        <w:rPr>
          <w:rFonts w:hint="eastAsia" w:ascii="宋体" w:hAnsi="宋体" w:cs="Calibri"/>
          <w:color w:val="000000"/>
          <w:sz w:val="22"/>
        </w:rPr>
        <w:t>、发改价格[2011]534号</w:t>
      </w:r>
      <w:r>
        <w:rPr>
          <w:rFonts w:hint="eastAsia" w:ascii="宋体" w:hAnsi="宋体"/>
          <w:snapToGrid w:val="0"/>
          <w:kern w:val="0"/>
          <w:sz w:val="22"/>
        </w:rPr>
        <w:t>文件规定的基数</w:t>
      </w:r>
      <w:r>
        <w:rPr>
          <w:rFonts w:ascii="宋体" w:hAnsi="宋体"/>
          <w:snapToGrid w:val="0"/>
          <w:kern w:val="0"/>
          <w:sz w:val="22"/>
        </w:rPr>
        <w:t>*</w:t>
      </w:r>
      <w:r>
        <w:rPr>
          <w:rFonts w:hint="eastAsia" w:ascii="宋体" w:hAnsi="宋体"/>
          <w:snapToGrid w:val="0"/>
          <w:kern w:val="0"/>
          <w:sz w:val="22"/>
        </w:rPr>
        <w:t>优惠率。若相关政府部门规定必须由委托人支付的，按照前述计算方式，由受托人提供招标完成的请款报告由经办部门确认后支付。</w:t>
      </w:r>
      <w:r>
        <w:rPr>
          <w:rFonts w:hint="eastAsia" w:ascii="宋体" w:hAnsi="宋体" w:cs="Calibri"/>
          <w:b/>
          <w:color w:val="000000"/>
          <w:sz w:val="22"/>
        </w:rPr>
        <w:t>其中涉及</w:t>
      </w:r>
      <w:r>
        <w:rPr>
          <w:rFonts w:ascii="宋体" w:hAnsi="宋体" w:cs="Calibri"/>
          <w:b/>
          <w:color w:val="000000"/>
          <w:sz w:val="22"/>
        </w:rPr>
        <w:t>服务类项目（</w:t>
      </w:r>
      <w:r>
        <w:rPr>
          <w:rFonts w:hint="eastAsia" w:ascii="宋体" w:hAnsi="宋体" w:cs="Calibri"/>
          <w:b/>
          <w:color w:val="000000"/>
          <w:sz w:val="22"/>
        </w:rPr>
        <w:t>如</w:t>
      </w:r>
      <w:r>
        <w:rPr>
          <w:rFonts w:ascii="宋体" w:hAnsi="宋体" w:cs="Calibri"/>
          <w:b/>
          <w:color w:val="000000"/>
          <w:sz w:val="22"/>
        </w:rPr>
        <w:t>外包等），</w:t>
      </w:r>
      <w:r>
        <w:rPr>
          <w:rFonts w:hint="eastAsia" w:ascii="宋体" w:hAnsi="宋体" w:cs="Calibri"/>
          <w:b/>
          <w:color w:val="000000"/>
          <w:sz w:val="22"/>
        </w:rPr>
        <w:t>若</w:t>
      </w:r>
      <w:r>
        <w:rPr>
          <w:rFonts w:ascii="宋体" w:hAnsi="宋体" w:cs="Calibri"/>
          <w:b/>
          <w:color w:val="000000"/>
          <w:sz w:val="22"/>
        </w:rPr>
        <w:t>合同期大于</w:t>
      </w:r>
      <w:r>
        <w:rPr>
          <w:rFonts w:hint="eastAsia" w:ascii="宋体" w:hAnsi="宋体" w:cs="Calibri"/>
          <w:b/>
          <w:color w:val="000000"/>
          <w:sz w:val="22"/>
        </w:rPr>
        <w:t>一年</w:t>
      </w:r>
      <w:r>
        <w:rPr>
          <w:rFonts w:ascii="宋体" w:hAnsi="宋体" w:cs="Calibri"/>
          <w:b/>
          <w:color w:val="000000"/>
          <w:sz w:val="22"/>
        </w:rPr>
        <w:t>，</w:t>
      </w:r>
      <w:r>
        <w:rPr>
          <w:rFonts w:hint="eastAsia" w:ascii="宋体" w:hAnsi="宋体" w:cs="Calibri"/>
          <w:b/>
          <w:color w:val="000000"/>
          <w:sz w:val="22"/>
        </w:rPr>
        <w:t>计算</w:t>
      </w:r>
      <w:r>
        <w:rPr>
          <w:rFonts w:ascii="宋体" w:hAnsi="宋体" w:cs="Calibri"/>
          <w:b/>
          <w:color w:val="000000"/>
          <w:sz w:val="22"/>
        </w:rPr>
        <w:t>招标代理服务费时</w:t>
      </w:r>
      <w:r>
        <w:rPr>
          <w:rFonts w:hint="eastAsia" w:ascii="宋体" w:hAnsi="宋体" w:cs="Calibri"/>
          <w:b/>
          <w:color w:val="000000"/>
          <w:sz w:val="22"/>
        </w:rPr>
        <w:t>，以</w:t>
      </w:r>
      <w:r>
        <w:rPr>
          <w:rFonts w:ascii="宋体" w:hAnsi="宋体" w:cs="Calibri"/>
          <w:b/>
          <w:color w:val="000000"/>
          <w:sz w:val="22"/>
        </w:rPr>
        <w:t>第一年的中标金额</w:t>
      </w:r>
      <w:r>
        <w:rPr>
          <w:rFonts w:hint="eastAsia" w:ascii="宋体" w:hAnsi="宋体" w:cs="Calibri"/>
          <w:b/>
          <w:color w:val="000000"/>
          <w:sz w:val="22"/>
        </w:rPr>
        <w:t>计算</w:t>
      </w:r>
      <w:r>
        <w:rPr>
          <w:rFonts w:ascii="宋体" w:hAnsi="宋体" w:cs="Calibri"/>
          <w:b/>
          <w:color w:val="000000"/>
          <w:sz w:val="22"/>
        </w:rPr>
        <w:t>基数</w:t>
      </w:r>
      <w:r>
        <w:rPr>
          <w:rFonts w:hint="eastAsia" w:ascii="宋体" w:hAnsi="宋体" w:cs="Calibri"/>
          <w:b/>
          <w:color w:val="000000"/>
          <w:sz w:val="22"/>
        </w:rPr>
        <w:t>，无</w:t>
      </w:r>
      <w:r>
        <w:rPr>
          <w:rFonts w:ascii="宋体" w:hAnsi="宋体" w:cs="Calibri"/>
          <w:b/>
          <w:color w:val="000000"/>
          <w:sz w:val="22"/>
        </w:rPr>
        <w:t>具体</w:t>
      </w:r>
      <w:r>
        <w:rPr>
          <w:rFonts w:hint="eastAsia" w:ascii="宋体" w:hAnsi="宋体" w:cs="Calibri"/>
          <w:b/>
          <w:color w:val="000000"/>
          <w:sz w:val="22"/>
        </w:rPr>
        <w:t>中标</w:t>
      </w:r>
      <w:r>
        <w:rPr>
          <w:rFonts w:ascii="宋体" w:hAnsi="宋体" w:cs="Calibri"/>
          <w:b/>
          <w:color w:val="000000"/>
          <w:sz w:val="22"/>
        </w:rPr>
        <w:t>金额的</w:t>
      </w:r>
      <w:r>
        <w:rPr>
          <w:rFonts w:hint="eastAsia" w:ascii="宋体" w:hAnsi="宋体" w:cs="Calibri"/>
          <w:b/>
          <w:color w:val="000000"/>
          <w:sz w:val="22"/>
        </w:rPr>
        <w:t>招标项目</w:t>
      </w:r>
      <w:r>
        <w:rPr>
          <w:rFonts w:ascii="宋体" w:hAnsi="宋体" w:cs="Calibri"/>
          <w:b/>
          <w:color w:val="000000"/>
          <w:sz w:val="22"/>
        </w:rPr>
        <w:t>，招标代理</w:t>
      </w:r>
      <w:r>
        <w:rPr>
          <w:rFonts w:hint="eastAsia" w:ascii="宋体" w:hAnsi="宋体" w:cs="Calibri"/>
          <w:b/>
          <w:color w:val="000000"/>
          <w:sz w:val="22"/>
        </w:rPr>
        <w:t>服务</w:t>
      </w:r>
      <w:r>
        <w:rPr>
          <w:rFonts w:ascii="宋体" w:hAnsi="宋体" w:cs="Calibri"/>
          <w:b/>
          <w:color w:val="000000"/>
          <w:sz w:val="22"/>
        </w:rPr>
        <w:t>费</w:t>
      </w:r>
      <w:r>
        <w:rPr>
          <w:rFonts w:hint="eastAsia" w:ascii="宋体" w:hAnsi="宋体" w:cs="Calibri"/>
          <w:b/>
          <w:color w:val="000000"/>
          <w:sz w:val="22"/>
        </w:rPr>
        <w:t>另行</w:t>
      </w:r>
      <w:r>
        <w:rPr>
          <w:rFonts w:ascii="宋体" w:hAnsi="宋体" w:cs="Calibri"/>
          <w:b/>
          <w:color w:val="000000"/>
          <w:sz w:val="22"/>
        </w:rPr>
        <w:t>协商明确。</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2、政府交易中心收取的费用，由委托人、受托人各自承担。</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如招标项目为民航专业工程，招标评标专家应为民航总局专家库成员。因民航总局专家库为国家级专家库，成员来自全国各地，故该类项目工程招标代理服务费用除前款内容以外，还应包括专家往来交通费（含机票、车船票、市内交通费等）、住宿费、餐饮费等（食宿标准不得低于财政部相关规定），评标专家咨询费标准按照民航系统标准，并派专人、专车接送，遇专家往返时间不一致时，须分别接送，不得要求专家等候统一接送。</w:t>
      </w:r>
    </w:p>
    <w:p>
      <w:pPr>
        <w:spacing w:line="400" w:lineRule="exact"/>
        <w:ind w:firstLine="440" w:firstLineChars="200"/>
        <w:rPr>
          <w:rFonts w:ascii="宋体" w:hAnsi="宋体" w:cs="Calibri"/>
          <w:color w:val="000000"/>
          <w:sz w:val="22"/>
        </w:rPr>
      </w:pPr>
      <w:r>
        <w:rPr>
          <w:rFonts w:hint="eastAsia" w:ascii="宋体" w:hAnsi="宋体"/>
          <w:snapToGrid w:val="0"/>
          <w:kern w:val="0"/>
          <w:sz w:val="22"/>
        </w:rPr>
        <w:t>4、</w:t>
      </w:r>
      <w:r>
        <w:rPr>
          <w:rFonts w:hint="eastAsia" w:ascii="宋体" w:hAnsi="宋体" w:cs="Calibri"/>
          <w:color w:val="000000"/>
          <w:sz w:val="22"/>
        </w:rPr>
        <w:t>根据华东局发明电[201</w:t>
      </w:r>
      <w:r>
        <w:rPr>
          <w:rFonts w:ascii="宋体" w:hAnsi="宋体" w:cs="Calibri"/>
          <w:color w:val="000000"/>
          <w:sz w:val="22"/>
        </w:rPr>
        <w:t>5</w:t>
      </w:r>
      <w:r>
        <w:rPr>
          <w:rFonts w:hint="eastAsia" w:ascii="宋体" w:hAnsi="宋体" w:cs="Calibri"/>
          <w:color w:val="000000"/>
          <w:sz w:val="22"/>
        </w:rPr>
        <w:t>]3044号、华东局发明电[2016]627号文件，民航专业工程建设项目统一开评标地点为上海或者北京，故该类项目工程招标代理服务费用除前款内容以外，还应包括受托人人员及委托人监督人员的往来交通费（含机票、车船票、市内交通费等）、住宿费、餐饮费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5、根据</w:t>
      </w:r>
      <w:r>
        <w:rPr>
          <w:rFonts w:hint="eastAsia" w:ascii="宋体" w:hAnsi="宋体" w:cs="Calibri"/>
          <w:color w:val="000000"/>
          <w:sz w:val="22"/>
        </w:rPr>
        <w:t>浙发改法规[2014]645号</w:t>
      </w:r>
      <w:r>
        <w:rPr>
          <w:rFonts w:hint="eastAsia" w:ascii="宋体" w:hAnsi="宋体"/>
          <w:snapToGrid w:val="0"/>
          <w:kern w:val="0"/>
          <w:sz w:val="22"/>
        </w:rPr>
        <w:t>，省重点建设项目的评标专家在全库内不分地区随机抽取，不受地域限制，故该类项目招标代理服务费用除前款内容以外，还应包括专家往来交通费（含机票、车船票、市内交通费等）、住宿费、餐饮费等（食宿标准不得低于财政部相关规定）。</w:t>
      </w:r>
    </w:p>
    <w:p>
      <w:pPr>
        <w:widowControl/>
        <w:spacing w:line="400" w:lineRule="exact"/>
        <w:jc w:val="left"/>
        <w:rPr>
          <w:rFonts w:ascii="宋体" w:hAnsi="宋体"/>
          <w:b/>
          <w:snapToGrid w:val="0"/>
          <w:kern w:val="0"/>
          <w:sz w:val="22"/>
        </w:rPr>
      </w:pPr>
      <w:r>
        <w:rPr>
          <w:rFonts w:hint="eastAsia" w:ascii="宋体" w:hAnsi="宋体"/>
          <w:snapToGrid w:val="0"/>
          <w:kern w:val="0"/>
          <w:sz w:val="22"/>
        </w:rPr>
        <w:t xml:space="preserve">   </w:t>
      </w:r>
      <w:r>
        <w:rPr>
          <w:rFonts w:hint="eastAsia" w:ascii="宋体" w:hAnsi="宋体"/>
          <w:snapToGrid w:val="0"/>
          <w:color w:val="FF0000"/>
          <w:kern w:val="0"/>
          <w:sz w:val="22"/>
        </w:rPr>
        <w:t xml:space="preserve"> </w:t>
      </w:r>
      <w:r>
        <w:rPr>
          <w:rFonts w:hint="eastAsia" w:ascii="宋体" w:hAnsi="宋体"/>
          <w:b/>
          <w:snapToGrid w:val="0"/>
          <w:kern w:val="0"/>
          <w:sz w:val="22"/>
        </w:rPr>
        <w:t>第四条  代理招标工作内容</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 xml:space="preserve">1、协助招标人办理项目立项申报事宜。 </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2、招标相关文件报送招标人审核后报相关主管部门批准。</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 xml:space="preserve">3、依法代表招标人发布招标公告，负责与政府招标管理部门进行协调。 </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 xml:space="preserve">4、组织现场踏勘和答疑。 </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5、组织标前会议，负责资格预审文件和招标文件的澄清、修改与补充。</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 xml:space="preserve">6、组织开标。 </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7、组织专家评审，编制招标情况书面报告，并将评审报告报送招标人，并报相关主管部门审批。</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8、负责向中标人发中标通知书，并将中标结果通知所有未中标的投标人。</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9、负责办理与招标项目有关的报批手续。</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10、负责整理汇总招标、评标过程中的有关原始文件和资料，按招标人档案管理要求提交存档。</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11、按照招标工作的有关规定，做好相关其它工作。</w:t>
      </w:r>
    </w:p>
    <w:p>
      <w:pPr>
        <w:adjustRightInd w:val="0"/>
        <w:snapToGrid w:val="0"/>
        <w:spacing w:line="400" w:lineRule="exact"/>
        <w:ind w:firstLine="440" w:firstLineChars="200"/>
        <w:jc w:val="both"/>
        <w:rPr>
          <w:rFonts w:hint="eastAsia" w:ascii="宋体" w:hAnsi="宋体" w:cs="Calibri"/>
          <w:snapToGrid/>
          <w:color w:val="000000"/>
          <w:kern w:val="2"/>
          <w:sz w:val="22"/>
        </w:rPr>
      </w:pPr>
      <w:r>
        <w:rPr>
          <w:rFonts w:hint="eastAsia" w:ascii="宋体" w:hAnsi="宋体"/>
          <w:snapToGrid w:val="0"/>
          <w:kern w:val="0"/>
          <w:sz w:val="22"/>
        </w:rPr>
        <w:t>12、</w:t>
      </w:r>
      <w:r>
        <w:rPr>
          <w:rFonts w:ascii="Microsoft YaHei,Segoe UI Emoji" w:hAnsi="Microsoft YaHei,Segoe UI Emoji"/>
          <w:color w:val="000000"/>
          <w:szCs w:val="21"/>
        </w:rPr>
        <w:t>负责核实合同条款内容发布的招标文件、中标单位提供的投标文件、投标承诺等内容相符，并出具书面承诺函（详见附件）后，</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所属的具体经办部门才可以申报合同审核流程。</w:t>
      </w:r>
    </w:p>
    <w:p>
      <w:pPr>
        <w:spacing w:line="400" w:lineRule="exact"/>
        <w:ind w:firstLine="440" w:firstLineChars="200"/>
        <w:jc w:val="left"/>
        <w:rPr>
          <w:rFonts w:ascii="宋体" w:hAnsi="宋体"/>
          <w:b/>
          <w:snapToGrid w:val="0"/>
          <w:kern w:val="0"/>
          <w:sz w:val="22"/>
        </w:rPr>
      </w:pPr>
      <w:r>
        <w:rPr>
          <w:rFonts w:hint="eastAsia" w:ascii="宋体" w:hAnsi="宋体"/>
          <w:b/>
          <w:snapToGrid w:val="0"/>
          <w:kern w:val="0"/>
          <w:sz w:val="22"/>
        </w:rPr>
        <w:t>第五条  委托方的权利</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1、参与招标代理工作的有关活动。</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2、要求受托方及时提供招标代理工作进展情况。</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3、要求受托方更换不称职的人员或按规定应回避的人员。</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4、确定受托方的具体工作内容或提出具体要求。</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5、委托方或政府有关部门发现受托方在招标代理工作中违反有关法律、法规或建设程序的，委托方有权要求受托方予以纠正。情节严重的，委托方可以解除本合同。</w:t>
      </w:r>
    </w:p>
    <w:p>
      <w:pPr>
        <w:spacing w:line="400" w:lineRule="exact"/>
        <w:ind w:firstLine="440" w:firstLineChars="200"/>
        <w:jc w:val="left"/>
        <w:rPr>
          <w:rFonts w:ascii="宋体" w:hAnsi="宋体"/>
          <w:snapToGrid w:val="0"/>
          <w:kern w:val="0"/>
          <w:sz w:val="22"/>
        </w:rPr>
      </w:pPr>
      <w:r>
        <w:rPr>
          <w:rFonts w:hint="eastAsia" w:ascii="宋体" w:hAnsi="宋体"/>
          <w:snapToGrid w:val="0"/>
          <w:kern w:val="0"/>
          <w:sz w:val="22"/>
        </w:rPr>
        <w:t>6、</w:t>
      </w:r>
      <w:r>
        <w:rPr>
          <w:rFonts w:ascii="宋体" w:hAnsi="宋体"/>
          <w:snapToGrid w:val="0"/>
          <w:kern w:val="0"/>
          <w:sz w:val="22"/>
        </w:rPr>
        <w:t>负责审定招标文件，确定</w:t>
      </w:r>
      <w:r>
        <w:rPr>
          <w:rFonts w:hint="eastAsia" w:ascii="宋体" w:hAnsi="宋体"/>
          <w:snapToGrid w:val="0"/>
          <w:kern w:val="0"/>
          <w:sz w:val="22"/>
        </w:rPr>
        <w:t>招标方</w:t>
      </w:r>
      <w:r>
        <w:rPr>
          <w:rFonts w:ascii="宋体" w:hAnsi="宋体"/>
          <w:snapToGrid w:val="0"/>
          <w:kern w:val="0"/>
          <w:sz w:val="22"/>
        </w:rPr>
        <w:t>式和评标办法</w:t>
      </w:r>
      <w:r>
        <w:rPr>
          <w:rFonts w:hint="eastAsia" w:ascii="宋体" w:hAnsi="宋体"/>
          <w:snapToGrid w:val="0"/>
          <w:kern w:val="0"/>
          <w:sz w:val="22"/>
        </w:rPr>
        <w:t>。</w:t>
      </w:r>
    </w:p>
    <w:p>
      <w:pPr>
        <w:spacing w:line="400" w:lineRule="exact"/>
        <w:ind w:firstLine="440" w:firstLineChars="200"/>
        <w:jc w:val="left"/>
        <w:rPr>
          <w:rFonts w:ascii="宋体" w:hAnsi="宋体"/>
          <w:sz w:val="22"/>
        </w:rPr>
      </w:pPr>
      <w:r>
        <w:rPr>
          <w:rFonts w:hint="eastAsia" w:ascii="宋体" w:hAnsi="宋体"/>
          <w:snapToGrid w:val="0"/>
          <w:kern w:val="0"/>
          <w:sz w:val="22"/>
        </w:rPr>
        <w:t>7、</w:t>
      </w:r>
      <w:r>
        <w:rPr>
          <w:rFonts w:ascii="宋体" w:hAnsi="宋体"/>
          <w:sz w:val="22"/>
        </w:rPr>
        <w:t>协助受托方组建评标委员会，并按有关规定派专业人员出任评委</w:t>
      </w:r>
      <w:r>
        <w:rPr>
          <w:rFonts w:hint="eastAsia" w:ascii="宋体" w:hAnsi="宋体"/>
          <w:sz w:val="22"/>
        </w:rPr>
        <w:t>。</w:t>
      </w:r>
    </w:p>
    <w:p>
      <w:pPr>
        <w:spacing w:line="400" w:lineRule="exact"/>
        <w:ind w:firstLine="440" w:firstLineChars="200"/>
        <w:jc w:val="left"/>
        <w:rPr>
          <w:rFonts w:ascii="宋体" w:hAnsi="宋体"/>
          <w:b/>
          <w:snapToGrid w:val="0"/>
          <w:kern w:val="0"/>
          <w:sz w:val="22"/>
        </w:rPr>
      </w:pPr>
      <w:r>
        <w:rPr>
          <w:rFonts w:hint="eastAsia" w:ascii="宋体" w:hAnsi="宋体"/>
          <w:b/>
          <w:snapToGrid w:val="0"/>
          <w:kern w:val="0"/>
          <w:sz w:val="22"/>
        </w:rPr>
        <w:t>第六条  委托方的义务</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1、在开展招标代理工作之前，按照有关规定完成项目所需的有关审批手续。</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2、应向受托方及时、无偿、真实、详细的提供招标代理工作范围内所需的文件和资料。受托方应对此予以指导。</w:t>
      </w:r>
    </w:p>
    <w:p>
      <w:pPr>
        <w:spacing w:line="400" w:lineRule="exact"/>
        <w:ind w:firstLine="440" w:firstLineChars="200"/>
        <w:rPr>
          <w:rFonts w:ascii="宋体" w:hAnsi="宋体"/>
          <w:sz w:val="22"/>
        </w:rPr>
      </w:pPr>
      <w:r>
        <w:rPr>
          <w:rFonts w:hint="eastAsia" w:ascii="宋体" w:hAnsi="宋体"/>
          <w:snapToGrid w:val="0"/>
          <w:kern w:val="0"/>
          <w:sz w:val="22"/>
        </w:rPr>
        <w:t>3</w:t>
      </w:r>
      <w:r>
        <w:rPr>
          <w:rFonts w:hint="eastAsia" w:ascii="宋体" w:hAnsi="宋体"/>
          <w:sz w:val="22"/>
        </w:rPr>
        <w:t>、</w:t>
      </w:r>
      <w:r>
        <w:rPr>
          <w:rFonts w:ascii="宋体" w:hAnsi="宋体"/>
          <w:sz w:val="22"/>
        </w:rPr>
        <w:t>协助受托方</w:t>
      </w:r>
      <w:r>
        <w:rPr>
          <w:rFonts w:hint="eastAsia" w:ascii="宋体" w:hAnsi="宋体"/>
          <w:sz w:val="22"/>
        </w:rPr>
        <w:t>对相关</w:t>
      </w:r>
      <w:r>
        <w:rPr>
          <w:rFonts w:ascii="宋体" w:hAnsi="宋体"/>
          <w:sz w:val="22"/>
        </w:rPr>
        <w:t>招标文件的</w:t>
      </w:r>
      <w:r>
        <w:rPr>
          <w:rFonts w:hint="eastAsia" w:ascii="宋体" w:hAnsi="宋体"/>
          <w:sz w:val="22"/>
        </w:rPr>
        <w:t>内容进行解释、</w:t>
      </w:r>
      <w:r>
        <w:rPr>
          <w:rFonts w:ascii="宋体" w:hAnsi="宋体"/>
          <w:sz w:val="22"/>
        </w:rPr>
        <w:t>答疑</w:t>
      </w:r>
      <w:r>
        <w:rPr>
          <w:rFonts w:hint="eastAsia" w:ascii="宋体" w:hAnsi="宋体"/>
          <w:sz w:val="22"/>
        </w:rPr>
        <w:t>等</w:t>
      </w:r>
      <w:r>
        <w:rPr>
          <w:rFonts w:ascii="宋体" w:hAnsi="宋体"/>
          <w:sz w:val="22"/>
        </w:rPr>
        <w:t>工作</w:t>
      </w:r>
      <w:r>
        <w:rPr>
          <w:rFonts w:hint="eastAsia" w:ascii="宋体" w:hAnsi="宋体"/>
          <w:sz w:val="22"/>
        </w:rPr>
        <w:t>。</w:t>
      </w:r>
    </w:p>
    <w:p>
      <w:pPr>
        <w:spacing w:line="400" w:lineRule="exact"/>
        <w:ind w:firstLine="440" w:firstLineChars="200"/>
        <w:rPr>
          <w:rFonts w:ascii="宋体" w:hAnsi="宋体"/>
          <w:sz w:val="22"/>
        </w:rPr>
      </w:pPr>
      <w:r>
        <w:rPr>
          <w:rFonts w:hint="eastAsia" w:ascii="宋体" w:hAnsi="宋体"/>
          <w:snapToGrid w:val="0"/>
          <w:kern w:val="0"/>
          <w:sz w:val="22"/>
        </w:rPr>
        <w:t>4、招标代理工作的内容、时间或项目的内容、时间等发生重大调整，应及时通知受托方，以便受</w:t>
      </w:r>
      <w:r>
        <w:rPr>
          <w:rFonts w:hint="eastAsia" w:ascii="宋体" w:hAnsi="宋体"/>
          <w:sz w:val="22"/>
        </w:rPr>
        <w:t>托方调整相应的工作安排。</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5、委托方及其工作人员不得以任何形式向受托方索要或收受回扣、礼金、好处费和其他礼物，或要求受托方报销应由委托方或其工作人员自行承担的费用。</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第七条  受托方的权利</w:t>
      </w:r>
    </w:p>
    <w:p>
      <w:pPr>
        <w:spacing w:line="400" w:lineRule="exact"/>
        <w:ind w:firstLine="440" w:firstLineChars="200"/>
        <w:rPr>
          <w:rFonts w:ascii="宋体" w:hAnsi="宋体" w:cs="Calibri"/>
          <w:color w:val="000000"/>
          <w:sz w:val="22"/>
        </w:rPr>
      </w:pPr>
      <w:r>
        <w:rPr>
          <w:rFonts w:hint="eastAsia" w:ascii="宋体" w:hAnsi="宋体"/>
          <w:snapToGrid w:val="0"/>
          <w:kern w:val="0"/>
          <w:sz w:val="22"/>
        </w:rPr>
        <w:t>1、成立招标代理项目组，由项目负责人</w:t>
      </w:r>
      <w:r>
        <w:rPr>
          <w:rFonts w:hint="eastAsia" w:ascii="宋体" w:hAnsi="宋体" w:cs="Calibri"/>
          <w:color w:val="000000"/>
          <w:sz w:val="22"/>
        </w:rPr>
        <w:t>与委托人联系招标事宜，项目负责人原则上不得更换，应委托人要求更换的除外。</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2、在招标代理工作中有权拒绝任何反法律、法规和其他规定的人为干预。</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3、委托方针对招标代理工作和项目提出的某些条件和要求不符合国家有关规定的，受托方可以建议委托方进行修改。</w:t>
      </w:r>
    </w:p>
    <w:p>
      <w:pPr>
        <w:spacing w:line="400" w:lineRule="exact"/>
        <w:ind w:firstLine="440" w:firstLineChars="200"/>
        <w:rPr>
          <w:rFonts w:ascii="宋体" w:hAnsi="宋体"/>
          <w:snapToGrid w:val="0"/>
          <w:kern w:val="0"/>
          <w:sz w:val="22"/>
        </w:rPr>
      </w:pPr>
      <w:r>
        <w:rPr>
          <w:rFonts w:hint="eastAsia" w:ascii="宋体" w:hAnsi="宋体" w:cs="Calibri"/>
          <w:color w:val="000000"/>
          <w:sz w:val="22"/>
        </w:rPr>
        <w:t>4受托人应按照委托人要求，独立完成各项目的代理工作，遵守国家相关法律法规及委托人的相关制度规定，提供专业的代理服务。</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第八条  受托方的义务</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1、不得将本合同确定的招标代理工作转让或分包给第三方。</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2、向委托方提供工作计划及相关资料，做好有关法律、法规和其他规定的解释工作。</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3、委派的人员如与项目潜在受托方有任何利益关系或其他可能影响招标代理工作公正性的情形，应主动向委托方提出回避。委托方同意回避的，受托方应立即更换其他合适的人员，不得因此而影响工作。</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4、对招标代理工作中提出的技术方案、数据参数、技术经济分析结论负责。</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5、对由于自身过错造成的委托方及或任何第三方的损失，承担赔偿责任。</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6、不得采用行贿、给予其他利益或者诋毁他人等不正当手段干扰招标代理工作的公正性。不得向委托人、潜在投标人、投标人或中标人索要或收受回扣、礼金、好处费和其他礼物，或要求报销应由受托方及其工作人员自行承担的费用。</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7、招标代理工作完成后，受托方应向委托方提供完整、详细的书面报告，并返还委托方提供的所有材料。</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8、受托方发现可能出现流标或其他任何可能影响正常的招标结果的情形，应立即向委托方报告并提供相应材料，以便委托方及时作出指示。</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9、受托方出具的任何对潜在投标人、投标人、中标人或其他第三方具有法律效力的文件，均应事先经委托方确认同意，并由委托方签字或盖章确认后，方可对外公布。</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10、协助委托方办理项目立项申报事宜，以及负责办理与招标项目有关的报批手续。</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11、将招标相关文件报送委托方审核后报相关主管部门审批。</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12、经委托方书面确认后，依法代表委托方发布招标公告，负责与政府招标管理部门进行协调。 </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13、组织标前会议，负责资格预审文件和招标文件的解释、修改与补充。</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14、</w:t>
      </w:r>
      <w:r>
        <w:rPr>
          <w:rFonts w:ascii="宋体" w:hAnsi="宋体"/>
          <w:snapToGrid w:val="0"/>
          <w:kern w:val="0"/>
          <w:sz w:val="22"/>
        </w:rPr>
        <w:t>负责整理汇总招标、评标过程中的有关原始文件和资料，按招标方档案管理要求提交存档</w:t>
      </w:r>
      <w:r>
        <w:rPr>
          <w:rFonts w:hint="eastAsia" w:ascii="宋体" w:hAnsi="宋体"/>
          <w:snapToGrid w:val="0"/>
          <w:kern w:val="0"/>
          <w:sz w:val="22"/>
        </w:rPr>
        <w:t>。</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15、为招标方提供招标有关的法律、法规、政策等方面的建议。</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16、</w:t>
      </w:r>
      <w:r>
        <w:rPr>
          <w:rFonts w:ascii="宋体" w:hAnsi="宋体"/>
          <w:snapToGrid w:val="0"/>
          <w:kern w:val="0"/>
          <w:sz w:val="22"/>
        </w:rPr>
        <w:t>委托方</w:t>
      </w:r>
      <w:r>
        <w:rPr>
          <w:rFonts w:hint="eastAsia" w:ascii="宋体" w:hAnsi="宋体"/>
          <w:snapToGrid w:val="0"/>
          <w:kern w:val="0"/>
          <w:sz w:val="22"/>
        </w:rPr>
        <w:t>在自行组织实施招标项目时，受托方按委托方要求在（省、全国性的招标网站）发布招标公告。</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17、</w:t>
      </w:r>
      <w:r>
        <w:rPr>
          <w:rFonts w:ascii="宋体" w:hAnsi="宋体"/>
          <w:snapToGrid w:val="0"/>
          <w:kern w:val="0"/>
          <w:sz w:val="22"/>
        </w:rPr>
        <w:t>为委托方提供</w:t>
      </w:r>
      <w:r>
        <w:rPr>
          <w:rFonts w:hint="eastAsia" w:ascii="宋体" w:hAnsi="宋体"/>
          <w:snapToGrid w:val="0"/>
          <w:kern w:val="0"/>
          <w:sz w:val="22"/>
        </w:rPr>
        <w:t>招标</w:t>
      </w:r>
      <w:r>
        <w:rPr>
          <w:rFonts w:ascii="宋体" w:hAnsi="宋体"/>
          <w:snapToGrid w:val="0"/>
          <w:kern w:val="0"/>
          <w:sz w:val="22"/>
        </w:rPr>
        <w:t>咨询服务，</w:t>
      </w:r>
      <w:r>
        <w:rPr>
          <w:rFonts w:hint="eastAsia" w:ascii="宋体" w:hAnsi="宋体"/>
          <w:snapToGrid w:val="0"/>
          <w:kern w:val="0"/>
          <w:sz w:val="22"/>
        </w:rPr>
        <w:t>协助编制</w:t>
      </w:r>
      <w:r>
        <w:rPr>
          <w:rFonts w:ascii="宋体" w:hAnsi="宋体"/>
          <w:snapToGrid w:val="0"/>
          <w:kern w:val="0"/>
          <w:sz w:val="22"/>
        </w:rPr>
        <w:t>委托方</w:t>
      </w:r>
      <w:r>
        <w:rPr>
          <w:rFonts w:hint="eastAsia" w:ascii="宋体" w:hAnsi="宋体"/>
          <w:snapToGrid w:val="0"/>
          <w:kern w:val="0"/>
          <w:sz w:val="22"/>
        </w:rPr>
        <w:t>自行组织实施招标项目的招标文件</w:t>
      </w:r>
      <w:r>
        <w:rPr>
          <w:rFonts w:ascii="宋体" w:hAnsi="宋体"/>
          <w:snapToGrid w:val="0"/>
          <w:kern w:val="0"/>
          <w:sz w:val="22"/>
        </w:rPr>
        <w:t>，</w:t>
      </w:r>
      <w:r>
        <w:rPr>
          <w:rFonts w:hint="eastAsia" w:ascii="宋体" w:hAnsi="宋体"/>
          <w:snapToGrid w:val="0"/>
          <w:kern w:val="0"/>
          <w:sz w:val="22"/>
        </w:rPr>
        <w:t>并提出修改意见。</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18、按委托方要求，</w:t>
      </w:r>
      <w:r>
        <w:rPr>
          <w:rFonts w:ascii="宋体" w:hAnsi="宋体"/>
          <w:snapToGrid w:val="0"/>
          <w:kern w:val="0"/>
          <w:sz w:val="22"/>
        </w:rPr>
        <w:t>对委托方员工</w:t>
      </w:r>
      <w:r>
        <w:rPr>
          <w:rFonts w:hint="eastAsia" w:ascii="宋体" w:hAnsi="宋体"/>
          <w:snapToGrid w:val="0"/>
          <w:kern w:val="0"/>
          <w:sz w:val="22"/>
        </w:rPr>
        <w:t>开展免费招标</w:t>
      </w:r>
      <w:r>
        <w:rPr>
          <w:rFonts w:ascii="宋体" w:hAnsi="宋体"/>
          <w:snapToGrid w:val="0"/>
          <w:kern w:val="0"/>
          <w:sz w:val="22"/>
        </w:rPr>
        <w:t>知识讲座和法制宣传教育</w:t>
      </w:r>
      <w:r>
        <w:rPr>
          <w:rFonts w:hint="eastAsia" w:ascii="宋体" w:hAnsi="宋体"/>
          <w:snapToGrid w:val="0"/>
          <w:kern w:val="0"/>
          <w:sz w:val="22"/>
        </w:rPr>
        <w:t>培训</w:t>
      </w:r>
      <w:r>
        <w:rPr>
          <w:rFonts w:ascii="宋体" w:hAnsi="宋体"/>
          <w:snapToGrid w:val="0"/>
          <w:kern w:val="0"/>
          <w:sz w:val="22"/>
        </w:rPr>
        <w:t>，每年至少一次，内容由委托方决定</w:t>
      </w:r>
      <w:r>
        <w:rPr>
          <w:rFonts w:hint="eastAsia" w:ascii="宋体" w:hAnsi="宋体"/>
          <w:snapToGrid w:val="0"/>
          <w:kern w:val="0"/>
          <w:sz w:val="22"/>
        </w:rPr>
        <w:t>。</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19、项目负责人原则上应在招投标活动的的主要时间节点到场，如招标文件讨论、开评标、投诉处理等。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20、受托人应根据工作需要，合理增加项目班子成员，在任何情况下，若委托人认为项目负责人或项目班子成员不能胜任工作，有权要求受托人进行更换；受托人应在收到委托人通知之日起的7天内，按照委托人要求，提出新的人选，报委托人批准后，立即到位。</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21、其他</w:t>
      </w:r>
      <w:r>
        <w:rPr>
          <w:rFonts w:ascii="宋体" w:hAnsi="宋体"/>
          <w:snapToGrid w:val="0"/>
          <w:kern w:val="0"/>
          <w:sz w:val="22"/>
        </w:rPr>
        <w:t>应委托方要求</w:t>
      </w:r>
      <w:r>
        <w:rPr>
          <w:rFonts w:hint="eastAsia" w:ascii="宋体" w:hAnsi="宋体"/>
          <w:snapToGrid w:val="0"/>
          <w:kern w:val="0"/>
          <w:sz w:val="22"/>
        </w:rPr>
        <w:t>提供的服务。</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第九条  服务期限</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代理服务期限为三年。</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1、起始时间：20</w:t>
      </w:r>
      <w:r>
        <w:rPr>
          <w:rFonts w:ascii="宋体" w:hAnsi="宋体"/>
          <w:snapToGrid w:val="0"/>
          <w:kern w:val="0"/>
          <w:sz w:val="22"/>
        </w:rPr>
        <w:t>20</w:t>
      </w:r>
      <w:r>
        <w:rPr>
          <w:rFonts w:hint="eastAsia" w:ascii="宋体" w:hAnsi="宋体"/>
          <w:snapToGrid w:val="0"/>
          <w:kern w:val="0"/>
          <w:sz w:val="22"/>
        </w:rPr>
        <w:t>年1月1日；</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2、终止时间：20</w:t>
      </w:r>
      <w:r>
        <w:rPr>
          <w:rFonts w:ascii="宋体" w:hAnsi="宋体"/>
          <w:snapToGrid w:val="0"/>
          <w:kern w:val="0"/>
          <w:sz w:val="22"/>
        </w:rPr>
        <w:t>22</w:t>
      </w:r>
      <w:r>
        <w:rPr>
          <w:rFonts w:hint="eastAsia" w:ascii="宋体" w:hAnsi="宋体"/>
          <w:snapToGrid w:val="0"/>
          <w:kern w:val="0"/>
          <w:sz w:val="22"/>
        </w:rPr>
        <w:t>年12月31日。</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第十条  代理费的结算</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w:t>
      </w:r>
      <w:r>
        <w:rPr>
          <w:rFonts w:ascii="宋体" w:hAnsi="宋体"/>
          <w:snapToGrid w:val="0"/>
          <w:kern w:val="0"/>
          <w:sz w:val="22"/>
        </w:rPr>
        <w:t>、招标代理服务费费率中已包括完成招标代理服务过程中可能发生的所有费用，包括但不限于公示费、招标文件制作费、标底编制费、评标专家咨询费、场租费、从事代理服务中发生的受托方人员食宿、交通等任何其他费用等。</w:t>
      </w:r>
      <w:r>
        <w:rPr>
          <w:rFonts w:hint="eastAsia" w:ascii="宋体" w:hAnsi="宋体"/>
          <w:snapToGrid w:val="0"/>
          <w:kern w:val="0"/>
          <w:sz w:val="22"/>
        </w:rPr>
        <w:t>政府交易中心收取的费用，由委托人、受托人各自承担。</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w:t>
      </w:r>
      <w:r>
        <w:rPr>
          <w:rFonts w:ascii="宋体" w:hAnsi="宋体"/>
          <w:snapToGrid w:val="0"/>
          <w:kern w:val="0"/>
          <w:sz w:val="22"/>
        </w:rPr>
        <w:t>、如投标期间因</w:t>
      </w:r>
      <w:r>
        <w:rPr>
          <w:rFonts w:hint="eastAsia" w:ascii="宋体" w:hAnsi="宋体"/>
          <w:snapToGrid w:val="0"/>
          <w:kern w:val="0"/>
          <w:sz w:val="22"/>
        </w:rPr>
        <w:t>委托方需求变更</w:t>
      </w:r>
      <w:r>
        <w:rPr>
          <w:rFonts w:ascii="宋体" w:hAnsi="宋体"/>
          <w:snapToGrid w:val="0"/>
          <w:kern w:val="0"/>
          <w:sz w:val="22"/>
        </w:rPr>
        <w:t>造成</w:t>
      </w:r>
      <w:r>
        <w:rPr>
          <w:rFonts w:hint="eastAsia" w:ascii="宋体" w:hAnsi="宋体"/>
          <w:snapToGrid w:val="0"/>
          <w:kern w:val="0"/>
          <w:sz w:val="22"/>
        </w:rPr>
        <w:t>技术方案</w:t>
      </w:r>
      <w:r>
        <w:rPr>
          <w:rFonts w:ascii="宋体" w:hAnsi="宋体"/>
          <w:snapToGrid w:val="0"/>
          <w:kern w:val="0"/>
          <w:sz w:val="22"/>
        </w:rPr>
        <w:t>及参考标底需调整、修改的，不再另行收取费用。</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w:t>
      </w:r>
      <w:r>
        <w:rPr>
          <w:rFonts w:ascii="宋体" w:hAnsi="宋体"/>
          <w:snapToGrid w:val="0"/>
          <w:kern w:val="0"/>
          <w:sz w:val="22"/>
        </w:rPr>
        <w:t>、招标过程中所发生的费用，如招标成功（指按招标投标程序而确定了中标人，并已签订合同及收取相应的履约保证金），由</w:t>
      </w:r>
      <w:r>
        <w:rPr>
          <w:rFonts w:hint="eastAsia" w:ascii="宋体" w:hAnsi="宋体"/>
          <w:snapToGrid w:val="0"/>
          <w:kern w:val="0"/>
          <w:sz w:val="22"/>
        </w:rPr>
        <w:t>中标人</w:t>
      </w:r>
      <w:r>
        <w:rPr>
          <w:rFonts w:ascii="宋体" w:hAnsi="宋体"/>
          <w:snapToGrid w:val="0"/>
          <w:kern w:val="0"/>
          <w:sz w:val="22"/>
        </w:rPr>
        <w:t>承担</w:t>
      </w:r>
      <w:r>
        <w:rPr>
          <w:rFonts w:hint="eastAsia" w:ascii="宋体" w:hAnsi="宋体"/>
          <w:snapToGrid w:val="0"/>
          <w:kern w:val="0"/>
          <w:sz w:val="22"/>
        </w:rPr>
        <w:t>。</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4、在招标过程中，受托方已恰当充分的履行了本协议所规定的相应职责与义务，但招标失败的，则由委托人据实承担已由受托方专为履行本协议而实际开支的招标费用（不包括受托方自身人员薪酬及其他一切日常营运开支），受托方应向委托方提供相应的开支凭据。</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5</w:t>
      </w:r>
      <w:r>
        <w:rPr>
          <w:rFonts w:ascii="宋体" w:hAnsi="宋体"/>
          <w:snapToGrid w:val="0"/>
          <w:kern w:val="0"/>
          <w:sz w:val="22"/>
        </w:rPr>
        <w:t>、受托方在履行本协议期间存在违反或者懈怠情形，则无论该等情形是否直接导致招标失败，招标过程中所发生费用，均应由受托方承担</w:t>
      </w:r>
      <w:r>
        <w:rPr>
          <w:rFonts w:hint="eastAsia" w:ascii="宋体" w:hAnsi="宋体"/>
          <w:snapToGrid w:val="0"/>
          <w:kern w:val="0"/>
          <w:sz w:val="22"/>
        </w:rPr>
        <w:t>。</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6、如招标项目为民航专业工程，招标评标专家应为民航总局专家库成员。因民航总局专家库为国家级专家库，成员来自全国各地，故该类项目工程招标代理服务费用除前款内容以外，还应包括专家往来交通费（含机票、车船票、市内交通费等）、住宿费、餐饮费等（食宿标准不得低于财政部相关规定），评标专家咨询费标准按照民航系统标准，并派专人、专车接送，遇专家往返时间不一致时，须分别接送，不得要求专家等候统一接送。</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第十一条  违约责任</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任何一方发生任何违约行为的，除本协议另有规定外，违约方均应就因此给守约方造成的全部损失，包括间接损失、可预期利益损失，以及因主张权利而发生的诉讼费、仲裁费、调查费、律师费等，承担赔偿责任。</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2、发生下列情形之一的，守约方有权解除本合同，并要求违约方承担赔偿责任。</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（1）违约方发生违约行为并在守约方规定的期限内未改正；</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（2）违约行为影响恶劣或给守约方造成较大负面影响的；</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（3）违约行为发生三次（含）以上。</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w:t>
      </w:r>
      <w:r>
        <w:rPr>
          <w:rFonts w:ascii="宋体" w:hAnsi="宋体"/>
          <w:snapToGrid w:val="0"/>
          <w:kern w:val="0"/>
          <w:sz w:val="22"/>
        </w:rPr>
        <w:t>、</w:t>
      </w:r>
      <w:r>
        <w:rPr>
          <w:rFonts w:hint="eastAsia" w:ascii="宋体" w:hAnsi="宋体"/>
          <w:snapToGrid w:val="0"/>
          <w:kern w:val="0"/>
          <w:sz w:val="22"/>
        </w:rPr>
        <w:t>由于受托人原因造成委托人招标工作完成时间的延误（按双方确定的时间计划或时间表），每延误一天受托人应按委托人要求赔偿按相应项目合同总价千分之三的违约金；情形严重延误达到10日的，委托人有权立即中止或终止合同，并不予退还受托人的履约保证金。</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4、受托人有下列情形之一的，直接列入黑名单，委托人有权立即终止合同，并不予退还受托人的履约保证金：</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 xml:space="preserve">（一）与投标人串通投标的； </w:t>
      </w:r>
    </w:p>
    <w:p>
      <w:pPr>
        <w:tabs>
          <w:tab w:val="left" w:pos="972"/>
        </w:tabs>
        <w:spacing w:line="400" w:lineRule="exact"/>
        <w:ind w:firstLine="440" w:firstLineChars="200"/>
        <w:rPr>
          <w:rFonts w:ascii="宋体" w:hAnsi="宋体"/>
          <w:sz w:val="22"/>
        </w:rPr>
      </w:pPr>
      <w:r>
        <w:rPr>
          <w:rFonts w:hint="eastAsia" w:ascii="宋体" w:hAnsi="宋体"/>
          <w:sz w:val="22"/>
        </w:rPr>
        <w:t>（二）在招投标活动中有行贿行为或受贿行为的；</w:t>
      </w:r>
    </w:p>
    <w:p>
      <w:pPr>
        <w:tabs>
          <w:tab w:val="left" w:pos="972"/>
        </w:tabs>
        <w:spacing w:line="400" w:lineRule="exact"/>
        <w:ind w:firstLine="440" w:firstLineChars="200"/>
        <w:rPr>
          <w:rFonts w:ascii="宋体" w:hAnsi="宋体"/>
          <w:sz w:val="22"/>
        </w:rPr>
      </w:pPr>
      <w:r>
        <w:rPr>
          <w:rFonts w:hint="eastAsia" w:ascii="宋体" w:hAnsi="宋体"/>
          <w:sz w:val="22"/>
        </w:rPr>
        <w:t>（三）提供虚假材料骗取招投标代理业务的；</w:t>
      </w:r>
    </w:p>
    <w:p>
      <w:pPr>
        <w:tabs>
          <w:tab w:val="left" w:pos="972"/>
        </w:tabs>
        <w:spacing w:line="400" w:lineRule="exact"/>
        <w:ind w:firstLine="440" w:firstLineChars="200"/>
        <w:rPr>
          <w:rFonts w:ascii="宋体" w:hAnsi="宋体"/>
          <w:sz w:val="22"/>
        </w:rPr>
      </w:pPr>
      <w:r>
        <w:rPr>
          <w:rFonts w:hint="eastAsia" w:ascii="宋体" w:hAnsi="宋体"/>
          <w:sz w:val="22"/>
        </w:rPr>
        <w:t>（四）非法转让招标代理、咨询业务的；</w:t>
      </w:r>
    </w:p>
    <w:p>
      <w:pPr>
        <w:tabs>
          <w:tab w:val="left" w:pos="972"/>
        </w:tabs>
        <w:spacing w:line="400" w:lineRule="exact"/>
        <w:ind w:firstLine="440" w:firstLineChars="200"/>
        <w:rPr>
          <w:rFonts w:ascii="宋体" w:hAnsi="宋体"/>
          <w:sz w:val="22"/>
        </w:rPr>
      </w:pPr>
      <w:r>
        <w:rPr>
          <w:rFonts w:hint="eastAsia" w:ascii="宋体" w:hAnsi="宋体"/>
          <w:sz w:val="22"/>
        </w:rPr>
        <w:t>（五）为其它单位或个人以挂靠名义投标或承接业务的；</w:t>
      </w:r>
    </w:p>
    <w:p>
      <w:pPr>
        <w:tabs>
          <w:tab w:val="left" w:pos="972"/>
        </w:tabs>
        <w:spacing w:line="400" w:lineRule="exact"/>
        <w:ind w:firstLine="440" w:firstLineChars="200"/>
        <w:rPr>
          <w:rFonts w:ascii="宋体" w:hAnsi="宋体"/>
          <w:sz w:val="22"/>
        </w:rPr>
      </w:pPr>
      <w:r>
        <w:rPr>
          <w:rFonts w:hint="eastAsia" w:ascii="宋体" w:hAnsi="宋体"/>
          <w:sz w:val="22"/>
        </w:rPr>
        <w:t>（六）泄露应当保密的潜在投标人名称、数量、项目的标底、预算价的；</w:t>
      </w:r>
    </w:p>
    <w:p>
      <w:pPr>
        <w:tabs>
          <w:tab w:val="left" w:pos="972"/>
        </w:tabs>
        <w:spacing w:line="400" w:lineRule="exact"/>
        <w:ind w:firstLine="440" w:firstLineChars="200"/>
        <w:rPr>
          <w:rFonts w:ascii="宋体" w:hAnsi="宋体"/>
          <w:sz w:val="22"/>
        </w:rPr>
      </w:pPr>
      <w:r>
        <w:rPr>
          <w:rFonts w:hint="eastAsia" w:ascii="宋体" w:hAnsi="宋体"/>
          <w:sz w:val="22"/>
        </w:rPr>
        <w:t>（七）接受同一项目的招标代理和投标咨询业务的；</w:t>
      </w:r>
    </w:p>
    <w:p>
      <w:pPr>
        <w:tabs>
          <w:tab w:val="left" w:pos="972"/>
        </w:tabs>
        <w:spacing w:line="400" w:lineRule="exact"/>
        <w:ind w:firstLine="440" w:firstLineChars="200"/>
        <w:rPr>
          <w:rFonts w:ascii="宋体" w:hAnsi="宋体"/>
          <w:sz w:val="22"/>
        </w:rPr>
      </w:pPr>
      <w:r>
        <w:rPr>
          <w:rFonts w:hint="eastAsia" w:ascii="宋体" w:hAnsi="宋体"/>
          <w:sz w:val="22"/>
        </w:rPr>
        <w:t>（八）在评标过程中泄露参评人员名单或评标内容的；</w:t>
      </w:r>
    </w:p>
    <w:p>
      <w:pPr>
        <w:tabs>
          <w:tab w:val="left" w:pos="972"/>
        </w:tabs>
        <w:spacing w:line="400" w:lineRule="exact"/>
        <w:ind w:firstLine="440" w:firstLineChars="200"/>
        <w:rPr>
          <w:rFonts w:ascii="宋体" w:hAnsi="宋体"/>
          <w:sz w:val="22"/>
        </w:rPr>
      </w:pPr>
      <w:r>
        <w:rPr>
          <w:rFonts w:hint="eastAsia" w:ascii="宋体" w:hAnsi="宋体"/>
          <w:sz w:val="22"/>
        </w:rPr>
        <w:t>（九）弄虚作假，将必须进行公开招标项目化整为零或以其他方式规避招标、违规分包的；</w:t>
      </w:r>
    </w:p>
    <w:p>
      <w:pPr>
        <w:tabs>
          <w:tab w:val="left" w:pos="972"/>
        </w:tabs>
        <w:spacing w:line="400" w:lineRule="exact"/>
        <w:ind w:firstLine="440" w:firstLineChars="200"/>
        <w:rPr>
          <w:rFonts w:ascii="宋体" w:hAnsi="宋体"/>
          <w:sz w:val="22"/>
        </w:rPr>
      </w:pPr>
      <w:r>
        <w:rPr>
          <w:rFonts w:hint="eastAsia" w:ascii="宋体" w:hAnsi="宋体"/>
          <w:sz w:val="22"/>
        </w:rPr>
        <w:t>（十) 不服从行业主管部门管理监督的，或者具有抵触、不改正、遇有投诉不积极处理等情况发生的。</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5、受托人有下列情形之一的，第一次暂停进入委托人招标代理机构备选库三个月，第二次委托人有权立即中止或终止合同，并不予退还受托人的履约保证金：</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（一）招标代理过程中，因存在过失，导致项目投诉、复评、流标、引起争议的，影响项目进度或造成不良影响的；</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（二）收到其他部门转交信访、投诉等情况的，情况属实不属于第3条规定，且情节不严重的；</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（三）招标公告、招标文件、预审文件等设置明显不符合国家现行法律法规、明显有倾向性等；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（四）确定代理项目后非因特殊原因，无故放弃代理的；</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（五）影响项目推进速度的；</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（六）未严格按照相关法律法规或招标文件要求发布招标公告、补充文件、中标公示，开、评标程序不规范、评标报告书写不规范等情形。</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6、受托人有下列情形之一的，第一次警告，第二次暂停进入委托人招标代理机构备选库一个月，第三次取消当年度进入委托人招标代理机构备选库资格：</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（一）招标公告、招标文件、预审文件等出现明显的低级失误；</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（二）拒绝或懈怠履行所承诺提供的额外服务；</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（三）未按时移交招投标相关资料或移交的资料不齐全。</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7</w:t>
      </w:r>
      <w:r>
        <w:rPr>
          <w:rFonts w:ascii="宋体" w:hAnsi="宋体"/>
          <w:snapToGrid w:val="0"/>
          <w:kern w:val="0"/>
          <w:sz w:val="22"/>
        </w:rPr>
        <w:t>、</w:t>
      </w:r>
      <w:r>
        <w:rPr>
          <w:rFonts w:hint="eastAsia" w:ascii="宋体" w:hAnsi="宋体"/>
          <w:snapToGrid w:val="0"/>
          <w:kern w:val="0"/>
          <w:sz w:val="22"/>
        </w:rPr>
        <w:t>委托人无正当理由擅自解除本协议的，应向受托人支付违约金1万元，并退还履约保证金。除非发生法定的受托人有权利解除本合同的情形，受托人不得解除本协议，擅自解除本协议的，委托人有权拒绝支付本协议项下的代理费用并不予退还受托人的履约保证金。</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8</w:t>
      </w:r>
      <w:r>
        <w:rPr>
          <w:rFonts w:ascii="宋体" w:hAnsi="宋体"/>
          <w:snapToGrid w:val="0"/>
          <w:kern w:val="0"/>
          <w:sz w:val="22"/>
        </w:rPr>
        <w:t>、</w:t>
      </w:r>
      <w:r>
        <w:rPr>
          <w:rFonts w:hint="eastAsia" w:ascii="宋体" w:hAnsi="宋体"/>
          <w:snapToGrid w:val="0"/>
          <w:kern w:val="0"/>
          <w:sz w:val="22"/>
        </w:rPr>
        <w:t>受托人及其人员违反法律法规应当行政处罚的，视情节轻重移交有关职能部门处理；构成犯罪的，由司法机关追究其刑事责任。</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9、除本协议另有规定外，根据本协议约定守约方向违约方支付的违约金、赔偿金或不予退还的履约保证金不足以弥补守约方遭受的全部损失的，违约方应就守约方遭受的全部损失承担赔偿责任。</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10</w:t>
      </w:r>
      <w:r>
        <w:rPr>
          <w:rFonts w:ascii="宋体" w:hAnsi="宋体"/>
          <w:snapToGrid w:val="0"/>
          <w:kern w:val="0"/>
          <w:sz w:val="22"/>
        </w:rPr>
        <w:t>、受托方应在代理服务过程中遵守包括招投标相关法律，诚实守信，勤勉尽责，保守委托方的商业秘密和维护委托方的知识产权，违反本协议的，应承担赔偿责任。</w:t>
      </w:r>
    </w:p>
    <w:p>
      <w:pPr>
        <w:spacing w:line="400" w:lineRule="exact"/>
        <w:ind w:firstLine="440" w:firstLineChars="200"/>
        <w:rPr>
          <w:rFonts w:ascii="宋体" w:hAnsi="宋体" w:cs="Arial"/>
          <w:sz w:val="22"/>
        </w:rPr>
      </w:pPr>
      <w:r>
        <w:rPr>
          <w:rFonts w:hint="eastAsia" w:ascii="宋体" w:hAnsi="宋体"/>
          <w:snapToGrid w:val="0"/>
          <w:kern w:val="0"/>
          <w:sz w:val="22"/>
        </w:rPr>
        <w:t>11、本合同履行中，因承包人违约，发包人扣除全部或部分履约金的，则自发包人书面通知之</w:t>
      </w:r>
      <w:r>
        <w:rPr>
          <w:rFonts w:hint="eastAsia" w:ascii="宋体" w:hAnsi="宋体" w:cs="Arial"/>
          <w:sz w:val="22"/>
        </w:rPr>
        <w:t>日起</w:t>
      </w:r>
      <w:r>
        <w:rPr>
          <w:rFonts w:ascii="宋体" w:hAnsi="宋体" w:cs="Arial"/>
          <w:sz w:val="22"/>
        </w:rPr>
        <w:t>5日内，承包人应以转账支票、银行汇票或电汇方式向发包人补足该履约保证金；逾期补足的，承包人应向发包人按未补足金额的千分之一每日计付违约金。</w:t>
      </w:r>
    </w:p>
    <w:p>
      <w:pPr>
        <w:adjustRightInd w:val="0"/>
        <w:snapToGrid w:val="0"/>
        <w:spacing w:line="400" w:lineRule="exact"/>
        <w:ind w:firstLine="440" w:firstLineChars="200"/>
        <w:rPr>
          <w:rFonts w:hint="eastAsia" w:ascii="宋体" w:hAnsi="宋体" w:cs="Calibri"/>
          <w:color w:val="000000"/>
          <w:sz w:val="22"/>
        </w:rPr>
      </w:pPr>
      <w:r>
        <w:rPr>
          <w:rFonts w:hint="eastAsia" w:ascii="宋体" w:hAnsi="宋体" w:cs="Arial"/>
          <w:sz w:val="22"/>
        </w:rPr>
        <w:t>12、</w:t>
      </w:r>
      <w:r>
        <w:rPr>
          <w:rFonts w:ascii="Microsoft YaHei,Segoe UI Emoji" w:hAnsi="Microsoft YaHei,Segoe UI Emoji"/>
          <w:color w:val="000000"/>
          <w:szCs w:val="21"/>
        </w:rPr>
        <w:t>若经</w:t>
      </w:r>
      <w:r>
        <w:rPr>
          <w:rFonts w:hint="eastAsia" w:ascii="Microsoft YaHei,Segoe UI Emoji" w:hAnsi="Microsoft YaHei,Segoe UI Emoji"/>
          <w:color w:val="000000"/>
          <w:szCs w:val="21"/>
        </w:rPr>
        <w:t>受托人</w:t>
      </w:r>
      <w:r>
        <w:rPr>
          <w:rFonts w:ascii="Microsoft YaHei,Segoe UI Emoji" w:hAnsi="Microsoft YaHei,Segoe UI Emoji"/>
          <w:color w:val="000000"/>
          <w:szCs w:val="21"/>
        </w:rPr>
        <w:t>招标的项目，未按照</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要求确认合同条款并出具书面承诺，</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发现一次，则扣除</w:t>
      </w:r>
      <w:r>
        <w:rPr>
          <w:rFonts w:hint="eastAsia" w:ascii="Microsoft YaHei,Segoe UI Emoji" w:hAnsi="Microsoft YaHei,Segoe UI Emoji"/>
          <w:color w:val="000000"/>
          <w:szCs w:val="21"/>
        </w:rPr>
        <w:t>受托人</w:t>
      </w:r>
      <w:r>
        <w:rPr>
          <w:rFonts w:ascii="Microsoft YaHei,Segoe UI Emoji" w:hAnsi="Microsoft YaHei,Segoe UI Emoji"/>
          <w:color w:val="000000"/>
          <w:szCs w:val="21"/>
        </w:rPr>
        <w:t>10%的履约保证金，若发现三次（含第三次），则</w:t>
      </w:r>
      <w:r>
        <w:rPr>
          <w:rFonts w:hint="eastAsia" w:ascii="Microsoft YaHei,Segoe UI Emoji" w:hAnsi="Microsoft YaHei,Segoe UI Emoji"/>
          <w:color w:val="000000"/>
          <w:szCs w:val="21"/>
        </w:rPr>
        <w:t>委托人</w:t>
      </w:r>
      <w:r>
        <w:rPr>
          <w:rFonts w:ascii="Microsoft YaHei,Segoe UI Emoji" w:hAnsi="Microsoft YaHei,Segoe UI Emoji"/>
          <w:color w:val="000000"/>
          <w:szCs w:val="21"/>
        </w:rPr>
        <w:t>有权解除本合同，</w:t>
      </w:r>
      <w:r>
        <w:rPr>
          <w:rFonts w:hint="eastAsia" w:ascii="Microsoft YaHei,Segoe UI Emoji" w:hAnsi="Microsoft YaHei,Segoe UI Emoji"/>
          <w:color w:val="000000"/>
          <w:szCs w:val="21"/>
        </w:rPr>
        <w:t>受托人</w:t>
      </w:r>
      <w:r>
        <w:rPr>
          <w:rFonts w:ascii="Microsoft YaHei,Segoe UI Emoji" w:hAnsi="Microsoft YaHei,Segoe UI Emoji"/>
          <w:color w:val="000000"/>
          <w:szCs w:val="21"/>
        </w:rPr>
        <w:t>缴纳的履约保证金全额不予以退还。</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第十二条  不可抗力</w:t>
      </w:r>
    </w:p>
    <w:p>
      <w:pPr>
        <w:spacing w:line="400" w:lineRule="exact"/>
        <w:ind w:firstLine="440" w:firstLineChars="200"/>
        <w:rPr>
          <w:rFonts w:ascii="宋体" w:hAnsi="宋体"/>
          <w:sz w:val="22"/>
        </w:rPr>
      </w:pPr>
      <w:r>
        <w:rPr>
          <w:rFonts w:hint="eastAsia" w:ascii="宋体" w:hAnsi="宋体"/>
          <w:sz w:val="22"/>
        </w:rPr>
        <w:t>1、“不可抗力”是指不能预见、不能避免并不能克服的客观情况，包括但不限于：天灾、水灾、地震或其他灾难，战争或暴乱，政府行为，以及其他在受影响的一方合理控制范围以外且经该方合理努力后也不能防止或避免的类似事件。“政府行为”是指国家依据法律、法规、规章或政策实施的强制行为，包括但不限于拆迁、征收、禁令，以及其他本合同当事方无法控制的且对合同履行有实质性影响的事件。</w:t>
      </w:r>
    </w:p>
    <w:p>
      <w:pPr>
        <w:spacing w:line="400" w:lineRule="exact"/>
        <w:ind w:firstLine="440" w:firstLineChars="200"/>
        <w:rPr>
          <w:rFonts w:ascii="宋体" w:hAnsi="宋体"/>
          <w:sz w:val="22"/>
        </w:rPr>
      </w:pPr>
      <w:r>
        <w:rPr>
          <w:rFonts w:hint="eastAsia" w:ascii="宋体" w:hAnsi="宋体"/>
          <w:sz w:val="22"/>
        </w:rPr>
        <w:t>2、由于不可抗力的原因而不能履行合同或延迟履行合同的一方可视不可抗力的实际影响免除部分或全部违约责任。但受不可抗力或政府行为影响的一方应在通知可能的情况下立即通知对方,并在不可抗力发生后15天内特快专递邮寄相关的主管部门签发的证明文件,以便对方审查、确认。</w:t>
      </w:r>
    </w:p>
    <w:p>
      <w:pPr>
        <w:spacing w:line="400" w:lineRule="exact"/>
        <w:ind w:firstLine="440" w:firstLineChars="200"/>
        <w:rPr>
          <w:rFonts w:ascii="宋体" w:hAnsi="宋体"/>
          <w:sz w:val="22"/>
        </w:rPr>
      </w:pPr>
      <w:r>
        <w:rPr>
          <w:rFonts w:hint="eastAsia" w:ascii="宋体" w:hAnsi="宋体"/>
          <w:sz w:val="22"/>
        </w:rPr>
        <w:t>3、发生不可抗力事件终止或消除后，受不可抗力影响的一方，应立即通知对方, 发生不可抗力事件终止或消除后15天内特快专递邮寄相关的主管部门签发的证明文件确认不可抗力或政府行为事件的终止或消除。</w:t>
      </w:r>
    </w:p>
    <w:p>
      <w:pPr>
        <w:spacing w:line="400" w:lineRule="exact"/>
        <w:ind w:firstLine="440" w:firstLineChars="200"/>
        <w:rPr>
          <w:rFonts w:ascii="宋体" w:hAnsi="宋体"/>
          <w:sz w:val="22"/>
        </w:rPr>
      </w:pPr>
      <w:r>
        <w:rPr>
          <w:rFonts w:hint="eastAsia" w:ascii="宋体" w:hAnsi="宋体"/>
          <w:sz w:val="22"/>
        </w:rPr>
        <w:t>4、因不可抗力导致合同无法继续履行的，双方可以解除本合同，互不承担责任。</w:t>
      </w:r>
    </w:p>
    <w:p>
      <w:pPr>
        <w:spacing w:line="400" w:lineRule="exact"/>
        <w:ind w:firstLine="440" w:firstLineChars="200"/>
        <w:rPr>
          <w:rFonts w:hint="eastAsia" w:ascii="宋体" w:hAnsi="宋体"/>
          <w:snapToGrid w:val="0"/>
          <w:kern w:val="0"/>
          <w:sz w:val="22"/>
        </w:rPr>
      </w:pPr>
      <w:r>
        <w:rPr>
          <w:rFonts w:hint="eastAsia" w:ascii="宋体" w:hAnsi="宋体"/>
          <w:sz w:val="22"/>
        </w:rPr>
        <w:t>5、</w:t>
      </w:r>
      <w:r>
        <w:rPr>
          <w:rFonts w:ascii="Microsoft YaHei,Segoe UI Emoji" w:hAnsi="Microsoft YaHei,Segoe UI Emoji"/>
          <w:color w:val="000000"/>
          <w:szCs w:val="21"/>
        </w:rPr>
        <w:t>甲方有权因自身管理模式或者组织结构调整等原因而提前解除合同，乙方承诺接受并不提出任何异议，且甲方不向乙方承担任何违约责</w:t>
      </w:r>
      <w:r>
        <w:rPr>
          <w:rFonts w:hint="eastAsia" w:ascii="Microsoft YaHei,Segoe UI Emoji" w:hAnsi="Microsoft YaHei,Segoe UI Emoji"/>
          <w:color w:val="000000"/>
          <w:szCs w:val="21"/>
        </w:rPr>
        <w:t>任</w:t>
      </w:r>
      <w:r>
        <w:rPr>
          <w:rFonts w:ascii="Microsoft YaHei,Segoe UI Emoji" w:hAnsi="Microsoft YaHei,Segoe UI Emoji"/>
          <w:color w:val="000000"/>
          <w:szCs w:val="21"/>
        </w:rPr>
        <w:t>。</w:t>
      </w:r>
    </w:p>
    <w:p>
      <w:pPr>
        <w:spacing w:line="400" w:lineRule="exact"/>
        <w:ind w:firstLine="440" w:firstLineChars="200"/>
        <w:rPr>
          <w:rFonts w:ascii="宋体" w:hAnsi="宋体"/>
          <w:b/>
          <w:snapToGrid w:val="0"/>
          <w:kern w:val="0"/>
          <w:sz w:val="22"/>
        </w:rPr>
      </w:pPr>
      <w:r>
        <w:rPr>
          <w:rFonts w:hint="eastAsia" w:ascii="宋体" w:hAnsi="宋体"/>
          <w:b/>
          <w:snapToGrid w:val="0"/>
          <w:kern w:val="0"/>
          <w:sz w:val="22"/>
        </w:rPr>
        <w:t>第十三条  附则</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1、在合同实施过程中，合同双方一切联系均以书面通知为准，特殊情况可先口头通知并即补书面通知。双方共同签署的有关文件，属于合同的补充文件。未作特殊约定的，通讯地址为本合同首部载明的地址。</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除非有相反证据，送达时间以下列规定为准：</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（1）专人交付之日视为送达之日；</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（2）邮递以邮政部门可以证明的收到日视为送达之日；</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（3）传真以顺利发出当天后的第一个工作日视为送达之日。</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2、除国家法律本身明确规定外，新立法或法律变更对本合同无追溯力。本合同可根据新立法或法律变更进行修改与补充，但必须采用书面形式提出修改意向并经双方签字同意后执行。</w:t>
      </w:r>
    </w:p>
    <w:p>
      <w:pPr>
        <w:spacing w:line="400" w:lineRule="exact"/>
        <w:ind w:firstLine="376" w:firstLineChars="171"/>
        <w:rPr>
          <w:rFonts w:ascii="宋体" w:hAnsi="宋体"/>
          <w:sz w:val="22"/>
        </w:rPr>
      </w:pPr>
      <w:r>
        <w:rPr>
          <w:rFonts w:hint="eastAsia" w:ascii="宋体" w:hAnsi="宋体"/>
          <w:snapToGrid w:val="0"/>
          <w:kern w:val="0"/>
          <w:sz w:val="22"/>
        </w:rPr>
        <w:t>3、本合同执行过程中发生争议，双方应协商解决，协商不成时，</w:t>
      </w:r>
      <w:r>
        <w:rPr>
          <w:rFonts w:hint="eastAsia" w:ascii="宋体" w:hAnsi="宋体"/>
          <w:sz w:val="22"/>
        </w:rPr>
        <w:t>依法向委托方所在地人民法院提起诉讼。</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4、本合同一式陆份，双方各执叁份，具有同等法律效力。</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5、本合同自双方法定代表人或者委托代理人签字盖章之日起生效。</w:t>
      </w:r>
    </w:p>
    <w:p>
      <w:pPr>
        <w:spacing w:line="400" w:lineRule="exact"/>
        <w:ind w:firstLine="440" w:firstLineChars="200"/>
        <w:rPr>
          <w:rFonts w:ascii="宋体" w:hAnsi="宋体"/>
          <w:snapToGrid w:val="0"/>
          <w:kern w:val="0"/>
          <w:sz w:val="22"/>
        </w:rPr>
      </w:pP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委托人（盖章）：                      受托人（盖章）：</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法定代表人（签字或盖章）：            法定代表人（签字或盖章）：</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授权代理人（签字或盖章）：            授权代理人（签字或盖章）：</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单位地址：                            单位地址：</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邮政编码：                            邮政编码：</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联系电话：                            联系电话：</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传    真：                            传    真：</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电子信箱：                            电子信箱：</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开户银行：                            开户银行：</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帐    号：                            帐    号：</w:t>
      </w:r>
    </w:p>
    <w:p>
      <w:pPr>
        <w:spacing w:line="400" w:lineRule="exact"/>
        <w:ind w:firstLine="440" w:firstLineChars="200"/>
        <w:rPr>
          <w:rFonts w:ascii="宋体" w:hAnsi="宋体" w:cs="Calibri"/>
          <w:color w:val="000000"/>
          <w:sz w:val="22"/>
        </w:rPr>
      </w:pPr>
      <w:r>
        <w:rPr>
          <w:rFonts w:hint="eastAsia" w:ascii="宋体" w:hAnsi="宋体"/>
          <w:snapToGrid w:val="0"/>
          <w:kern w:val="0"/>
          <w:sz w:val="22"/>
        </w:rPr>
        <w:t>签订时间：</w:t>
      </w:r>
    </w:p>
    <w:p>
      <w:pPr>
        <w:rPr>
          <w:rFonts w:ascii="宋体" w:hAnsi="宋体"/>
          <w:szCs w:val="21"/>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rPr>
          <w:rFonts w:hint="eastAsia" w:ascii="Calibri" w:hAnsi="Calibri" w:cs="Calibri"/>
          <w:bCs/>
          <w:szCs w:val="32"/>
        </w:rPr>
      </w:pPr>
    </w:p>
    <w:p>
      <w:pPr>
        <w:spacing w:line="400" w:lineRule="exact"/>
        <w:ind w:firstLine="440" w:firstLineChars="200"/>
        <w:rPr>
          <w:rFonts w:ascii="宋体" w:hAnsi="宋体"/>
          <w:snapToGrid w:val="0"/>
          <w:kern w:val="0"/>
          <w:sz w:val="22"/>
        </w:rPr>
      </w:pPr>
      <w:r>
        <w:rPr>
          <w:rFonts w:hint="eastAsia" w:ascii="宋体" w:hAnsi="宋体"/>
          <w:snapToGrid w:val="0"/>
          <w:kern w:val="0"/>
          <w:sz w:val="22"/>
        </w:rPr>
        <w:t>附件1：</w:t>
      </w:r>
    </w:p>
    <w:p>
      <w:pPr>
        <w:spacing w:line="400" w:lineRule="exact"/>
        <w:ind w:firstLine="440" w:firstLineChars="200"/>
        <w:rPr>
          <w:rFonts w:ascii="宋体" w:hAnsi="宋体"/>
          <w:snapToGrid w:val="0"/>
          <w:kern w:val="0"/>
          <w:sz w:val="22"/>
        </w:rPr>
      </w:pPr>
    </w:p>
    <w:p>
      <w:pPr>
        <w:spacing w:line="400" w:lineRule="exact"/>
        <w:ind w:firstLine="440" w:firstLineChars="200"/>
        <w:jc w:val="center"/>
        <w:rPr>
          <w:rFonts w:ascii="宋体" w:hAnsi="宋体"/>
          <w:b/>
          <w:snapToGrid w:val="0"/>
          <w:kern w:val="0"/>
          <w:sz w:val="22"/>
        </w:rPr>
      </w:pPr>
      <w:r>
        <w:rPr>
          <w:rFonts w:hint="eastAsia" w:ascii="宋体" w:hAnsi="宋体"/>
          <w:b/>
          <w:snapToGrid w:val="0"/>
          <w:kern w:val="0"/>
          <w:sz w:val="22"/>
        </w:rPr>
        <w:t>浙江省机场集团有限公司廉洁自律承诺书</w:t>
      </w:r>
    </w:p>
    <w:p>
      <w:pPr>
        <w:spacing w:line="400" w:lineRule="exact"/>
        <w:ind w:firstLine="440" w:firstLineChars="200"/>
        <w:rPr>
          <w:rFonts w:ascii="宋体" w:hAnsi="宋体"/>
          <w:snapToGrid w:val="0"/>
          <w:kern w:val="0"/>
          <w:sz w:val="22"/>
        </w:rPr>
      </w:pPr>
    </w:p>
    <w:p>
      <w:pPr>
        <w:spacing w:line="400" w:lineRule="exact"/>
        <w:ind w:firstLine="440" w:firstLineChars="200"/>
        <w:rPr>
          <w:rFonts w:ascii="宋体" w:hAnsi="宋体"/>
          <w:snapToGrid w:val="0"/>
          <w:kern w:val="0"/>
          <w:sz w:val="22"/>
        </w:rPr>
      </w:pPr>
      <w:r>
        <w:rPr>
          <w:rFonts w:hint="eastAsia" w:ascii="宋体" w:hAnsi="宋体"/>
          <w:snapToGrid w:val="0"/>
          <w:kern w:val="0"/>
          <w:sz w:val="22"/>
        </w:rPr>
        <w:t>浙江省机场集团有限公司：</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我单位响应贵公司项目招标要求，参加项目投标。在投标过程中及中标后，我们将严格遵守国家法律法规和贵司招标文件要求，并郑重作出如下承诺和保证：</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二、不以任何名义为贵公司有关人员或项目第三方人员报销应由贵公司或个人支付的费用；</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三、不向贵公司有关人员或项目第三方人员提供宴请、旅游、和健身娱乐等活动；</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四、不为贵公司有关人员或项目第三方人员出国（境）、旅游等提供方便；</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五、不为贵公司有关人员或项目第三方人员个人装修住房、婚丧嫁娶、配偶子女工作安排等提供好处或便利条件；</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六、严格遵守国家招标投标法、合同法等法律规定，诚实守信，合法经营，坚决杜绝各种违法违纪行为。</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八、如违反上述廉洁自律承诺，贵公司有权：</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w:t>
      </w:r>
      <w:r>
        <w:rPr>
          <w:rFonts w:hint="eastAsia" w:ascii="宋体" w:hAnsi="宋体"/>
          <w:snapToGrid w:val="0"/>
          <w:kern w:val="0"/>
          <w:sz w:val="22"/>
        </w:rPr>
        <w:tab/>
      </w:r>
      <w:r>
        <w:rPr>
          <w:rFonts w:hint="eastAsia" w:ascii="宋体" w:hAnsi="宋体"/>
          <w:snapToGrid w:val="0"/>
          <w:kern w:val="0"/>
          <w:sz w:val="22"/>
        </w:rPr>
        <w:t>立即取消我单位投标、中标或在建项目的实施资格；</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w:t>
      </w:r>
      <w:r>
        <w:rPr>
          <w:rFonts w:hint="eastAsia" w:ascii="宋体" w:hAnsi="宋体"/>
          <w:snapToGrid w:val="0"/>
          <w:kern w:val="0"/>
          <w:sz w:val="22"/>
        </w:rPr>
        <w:tab/>
      </w:r>
      <w:r>
        <w:rPr>
          <w:rFonts w:hint="eastAsia" w:ascii="宋体" w:hAnsi="宋体"/>
          <w:snapToGrid w:val="0"/>
          <w:kern w:val="0"/>
          <w:sz w:val="22"/>
        </w:rPr>
        <w:t>扣除我方向贵公司缴纳的履约保证金的10%作为违反廉洁自律承诺的违约金。如该违约金不足以弥补贵公司损失的，我单位仍将承担实际损失赔偿责任。</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w:t>
      </w:r>
      <w:r>
        <w:rPr>
          <w:rFonts w:hint="eastAsia" w:ascii="宋体" w:hAnsi="宋体"/>
          <w:snapToGrid w:val="0"/>
          <w:kern w:val="0"/>
          <w:sz w:val="22"/>
        </w:rPr>
        <w:tab/>
      </w:r>
      <w:r>
        <w:rPr>
          <w:rFonts w:hint="eastAsia" w:ascii="宋体" w:hAnsi="宋体"/>
          <w:snapToGrid w:val="0"/>
          <w:kern w:val="0"/>
          <w:sz w:val="22"/>
        </w:rPr>
        <w:t>拒绝我单位在一定时期内进入贵公司进行项目建设或其它经营活动；</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（4）</w:t>
      </w:r>
      <w:r>
        <w:rPr>
          <w:rFonts w:hint="eastAsia" w:ascii="宋体" w:hAnsi="宋体"/>
          <w:snapToGrid w:val="0"/>
          <w:kern w:val="0"/>
          <w:sz w:val="22"/>
        </w:rPr>
        <w:tab/>
      </w:r>
      <w:r>
        <w:rPr>
          <w:rFonts w:hint="eastAsia" w:ascii="宋体" w:hAnsi="宋体"/>
          <w:snapToGrid w:val="0"/>
          <w:kern w:val="0"/>
          <w:sz w:val="22"/>
        </w:rPr>
        <w:t>由此引起的相应损失均由我单位承担。</w:t>
      </w:r>
    </w:p>
    <w:p>
      <w:pPr>
        <w:spacing w:line="400" w:lineRule="exact"/>
        <w:ind w:firstLine="440" w:firstLineChars="200"/>
        <w:rPr>
          <w:rFonts w:ascii="宋体" w:hAnsi="宋体"/>
          <w:snapToGrid w:val="0"/>
          <w:kern w:val="0"/>
          <w:sz w:val="22"/>
        </w:rPr>
      </w:pPr>
    </w:p>
    <w:p>
      <w:pPr>
        <w:spacing w:line="400" w:lineRule="exact"/>
        <w:ind w:firstLine="440" w:firstLineChars="200"/>
        <w:rPr>
          <w:rFonts w:ascii="宋体" w:hAnsi="宋体"/>
          <w:snapToGrid w:val="0"/>
          <w:kern w:val="0"/>
          <w:sz w:val="22"/>
        </w:rPr>
      </w:pPr>
      <w:r>
        <w:rPr>
          <w:rFonts w:hint="eastAsia" w:ascii="宋体" w:hAnsi="宋体"/>
          <w:snapToGrid w:val="0"/>
          <w:kern w:val="0"/>
          <w:sz w:val="22"/>
        </w:rPr>
        <w:t xml:space="preserve">承诺人单位名称（盖章）：            </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 xml:space="preserve">法定代表人 ：                    </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 xml:space="preserve">或                            </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 xml:space="preserve">委托代理人：                   </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 xml:space="preserve">                           年     月     日</w:t>
      </w:r>
    </w:p>
    <w:p>
      <w:pPr>
        <w:spacing w:line="400" w:lineRule="exact"/>
        <w:rPr>
          <w:rFonts w:ascii="宋体" w:hAnsi="宋体"/>
          <w:snapToGrid w:val="0"/>
          <w:kern w:val="0"/>
          <w:sz w:val="22"/>
        </w:rPr>
      </w:pPr>
      <w:r>
        <w:rPr>
          <w:rFonts w:hint="eastAsia" w:ascii="宋体" w:hAnsi="宋体"/>
          <w:snapToGrid w:val="0"/>
          <w:kern w:val="0"/>
          <w:sz w:val="22"/>
        </w:rPr>
        <w:t>附件2：</w:t>
      </w:r>
    </w:p>
    <w:p>
      <w:pPr>
        <w:spacing w:line="400" w:lineRule="exact"/>
        <w:rPr>
          <w:rFonts w:hint="eastAsia" w:ascii="宋体" w:hAnsi="宋体"/>
          <w:snapToGrid w:val="0"/>
          <w:kern w:val="0"/>
          <w:sz w:val="22"/>
        </w:rPr>
      </w:pPr>
    </w:p>
    <w:p>
      <w:pPr>
        <w:spacing w:line="400" w:lineRule="exact"/>
        <w:jc w:val="center"/>
        <w:rPr>
          <w:rFonts w:ascii="宋体" w:hAnsi="宋体"/>
          <w:b/>
          <w:snapToGrid w:val="0"/>
          <w:kern w:val="0"/>
          <w:sz w:val="22"/>
        </w:rPr>
      </w:pPr>
      <w:r>
        <w:rPr>
          <w:rFonts w:hint="eastAsia" w:ascii="宋体" w:hAnsi="宋体"/>
          <w:b/>
          <w:snapToGrid w:val="0"/>
          <w:kern w:val="0"/>
          <w:sz w:val="22"/>
        </w:rPr>
        <w:t>保密承诺书</w:t>
      </w:r>
    </w:p>
    <w:p>
      <w:pPr>
        <w:spacing w:line="400" w:lineRule="exact"/>
        <w:ind w:firstLine="440" w:firstLineChars="200"/>
        <w:rPr>
          <w:rFonts w:ascii="宋体" w:hAnsi="宋体"/>
          <w:snapToGrid w:val="0"/>
          <w:kern w:val="0"/>
          <w:sz w:val="22"/>
        </w:rPr>
      </w:pPr>
    </w:p>
    <w:p>
      <w:pPr>
        <w:spacing w:line="400" w:lineRule="exact"/>
        <w:ind w:firstLine="440" w:firstLineChars="200"/>
        <w:rPr>
          <w:rFonts w:ascii="宋体" w:hAnsi="宋体"/>
          <w:snapToGrid w:val="0"/>
          <w:kern w:val="0"/>
          <w:sz w:val="22"/>
        </w:rPr>
      </w:pPr>
      <w:r>
        <w:rPr>
          <w:rFonts w:hint="eastAsia" w:ascii="宋体" w:hAnsi="宋体"/>
          <w:snapToGrid w:val="0"/>
          <w:kern w:val="0"/>
          <w:sz w:val="22"/>
        </w:rPr>
        <w:t>鉴于我方愿成为浙江省机场集团有限公司（以下简称“集团公司”）的供应商或潜在供应商候选人，为集团公司提供【】项目的服务。在上述业务来往过程中，集团公司可能向我方提供经营、业务、服务等有关的文件、资料、软件等信息，为维护集团公司的利益，我方就保密事宜做出如下承诺：</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1.商业秘密</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1.1商业秘密是指集团公司（包括集团公司关联公司）一切专有、不对外公开的资料和信息。包括但不限于以下方面：</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（1）经营信息（发展规划、运营状况、客户资源、货源情报、投融资计划、开发计划、标书等）；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（2）管理信息（管理方法、管理制度、员工管理、合同管理、纠纷管理等）；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（3）产品及技术信息（设计及图纸、样品及服务、技术方案、质量标准、技术标准、计算机程序等）；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（4）财务信息（财务收支、固定资产、流动资金、成本核算等）；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（5）我方单独或集团公司（包括集团公司关联公司）和我方共同为集团公司开发、设计、生产的产品、资料及相关信息；</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（6）其他集团公司未对外公开的有关营运、计划、航班数据、标准、开发、生产、经营、质量管理控制和租赁的资料和数据等信息以及对供应商的管理文件。</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 xml:space="preserve"> 1.2、集团公司向我方披露商业秘密可以通过数据、文字及记载这些内容的文件、光盘、软件、图书等有形媒介体现，也可通过口头、录音等视听形式体现，或者是通过参观集团公司（包括集团公司关联公司）开发的设备、运营程序而眼见的。我方一旦接触商业秘密，应立即采取保密措施。除非集团公司书面同意解禁该秘密，集团公司商业秘密的保密期限为永久。</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1.3、对于上述提及的商业秘密，不能仅因为公开发表的文章或资讯中包含其内容，就认为是可对外公开的特殊情况。</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1.4、以下资料不属于本承诺所指的商业秘密：</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（1）我方从集团公司拟获悉之前已持有的我方无需承担保密义务的集团公司有关资料(但通过其它违约或侵权行为而获得的资料除外)；</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（2）已经公开或已成为常识性的资料，且该等公开并非因违反本承诺所致。</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2、我方承诺将严格保密，维护集团公司（包括集团公司关联公司）的利益。在未获得集团公司同意前，我方不得复印或以其他形式复制任何商业秘密，或者从任何由集团公司设计的装置上窃取任何商业秘密。我方不以任何方式向第三方透露、不在任何场所使用商业秘密。我方承诺只有在在履行集团公司合约时才有权使用该等商业秘密，并只向为履行集团公司合约需要了解的员工披露相关商业秘密，并促使员工自接触集团公司（包括集团公司关联公司）的商业秘密之日起，即能清楚地了解并自觉遵守其应尽的保密责任。若我方员工因任何原因未能履行本承诺所述的保密责任，则视为违反了本承诺。</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3、当合同履行完毕、合同终止或经集团公司要求，我方应立即返还或根据集团公司书面要求销毁所有含有商业秘密或我方在接触商业秘密后而产生的资料，以及由我方持有的任何复制品。</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 xml:space="preserve">4、无论在双方签订任何商务合同之前、存续期间及以后，我方均当遵守法律和本承诺约定，严格保守集团公司的商业秘密。未经集团公司同意，不得采用包括但不限于的以下方式泄露、公布、发布、出版、传授、转让或者其他任何方式，或以任何理由、任何目的非法侵犯集团公司的商业秘密：        </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（1）披露、使用或者允许他人以不正当手段获取的商业秘密；</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（2）为集团公司以外的第三人窃取、刺探、收买、非法提供商业秘密。</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（3）在电子公告系统、聊天系统、电子邮箱、论坛等计算机网络系统上传递、转发、抄送、发布、谈论和传播商业秘密；</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 xml:space="preserve">（4）在私人交往和通信中，向亲属、朋友以及与工作无关人员泄露商业秘密，或在公共场所谈论商业秘密； </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（5）擅自将属于商业秘密的文件、资料和其他物品携带、传递、寄运出集团公司办公场所或国（境）外。</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（6）未经集团公司同意就以任何方式私自保存、截留含有集团公司商业秘密的任何形式资料、文件和物品的复印件、复制品、副本。</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（7）将含有集团公司商业秘密的产品、技术或其他资料、信息向第三人销售、使用或以任何方式提供。</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5、我方依法根据司法机关、侦查机关、或政府机构的合法指令而透露有关资料不属于违反保密义务。此情况之下，我方必须在透露之前通知集团公司，使集团公司有机会采取合法措施进行答辩与解释；并且我方应只得透露法律上要求透露的部分机密资料。</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6、我方发生上述违约行为时，集团公司（包括集团公司关联公司）有权要求我方立即停止侵权和进一步的对外泄露或滥用，并要求我方采取其他合理的补救措施，并有权终止甲乙双方正在执行的其他合同，而集团公司（包括集团公司关联公司）无需对此承担任何责任。</w:t>
      </w:r>
    </w:p>
    <w:p>
      <w:pPr>
        <w:spacing w:line="400" w:lineRule="exact"/>
        <w:ind w:firstLine="440" w:firstLineChars="200"/>
        <w:rPr>
          <w:rFonts w:hint="eastAsia" w:ascii="宋体" w:hAnsi="宋体"/>
          <w:snapToGrid w:val="0"/>
          <w:kern w:val="0"/>
          <w:sz w:val="22"/>
        </w:rPr>
      </w:pPr>
      <w:r>
        <w:rPr>
          <w:rFonts w:hint="eastAsia" w:ascii="宋体" w:hAnsi="宋体"/>
          <w:snapToGrid w:val="0"/>
          <w:kern w:val="0"/>
          <w:sz w:val="22"/>
        </w:rPr>
        <w:t>7、我方已理解和承认，任何违反本承诺的对外泄露或擅自使用商业秘密，将对集团公司（包括集团公司关联公司）系统造成很难估计的、无法弥补的损害。该损失包括但不限于：（1）因我方侵权行为造成的集团公司利益减少，该等利益包括直接利益损失（指销量、利润减少及开发费用损失）与间接利益损失（指无形资产的价值减少）；（2）因我方侵权行为导致集团公司调查、维权等所花费的支出（包括但不限于差旅费、交通费、公证费、鉴定费、通讯费、律师费等）。</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8、违约责任</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8.1因我方违反保密义务的行为造成集团公司的一切损失，我方应当全部予以赔偿。</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8.2如我方违反本承诺书下保密义务，应当承担违约责任，除赔偿损失外，还应依据合同向集团公司支付相应的违约金；</w:t>
      </w:r>
    </w:p>
    <w:p>
      <w:pPr>
        <w:spacing w:line="400" w:lineRule="exact"/>
        <w:ind w:firstLine="440" w:firstLineChars="200"/>
        <w:rPr>
          <w:rFonts w:ascii="宋体" w:hAnsi="宋体"/>
          <w:snapToGrid w:val="0"/>
          <w:kern w:val="0"/>
          <w:sz w:val="22"/>
        </w:rPr>
      </w:pPr>
      <w:r>
        <w:rPr>
          <w:rFonts w:hint="eastAsia" w:ascii="宋体" w:hAnsi="宋体"/>
          <w:snapToGrid w:val="0"/>
          <w:kern w:val="0"/>
          <w:sz w:val="22"/>
        </w:rPr>
        <w:t>9、本承诺书适用中华人民共和国法律，如因履行本承诺书发生争议，则双方均有权向集团公司所在地法院提起诉讼。</w:t>
      </w:r>
    </w:p>
    <w:p>
      <w:pPr>
        <w:spacing w:line="400" w:lineRule="exact"/>
        <w:ind w:firstLine="440" w:firstLineChars="200"/>
        <w:rPr>
          <w:rFonts w:ascii="宋体" w:hAnsi="宋体"/>
          <w:snapToGrid w:val="0"/>
          <w:kern w:val="0"/>
          <w:sz w:val="22"/>
        </w:rPr>
      </w:pPr>
    </w:p>
    <w:p>
      <w:pPr>
        <w:spacing w:line="400" w:lineRule="exact"/>
        <w:ind w:firstLine="440" w:firstLineChars="200"/>
        <w:rPr>
          <w:rFonts w:ascii="宋体" w:hAnsi="宋体"/>
          <w:snapToGrid w:val="0"/>
          <w:kern w:val="0"/>
          <w:sz w:val="22"/>
        </w:rPr>
      </w:pPr>
    </w:p>
    <w:p>
      <w:pPr>
        <w:spacing w:line="400" w:lineRule="exact"/>
        <w:ind w:firstLine="440" w:firstLineChars="200"/>
        <w:rPr>
          <w:rFonts w:ascii="宋体" w:hAnsi="宋体"/>
          <w:snapToGrid w:val="0"/>
          <w:kern w:val="0"/>
          <w:sz w:val="22"/>
        </w:rPr>
      </w:pPr>
    </w:p>
    <w:p>
      <w:pPr>
        <w:spacing w:line="400" w:lineRule="exact"/>
        <w:ind w:firstLine="440" w:firstLineChars="200"/>
        <w:rPr>
          <w:rFonts w:ascii="宋体" w:hAnsi="宋体"/>
          <w:snapToGrid w:val="0"/>
          <w:kern w:val="0"/>
          <w:sz w:val="22"/>
        </w:rPr>
      </w:pPr>
    </w:p>
    <w:p>
      <w:pPr>
        <w:spacing w:line="400" w:lineRule="exact"/>
        <w:ind w:right="880" w:firstLine="440" w:firstLineChars="200"/>
        <w:jc w:val="left"/>
        <w:rPr>
          <w:rFonts w:ascii="宋体" w:hAnsi="宋体"/>
          <w:snapToGrid w:val="0"/>
          <w:kern w:val="0"/>
          <w:sz w:val="22"/>
        </w:rPr>
      </w:pPr>
      <w:r>
        <w:rPr>
          <w:rFonts w:hint="eastAsia" w:ascii="宋体" w:hAnsi="宋体"/>
          <w:snapToGrid w:val="0"/>
          <w:kern w:val="0"/>
          <w:sz w:val="22"/>
        </w:rPr>
        <w:t>供应商(盖章):</w:t>
      </w:r>
    </w:p>
    <w:p>
      <w:pPr>
        <w:spacing w:line="400" w:lineRule="exact"/>
        <w:ind w:right="440" w:firstLine="440" w:firstLineChars="200"/>
        <w:jc w:val="left"/>
        <w:rPr>
          <w:rFonts w:ascii="宋体" w:hAnsi="宋体"/>
          <w:snapToGrid w:val="0"/>
          <w:kern w:val="0"/>
          <w:sz w:val="22"/>
        </w:rPr>
      </w:pPr>
      <w:r>
        <w:rPr>
          <w:rFonts w:hint="eastAsia" w:ascii="宋体" w:hAnsi="宋体"/>
          <w:snapToGrid w:val="0"/>
          <w:kern w:val="0"/>
          <w:sz w:val="22"/>
        </w:rPr>
        <w:t>法定代表人或授权代表：</w:t>
      </w:r>
    </w:p>
    <w:p>
      <w:pPr>
        <w:spacing w:line="400" w:lineRule="exact"/>
        <w:ind w:firstLine="440" w:firstLineChars="200"/>
        <w:jc w:val="left"/>
        <w:rPr>
          <w:rFonts w:ascii="宋体" w:hAnsi="宋体"/>
          <w:snapToGrid w:val="0"/>
          <w:kern w:val="0"/>
          <w:sz w:val="22"/>
        </w:rPr>
      </w:pPr>
    </w:p>
    <w:p>
      <w:pPr>
        <w:spacing w:line="400" w:lineRule="exact"/>
        <w:ind w:firstLine="440" w:firstLineChars="200"/>
        <w:jc w:val="left"/>
        <w:rPr>
          <w:rFonts w:ascii="宋体" w:hAnsi="宋体"/>
          <w:snapToGrid w:val="0"/>
          <w:kern w:val="0"/>
          <w:sz w:val="22"/>
        </w:rPr>
      </w:pPr>
    </w:p>
    <w:p>
      <w:pPr>
        <w:spacing w:line="400" w:lineRule="exact"/>
        <w:ind w:right="440" w:firstLine="5060" w:firstLineChars="2300"/>
        <w:jc w:val="left"/>
        <w:rPr>
          <w:rFonts w:hint="eastAsia" w:ascii="宋体" w:hAnsi="宋体"/>
          <w:snapToGrid w:val="0"/>
          <w:kern w:val="0"/>
          <w:sz w:val="22"/>
        </w:rPr>
      </w:pPr>
    </w:p>
    <w:p>
      <w:pPr>
        <w:spacing w:line="400" w:lineRule="exact"/>
        <w:ind w:right="440" w:firstLine="5060" w:firstLineChars="2300"/>
        <w:jc w:val="left"/>
        <w:rPr>
          <w:rFonts w:ascii="宋体" w:hAnsi="宋体"/>
          <w:snapToGrid w:val="0"/>
          <w:kern w:val="0"/>
          <w:sz w:val="22"/>
        </w:rPr>
      </w:pPr>
    </w:p>
    <w:p>
      <w:pPr>
        <w:spacing w:line="400" w:lineRule="exact"/>
        <w:ind w:right="440" w:firstLine="330" w:firstLineChars="150"/>
        <w:jc w:val="left"/>
        <w:rPr>
          <w:rFonts w:hint="eastAsia" w:ascii="宋体" w:hAnsi="宋体"/>
          <w:snapToGrid w:val="0"/>
          <w:kern w:val="0"/>
          <w:sz w:val="22"/>
        </w:rPr>
      </w:pPr>
      <w:r>
        <w:rPr>
          <w:rFonts w:hint="eastAsia" w:ascii="宋体" w:hAnsi="宋体"/>
          <w:snapToGrid w:val="0"/>
          <w:kern w:val="0"/>
          <w:sz w:val="22"/>
        </w:rPr>
        <w:t>电话/传真：</w:t>
      </w:r>
    </w:p>
    <w:p>
      <w:pPr>
        <w:spacing w:line="400" w:lineRule="exact"/>
        <w:ind w:right="330" w:firstLine="330" w:firstLineChars="150"/>
        <w:jc w:val="left"/>
        <w:rPr>
          <w:rFonts w:hint="eastAsia" w:ascii="宋体" w:hAnsi="宋体"/>
          <w:snapToGrid w:val="0"/>
          <w:kern w:val="0"/>
          <w:sz w:val="22"/>
        </w:rPr>
      </w:pPr>
      <w:r>
        <w:rPr>
          <w:rFonts w:hint="eastAsia" w:ascii="宋体" w:hAnsi="宋体"/>
          <w:snapToGrid w:val="0"/>
          <w:kern w:val="0"/>
          <w:sz w:val="22"/>
        </w:rPr>
        <w:t>地址：</w:t>
      </w:r>
    </w:p>
    <w:p>
      <w:pPr>
        <w:spacing w:line="400" w:lineRule="exact"/>
        <w:ind w:right="440" w:firstLine="330" w:firstLineChars="150"/>
        <w:jc w:val="left"/>
        <w:rPr>
          <w:rFonts w:ascii="宋体" w:hAnsi="宋体"/>
          <w:snapToGrid w:val="0"/>
          <w:kern w:val="0"/>
          <w:sz w:val="22"/>
        </w:rPr>
      </w:pPr>
      <w:r>
        <w:rPr>
          <w:rFonts w:hint="eastAsia" w:ascii="宋体" w:hAnsi="宋体"/>
          <w:snapToGrid w:val="0"/>
          <w:kern w:val="0"/>
          <w:sz w:val="22"/>
        </w:rPr>
        <w:t>日期：     年   月   日</w:t>
      </w: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420"/>
        <w:rPr>
          <w:rFonts w:ascii="Calibri" w:hAnsi="Calibri" w:cs="Calibri"/>
          <w:bCs/>
          <w:szCs w:val="32"/>
        </w:rPr>
      </w:pPr>
    </w:p>
    <w:p>
      <w:pPr>
        <w:pStyle w:val="21"/>
        <w:spacing w:line="400" w:lineRule="exact"/>
        <w:ind w:firstLine="0"/>
        <w:rPr>
          <w:rFonts w:hint="eastAsia" w:ascii="Calibri" w:hAnsi="Calibri" w:cs="Calibri"/>
          <w:bCs/>
          <w:szCs w:val="32"/>
        </w:rPr>
      </w:pPr>
      <w:r>
        <w:rPr>
          <w:rFonts w:hint="eastAsia" w:ascii="Calibri" w:hAnsi="Calibri" w:cs="Calibri"/>
          <w:bCs/>
          <w:szCs w:val="32"/>
        </w:rPr>
        <w:t>附件3</w:t>
      </w:r>
    </w:p>
    <w:p>
      <w:pPr>
        <w:jc w:val="center"/>
        <w:rPr>
          <w:rFonts w:hint="eastAsia"/>
          <w:sz w:val="48"/>
          <w:szCs w:val="56"/>
        </w:rPr>
      </w:pPr>
      <w:r>
        <w:rPr>
          <w:rFonts w:hint="eastAsia"/>
          <w:sz w:val="48"/>
          <w:szCs w:val="56"/>
        </w:rPr>
        <w:t>承诺函</w:t>
      </w:r>
    </w:p>
    <w:p>
      <w:pPr>
        <w:jc w:val="center"/>
        <w:rPr>
          <w:rFonts w:hint="eastAsia"/>
          <w:sz w:val="36"/>
          <w:szCs w:val="44"/>
        </w:rPr>
      </w:pPr>
    </w:p>
    <w:p>
      <w:pPr>
        <w:jc w:val="center"/>
        <w:rPr>
          <w:rFonts w:hint="eastAsia"/>
          <w:sz w:val="36"/>
          <w:szCs w:val="44"/>
        </w:rPr>
      </w:pPr>
    </w:p>
    <w:p>
      <w:pPr>
        <w:spacing w:line="480" w:lineRule="auto"/>
        <w:rPr>
          <w:rFonts w:hint="eastAsia"/>
          <w:sz w:val="36"/>
          <w:szCs w:val="44"/>
        </w:rPr>
      </w:pPr>
      <w:r>
        <w:rPr>
          <w:rFonts w:hint="eastAsia"/>
          <w:sz w:val="36"/>
          <w:szCs w:val="44"/>
        </w:rPr>
        <w:t>浙江省</w:t>
      </w:r>
      <w:r>
        <w:rPr>
          <w:sz w:val="36"/>
          <w:szCs w:val="44"/>
        </w:rPr>
        <w:t>机场</w:t>
      </w:r>
      <w:r>
        <w:rPr>
          <w:rFonts w:hint="eastAsia"/>
          <w:sz w:val="36"/>
          <w:szCs w:val="44"/>
        </w:rPr>
        <w:t>集团：</w:t>
      </w:r>
    </w:p>
    <w:p>
      <w:pPr>
        <w:spacing w:line="480" w:lineRule="auto"/>
        <w:rPr>
          <w:rFonts w:hint="eastAsia"/>
          <w:sz w:val="36"/>
          <w:szCs w:val="44"/>
        </w:rPr>
      </w:pPr>
    </w:p>
    <w:p>
      <w:pPr>
        <w:spacing w:line="720" w:lineRule="auto"/>
        <w:ind w:firstLine="640"/>
        <w:rPr>
          <w:rFonts w:hint="eastAsia"/>
          <w:sz w:val="36"/>
          <w:szCs w:val="44"/>
        </w:rPr>
      </w:pPr>
      <w:r>
        <w:rPr>
          <w:rFonts w:hint="eastAsia" w:ascii="宋体" w:hAnsi="宋体" w:cs="宋体"/>
          <w:sz w:val="36"/>
          <w:szCs w:val="44"/>
        </w:rPr>
        <w:t>经我司审核确认，</w:t>
      </w:r>
      <w:r>
        <w:rPr>
          <w:rFonts w:hint="eastAsia" w:ascii="宋体" w:hAnsi="宋体" w:cs="宋体"/>
          <w:sz w:val="36"/>
          <w:szCs w:val="44"/>
          <w:u w:val="single"/>
        </w:rPr>
        <w:t xml:space="preserve">                       </w:t>
      </w:r>
      <w:r>
        <w:rPr>
          <w:rFonts w:hint="eastAsia" w:ascii="宋体" w:hAnsi="宋体" w:cs="宋体"/>
          <w:sz w:val="36"/>
          <w:szCs w:val="44"/>
        </w:rPr>
        <w:t>项目的合同条款与招标文件，投标文件，投标承诺等内容一致。</w:t>
      </w:r>
    </w:p>
    <w:p>
      <w:pPr>
        <w:jc w:val="center"/>
        <w:rPr>
          <w:rFonts w:hint="eastAsia"/>
          <w:sz w:val="36"/>
          <w:szCs w:val="44"/>
        </w:rPr>
      </w:pPr>
      <w:r>
        <w:rPr>
          <w:rFonts w:hint="eastAsia"/>
          <w:sz w:val="36"/>
          <w:szCs w:val="44"/>
        </w:rPr>
        <w:t xml:space="preserve">                                 </w:t>
      </w:r>
    </w:p>
    <w:p>
      <w:pPr>
        <w:jc w:val="center"/>
        <w:rPr>
          <w:rFonts w:hint="eastAsia"/>
          <w:sz w:val="36"/>
          <w:szCs w:val="44"/>
        </w:rPr>
      </w:pPr>
      <w:r>
        <w:rPr>
          <w:rFonts w:hint="eastAsia"/>
          <w:sz w:val="36"/>
          <w:szCs w:val="44"/>
        </w:rPr>
        <w:t xml:space="preserve">                     承诺人：   </w:t>
      </w:r>
    </w:p>
    <w:p>
      <w:pPr>
        <w:jc w:val="center"/>
        <w:rPr>
          <w:rFonts w:hint="eastAsia"/>
          <w:sz w:val="36"/>
          <w:szCs w:val="44"/>
        </w:rPr>
      </w:pPr>
      <w:r>
        <w:rPr>
          <w:rFonts w:hint="eastAsia"/>
          <w:sz w:val="36"/>
          <w:szCs w:val="44"/>
        </w:rPr>
        <w:t xml:space="preserve">           </w:t>
      </w:r>
    </w:p>
    <w:p>
      <w:pPr>
        <w:ind w:firstLine="640"/>
        <w:jc w:val="center"/>
        <w:rPr>
          <w:rFonts w:hint="eastAsia"/>
          <w:sz w:val="36"/>
          <w:szCs w:val="44"/>
        </w:rPr>
      </w:pPr>
      <w:r>
        <w:rPr>
          <w:rFonts w:hint="eastAsia"/>
          <w:sz w:val="36"/>
          <w:szCs w:val="44"/>
        </w:rPr>
        <w:t xml:space="preserve">                            年   月   日</w:t>
      </w:r>
    </w:p>
    <w:p>
      <w:pPr>
        <w:pStyle w:val="21"/>
        <w:spacing w:line="400" w:lineRule="exact"/>
        <w:ind w:firstLine="420"/>
        <w:rPr>
          <w:rFonts w:hint="eastAsia" w:ascii="Calibri" w:hAnsi="Calibri" w:cs="Calibri"/>
          <w:bCs/>
          <w:szCs w:val="32"/>
        </w:rPr>
        <w:sectPr>
          <w:headerReference r:id="rId7" w:type="first"/>
          <w:pgSz w:w="11906" w:h="16838"/>
          <w:pgMar w:top="1134" w:right="1247" w:bottom="1134" w:left="1247" w:header="851" w:footer="1134" w:gutter="0"/>
          <w:pgNumType w:fmt="numberInDash"/>
          <w:cols w:space="720" w:num="1"/>
          <w:docGrid w:linePitch="312" w:charSpace="0"/>
        </w:sectPr>
      </w:pPr>
    </w:p>
    <w:p>
      <w:pPr>
        <w:pStyle w:val="2"/>
        <w:spacing w:before="0" w:after="0" w:line="400" w:lineRule="exact"/>
        <w:jc w:val="center"/>
        <w:rPr>
          <w:rFonts w:ascii="Calibri" w:hAnsi="Calibri" w:eastAsia="黑体" w:cs="Calibri"/>
          <w:kern w:val="0"/>
          <w:sz w:val="32"/>
        </w:rPr>
      </w:pPr>
      <w:bookmarkStart w:id="115"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5"/>
    </w:p>
    <w:p>
      <w:pPr>
        <w:rPr>
          <w:rFonts w:hint="eastAsia"/>
        </w:rPr>
      </w:pPr>
    </w:p>
    <w:p>
      <w:pPr>
        <w:pStyle w:val="21"/>
        <w:spacing w:line="400" w:lineRule="exact"/>
        <w:ind w:firstLine="420"/>
        <w:rPr>
          <w:rFonts w:hAnsi="宋体" w:cs="Calibri"/>
          <w:bCs/>
          <w:sz w:val="22"/>
          <w:szCs w:val="22"/>
        </w:rPr>
      </w:pPr>
      <w:bookmarkStart w:id="116" w:name="_Toc29892"/>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21"/>
        <w:spacing w:line="400" w:lineRule="exact"/>
        <w:rPr>
          <w:rFonts w:hAnsi="宋体" w:cs="Calibri"/>
          <w:b/>
          <w:bCs/>
          <w:sz w:val="22"/>
          <w:szCs w:val="22"/>
        </w:rPr>
      </w:pPr>
      <w:r>
        <w:rPr>
          <w:rFonts w:hAnsi="宋体" w:cs="Calibri"/>
          <w:b/>
          <w:bCs/>
          <w:sz w:val="22"/>
          <w:szCs w:val="22"/>
        </w:rPr>
        <w:t>一、评标原则</w:t>
      </w:r>
    </w:p>
    <w:p>
      <w:pPr>
        <w:pStyle w:val="21"/>
        <w:spacing w:line="400" w:lineRule="exact"/>
        <w:ind w:firstLine="420"/>
        <w:rPr>
          <w:rFonts w:hAnsi="宋体" w:cs="Calibri"/>
          <w:bCs/>
          <w:sz w:val="22"/>
          <w:szCs w:val="22"/>
        </w:rPr>
      </w:pPr>
      <w:r>
        <w:rPr>
          <w:rFonts w:hAnsi="宋体" w:cs="Calibri"/>
          <w:bCs/>
          <w:sz w:val="22"/>
          <w:szCs w:val="22"/>
        </w:rPr>
        <w:t>评标应遵循公平、公正、科学、择优的原则。</w:t>
      </w:r>
    </w:p>
    <w:p>
      <w:pPr>
        <w:pStyle w:val="21"/>
        <w:spacing w:line="400" w:lineRule="exact"/>
        <w:ind w:firstLine="420"/>
        <w:rPr>
          <w:rFonts w:hAnsi="宋体" w:cs="Calibri"/>
          <w:b/>
          <w:bCs/>
          <w:sz w:val="22"/>
          <w:szCs w:val="22"/>
        </w:rPr>
      </w:pPr>
      <w:r>
        <w:rPr>
          <w:rFonts w:hint="eastAsia" w:hAnsi="宋体" w:cs="Calibri"/>
          <w:b/>
          <w:bCs/>
          <w:sz w:val="22"/>
          <w:szCs w:val="22"/>
        </w:rPr>
        <w:t>本项目分为两个标段，投标人可以根据自身情况选择任一标段或选择全部标段进行投标，但每个投标人最多只能中标一个标段。</w:t>
      </w:r>
    </w:p>
    <w:p>
      <w:pPr>
        <w:pStyle w:val="21"/>
        <w:spacing w:line="400" w:lineRule="exact"/>
        <w:ind w:firstLine="420"/>
        <w:rPr>
          <w:rFonts w:hAnsi="宋体" w:cs="Calibri"/>
          <w:b/>
          <w:bCs/>
          <w:sz w:val="22"/>
          <w:szCs w:val="22"/>
        </w:rPr>
      </w:pPr>
      <w:r>
        <w:rPr>
          <w:rFonts w:hint="eastAsia" w:hAnsi="宋体" w:cs="Calibri"/>
          <w:b/>
          <w:bCs/>
          <w:sz w:val="22"/>
          <w:szCs w:val="22"/>
        </w:rPr>
        <w:t>本项目评标时，将按照标段一、标段二的顺序进行评审，每个标段的</w:t>
      </w:r>
      <w:r>
        <w:rPr>
          <w:rFonts w:hAnsi="宋体" w:cs="Calibri"/>
          <w:b/>
          <w:bCs/>
          <w:sz w:val="22"/>
          <w:szCs w:val="22"/>
        </w:rPr>
        <w:t>4</w:t>
      </w:r>
      <w:r>
        <w:rPr>
          <w:rFonts w:hint="eastAsia" w:hAnsi="宋体" w:cs="Calibri"/>
          <w:b/>
          <w:bCs/>
          <w:sz w:val="22"/>
          <w:szCs w:val="22"/>
        </w:rPr>
        <w:t>个中标人需为不同的投标人，已在前面标段被推荐为中标候选人的投标人，继续参与后续标段的评标，但不得再次被推荐为中标候选人，即标段一的某个中标候选人如在标段二得分排名前四，则标段二得分排名第五名的投标人为中标候选人，以此类推。</w:t>
      </w:r>
    </w:p>
    <w:p>
      <w:pPr>
        <w:pStyle w:val="21"/>
        <w:spacing w:line="400" w:lineRule="exact"/>
        <w:ind w:firstLine="420"/>
        <w:rPr>
          <w:rFonts w:hAnsi="宋体" w:cs="Calibri"/>
          <w:b/>
          <w:bCs/>
          <w:sz w:val="22"/>
          <w:szCs w:val="22"/>
        </w:rPr>
      </w:pPr>
      <w:r>
        <w:rPr>
          <w:rFonts w:hAnsi="宋体" w:cs="Calibri"/>
          <w:b/>
          <w:bCs/>
          <w:sz w:val="22"/>
          <w:szCs w:val="22"/>
        </w:rPr>
        <w:t>二、评标组织</w:t>
      </w:r>
    </w:p>
    <w:p>
      <w:pPr>
        <w:pStyle w:val="21"/>
        <w:spacing w:line="400" w:lineRule="exact"/>
        <w:ind w:firstLine="420"/>
        <w:rPr>
          <w:rFonts w:hAnsi="宋体" w:cs="Calibri"/>
          <w:sz w:val="22"/>
          <w:szCs w:val="22"/>
        </w:rPr>
      </w:pPr>
      <w:r>
        <w:rPr>
          <w:rFonts w:hAnsi="宋体" w:cs="Calibri"/>
          <w:sz w:val="22"/>
          <w:szCs w:val="22"/>
        </w:rPr>
        <w:t>评标工作由招标人依法组建的评标委员会负责。评标委员会成员为3人及以上单数，</w:t>
      </w:r>
      <w:r>
        <w:rPr>
          <w:rFonts w:hint="eastAsia" w:hAnsi="宋体"/>
          <w:sz w:val="22"/>
          <w:szCs w:val="22"/>
        </w:rPr>
        <w:t>评标委员会成员由招标人自行组建。</w:t>
      </w:r>
    </w:p>
    <w:p>
      <w:pPr>
        <w:pStyle w:val="21"/>
        <w:spacing w:line="400" w:lineRule="exact"/>
        <w:rPr>
          <w:rFonts w:hAnsi="宋体" w:cs="Calibri"/>
          <w:b/>
          <w:bCs/>
          <w:sz w:val="22"/>
          <w:szCs w:val="22"/>
        </w:rPr>
      </w:pPr>
      <w:r>
        <w:rPr>
          <w:rFonts w:hAnsi="宋体" w:cs="Calibri"/>
          <w:b/>
          <w:bCs/>
          <w:sz w:val="22"/>
          <w:szCs w:val="22"/>
        </w:rPr>
        <w:t>三、投标文件的评审</w:t>
      </w:r>
    </w:p>
    <w:p>
      <w:pPr>
        <w:pStyle w:val="21"/>
        <w:spacing w:line="360" w:lineRule="exact"/>
        <w:ind w:firstLine="440"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rPr>
      </w:pPr>
      <w:r>
        <w:rPr>
          <w:rFonts w:ascii="宋体" w:hAnsi="宋体" w:cs="Calibri"/>
          <w:bCs/>
          <w:kern w:val="0"/>
          <w:sz w:val="22"/>
        </w:rPr>
        <w:t>3.1.1评标委员会应依照招标文件的要求和规定首先对投标人的投标资格和投标文件进行符合性审查，</w:t>
      </w:r>
      <w:r>
        <w:rPr>
          <w:rFonts w:ascii="宋体" w:hAnsi="宋体" w:cs="Calibri"/>
          <w:b/>
          <w:kern w:val="0"/>
          <w:sz w:val="22"/>
        </w:rPr>
        <w:t>审查过程中评标委员会可以要求投标人提交下列审查项所需的有关证明和证件的原件，以便核验。</w:t>
      </w:r>
      <w:r>
        <w:rPr>
          <w:rFonts w:ascii="宋体" w:hAnsi="宋体" w:cs="Calibri"/>
          <w:bCs/>
          <w:kern w:val="0"/>
          <w:sz w:val="22"/>
        </w:rPr>
        <w:t>投标文件如存在以下情况之一的，经评标委员会三分之二以上的成员认定，符合性审查不予通过，</w:t>
      </w:r>
      <w:r>
        <w:rPr>
          <w:rFonts w:ascii="宋体" w:hAnsi="宋体" w:cs="Calibri"/>
          <w:b/>
          <w:bCs/>
          <w:kern w:val="0"/>
          <w:sz w:val="22"/>
        </w:rPr>
        <w:t>作</w:t>
      </w:r>
      <w:r>
        <w:rPr>
          <w:rFonts w:hint="eastAsia" w:ascii="宋体" w:hAnsi="宋体" w:cs="Calibri"/>
          <w:b/>
          <w:bCs/>
          <w:kern w:val="0"/>
          <w:sz w:val="22"/>
        </w:rPr>
        <w:t>否决投标</w:t>
      </w:r>
      <w:r>
        <w:rPr>
          <w:rFonts w:ascii="宋体" w:hAnsi="宋体" w:cs="Calibri"/>
          <w:b/>
          <w:bCs/>
          <w:kern w:val="0"/>
          <w:sz w:val="22"/>
        </w:rPr>
        <w:t>处理，</w:t>
      </w:r>
      <w:r>
        <w:rPr>
          <w:rFonts w:ascii="宋体" w:hAnsi="宋体" w:cs="Calibri"/>
          <w:bCs/>
          <w:kern w:val="0"/>
          <w:sz w:val="22"/>
        </w:rPr>
        <w:t>不再进行详细评审：</w:t>
      </w:r>
    </w:p>
    <w:p>
      <w:pPr>
        <w:spacing w:line="360" w:lineRule="exact"/>
        <w:ind w:firstLine="470" w:firstLineChars="214"/>
        <w:rPr>
          <w:rFonts w:ascii="宋体" w:hAnsi="宋体" w:cs="Calibri"/>
          <w:sz w:val="22"/>
        </w:rPr>
      </w:pPr>
      <w:r>
        <w:rPr>
          <w:rFonts w:ascii="宋体" w:hAnsi="宋体" w:cs="Calibri"/>
          <w:sz w:val="22"/>
        </w:rPr>
        <w:t>1、</w:t>
      </w:r>
      <w:r>
        <w:rPr>
          <w:rFonts w:ascii="宋体" w:hAnsi="宋体" w:cs="Calibri"/>
          <w:bCs/>
          <w:kern w:val="0"/>
          <w:sz w:val="22"/>
        </w:rPr>
        <w:t>投标人的投标资格不满足国家有关规定或招标文件载明的投标资格条件的；</w:t>
      </w:r>
    </w:p>
    <w:p>
      <w:pPr>
        <w:spacing w:line="360" w:lineRule="exact"/>
        <w:ind w:firstLine="470" w:firstLineChars="214"/>
        <w:rPr>
          <w:rFonts w:ascii="宋体" w:hAnsi="宋体" w:cs="Calibri"/>
          <w:sz w:val="22"/>
        </w:rPr>
      </w:pPr>
      <w:r>
        <w:rPr>
          <w:rFonts w:ascii="宋体" w:hAnsi="宋体" w:cs="Calibri"/>
          <w:sz w:val="22"/>
        </w:rPr>
        <w:t>2、投标文件未按招标文件的要求签署和盖章的（仅限于单位印章和法定代表人或其委托代理人签字或盖章）；</w:t>
      </w:r>
    </w:p>
    <w:p>
      <w:pPr>
        <w:spacing w:line="360" w:lineRule="exact"/>
        <w:ind w:firstLine="470" w:firstLineChars="214"/>
        <w:rPr>
          <w:rFonts w:ascii="宋体" w:hAnsi="宋体" w:cs="Calibri"/>
          <w:sz w:val="22"/>
        </w:rPr>
      </w:pPr>
      <w:r>
        <w:rPr>
          <w:rFonts w:ascii="宋体" w:hAnsi="宋体" w:cs="Calibri"/>
          <w:sz w:val="22"/>
        </w:rPr>
        <w:t>3、投标文件未按规定的格式填写，内容不全或关键字迹模糊、无法辨认的；</w:t>
      </w:r>
    </w:p>
    <w:p>
      <w:pPr>
        <w:spacing w:line="360" w:lineRule="exact"/>
        <w:ind w:firstLine="470" w:firstLineChars="214"/>
        <w:rPr>
          <w:rFonts w:ascii="宋体" w:hAnsi="宋体" w:cs="Calibri"/>
          <w:sz w:val="22"/>
        </w:rPr>
      </w:pPr>
      <w:r>
        <w:rPr>
          <w:rFonts w:ascii="宋体" w:hAnsi="宋体" w:cs="Calibri"/>
          <w:sz w:val="22"/>
        </w:rPr>
        <w:t>4、投标人递交两份或多份内容不同的投标文件，或在一份投标文件中对同一招标项目报有两个或多个报价，且未声明哪一个有效；</w:t>
      </w:r>
    </w:p>
    <w:p>
      <w:pPr>
        <w:spacing w:line="360" w:lineRule="exact"/>
        <w:ind w:firstLine="470" w:firstLineChars="214"/>
        <w:rPr>
          <w:rFonts w:ascii="宋体" w:hAnsi="宋体" w:cs="Calibri"/>
          <w:sz w:val="22"/>
        </w:rPr>
      </w:pPr>
      <w:r>
        <w:rPr>
          <w:rFonts w:ascii="宋体" w:hAnsi="宋体" w:cs="Calibri"/>
          <w:sz w:val="22"/>
        </w:rPr>
        <w:t>5、</w:t>
      </w:r>
      <w:r>
        <w:rPr>
          <w:rFonts w:hint="eastAsia" w:ascii="宋体" w:hAnsi="宋体" w:cs="Calibri"/>
          <w:sz w:val="22"/>
        </w:rPr>
        <w:t>服务</w:t>
      </w:r>
      <w:r>
        <w:rPr>
          <w:rFonts w:ascii="宋体" w:hAnsi="宋体" w:cs="Calibri"/>
          <w:sz w:val="22"/>
        </w:rPr>
        <w:t>期不满足招标文件要求的；</w:t>
      </w:r>
    </w:p>
    <w:p>
      <w:pPr>
        <w:spacing w:line="360" w:lineRule="exact"/>
        <w:ind w:firstLine="470" w:firstLineChars="214"/>
        <w:rPr>
          <w:rFonts w:ascii="宋体" w:hAnsi="宋体" w:cs="Calibri"/>
          <w:sz w:val="22"/>
        </w:rPr>
      </w:pPr>
      <w:r>
        <w:rPr>
          <w:rFonts w:ascii="宋体" w:hAnsi="宋体" w:cs="Calibri"/>
          <w:sz w:val="22"/>
        </w:rPr>
        <w:t>6、不</w:t>
      </w:r>
      <w:r>
        <w:rPr>
          <w:rFonts w:ascii="宋体" w:hAnsi="宋体" w:cs="Calibri"/>
          <w:kern w:val="0"/>
          <w:sz w:val="22"/>
        </w:rPr>
        <w:t>响应招标文件规定的实质性要求（包括具体条文前用“★”标示的）</w:t>
      </w:r>
    </w:p>
    <w:p>
      <w:pPr>
        <w:spacing w:line="360" w:lineRule="exact"/>
        <w:ind w:firstLine="470" w:firstLineChars="214"/>
        <w:rPr>
          <w:rFonts w:ascii="宋体" w:hAnsi="宋体" w:cs="Calibri"/>
          <w:sz w:val="22"/>
        </w:rPr>
      </w:pPr>
      <w:r>
        <w:rPr>
          <w:rFonts w:ascii="宋体" w:hAnsi="宋体" w:cs="Calibri"/>
          <w:sz w:val="22"/>
        </w:rPr>
        <w:t>7、投标人不以自己的名义或未按招标文件的要求提供投标保证金或提供的保证金有缺陷而不能接受的；</w:t>
      </w:r>
    </w:p>
    <w:p>
      <w:pPr>
        <w:spacing w:line="360" w:lineRule="exact"/>
        <w:ind w:firstLine="470" w:firstLineChars="214"/>
        <w:rPr>
          <w:rFonts w:ascii="宋体" w:hAnsi="宋体" w:cs="Calibri"/>
          <w:sz w:val="22"/>
        </w:rPr>
      </w:pPr>
      <w:r>
        <w:rPr>
          <w:rFonts w:ascii="宋体" w:hAnsi="宋体" w:cs="Calibri"/>
          <w:sz w:val="22"/>
        </w:rPr>
        <w:t>8、投标人以他人名义投标、或与他人串通投标、或以行贿手段谋取中标，或弄虚作假的；</w:t>
      </w:r>
    </w:p>
    <w:p>
      <w:pPr>
        <w:spacing w:line="360" w:lineRule="exact"/>
        <w:ind w:firstLine="470" w:firstLineChars="214"/>
        <w:rPr>
          <w:rFonts w:ascii="宋体" w:hAnsi="宋体" w:cs="Calibri"/>
          <w:sz w:val="22"/>
        </w:rPr>
      </w:pPr>
      <w:r>
        <w:rPr>
          <w:rFonts w:hint="eastAsia" w:ascii="宋体" w:hAnsi="宋体" w:cs="Calibri"/>
          <w:sz w:val="22"/>
        </w:rPr>
        <w:t>9</w:t>
      </w:r>
      <w:r>
        <w:rPr>
          <w:rFonts w:ascii="宋体" w:hAnsi="宋体" w:cs="Calibri"/>
          <w:sz w:val="22"/>
        </w:rPr>
        <w:t>、存在法律、法规、规章规定的其它无效投标情况的</w:t>
      </w:r>
      <w:r>
        <w:rPr>
          <w:rFonts w:hint="eastAsia" w:ascii="宋体" w:hAnsi="宋体" w:cs="Calibri"/>
          <w:sz w:val="22"/>
        </w:rPr>
        <w:t>。</w:t>
      </w:r>
    </w:p>
    <w:p>
      <w:pPr>
        <w:spacing w:line="360" w:lineRule="exact"/>
        <w:ind w:firstLine="470" w:firstLineChars="214"/>
        <w:rPr>
          <w:rFonts w:ascii="宋体" w:hAnsi="宋体" w:cs="Calibri"/>
          <w:sz w:val="22"/>
        </w:rPr>
      </w:pPr>
      <w:r>
        <w:rPr>
          <w:rFonts w:hint="eastAsia" w:ascii="宋体" w:hAnsi="宋体" w:cs="Calibri"/>
          <w:sz w:val="22"/>
        </w:rPr>
        <w:t>涉及本文件投标人资格条件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widowControl/>
        <w:tabs>
          <w:tab w:val="left" w:pos="709"/>
        </w:tabs>
        <w:snapToGrid w:val="0"/>
        <w:spacing w:line="360" w:lineRule="exact"/>
        <w:ind w:firstLine="444" w:firstLineChars="202"/>
        <w:rPr>
          <w:rFonts w:ascii="宋体" w:hAnsi="宋体" w:cs="Calibri"/>
          <w:b/>
          <w:sz w:val="22"/>
        </w:rPr>
      </w:pPr>
      <w:r>
        <w:rPr>
          <w:rFonts w:ascii="宋体" w:hAnsi="宋体" w:cs="Calibri"/>
          <w:b/>
          <w:sz w:val="22"/>
        </w:rPr>
        <w:t>3.1.2 报价算术性修正</w:t>
      </w:r>
    </w:p>
    <w:p>
      <w:pPr>
        <w:pStyle w:val="2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21"/>
        <w:adjustRightInd w:val="0"/>
        <w:spacing w:line="360" w:lineRule="exact"/>
        <w:ind w:firstLine="330" w:firstLineChars="150"/>
        <w:rPr>
          <w:rFonts w:hAnsi="宋体" w:cs="Calibri"/>
          <w:sz w:val="22"/>
          <w:szCs w:val="22"/>
        </w:rPr>
      </w:pPr>
      <w:r>
        <w:rPr>
          <w:rFonts w:hint="eastAsia" w:hAnsi="宋体" w:cs="Calibri"/>
          <w:sz w:val="22"/>
          <w:szCs w:val="22"/>
        </w:rPr>
        <w:t>（1）</w:t>
      </w:r>
      <w:r>
        <w:rPr>
          <w:rFonts w:hAnsi="宋体" w:cs="Calibri"/>
          <w:sz w:val="22"/>
          <w:szCs w:val="22"/>
        </w:rPr>
        <w:t>投标文件中的大写金额与小写金额不一致的，以大写金额为准；</w:t>
      </w:r>
    </w:p>
    <w:p>
      <w:pPr>
        <w:pStyle w:val="21"/>
        <w:adjustRightInd w:val="0"/>
        <w:spacing w:line="360" w:lineRule="exact"/>
        <w:ind w:firstLine="330" w:firstLineChars="150"/>
        <w:rPr>
          <w:rFonts w:hAnsi="宋体" w:cs="Calibri"/>
          <w:sz w:val="22"/>
          <w:szCs w:val="22"/>
        </w:rPr>
      </w:pPr>
      <w:r>
        <w:rPr>
          <w:rFonts w:hint="eastAsia" w:hAnsi="宋体" w:cs="Calibri"/>
          <w:sz w:val="22"/>
          <w:szCs w:val="22"/>
        </w:rPr>
        <w:t>（2）</w:t>
      </w:r>
      <w:r>
        <w:rPr>
          <w:rFonts w:hAnsi="宋体" w:cs="Calibri"/>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★修正的价格经投标人书面确认后具有约束力。投标人不接受修正价格的，其投标作</w:t>
      </w:r>
      <w:r>
        <w:rPr>
          <w:rFonts w:hint="eastAsia" w:hAnsi="宋体" w:cs="Calibri"/>
          <w:b/>
          <w:bCs/>
          <w:sz w:val="22"/>
        </w:rPr>
        <w:t>否决投标</w:t>
      </w:r>
      <w:r>
        <w:rPr>
          <w:rFonts w:hAnsi="宋体" w:cs="Calibri"/>
          <w:b/>
          <w:sz w:val="22"/>
          <w:szCs w:val="22"/>
        </w:rPr>
        <w:t>处理</w:t>
      </w:r>
      <w:r>
        <w:rPr>
          <w:rFonts w:hAnsi="宋体" w:cs="Calibri"/>
          <w:sz w:val="22"/>
          <w:szCs w:val="22"/>
        </w:rPr>
        <w:t>。</w:t>
      </w:r>
    </w:p>
    <w:p>
      <w:pPr>
        <w:pStyle w:val="21"/>
        <w:spacing w:line="360" w:lineRule="exact"/>
        <w:ind w:firstLine="440" w:firstLineChars="200"/>
        <w:rPr>
          <w:rFonts w:hAnsi="宋体" w:cs="Calibri"/>
          <w:b/>
          <w:sz w:val="22"/>
          <w:szCs w:val="22"/>
        </w:rPr>
      </w:pPr>
      <w:r>
        <w:rPr>
          <w:rFonts w:hAnsi="宋体" w:cs="Calibri"/>
          <w:sz w:val="22"/>
          <w:szCs w:val="22"/>
        </w:rPr>
        <w:t>当通过符合性评审的单位少于</w:t>
      </w:r>
      <w:r>
        <w:rPr>
          <w:rFonts w:hint="eastAsia" w:hAnsi="宋体" w:cs="Calibri"/>
          <w:sz w:val="22"/>
          <w:szCs w:val="22"/>
        </w:rPr>
        <w:t>四</w:t>
      </w:r>
      <w:r>
        <w:rPr>
          <w:rFonts w:hAnsi="宋体" w:cs="Calibri"/>
          <w:sz w:val="22"/>
          <w:szCs w:val="22"/>
        </w:rPr>
        <w:t>家时（不包括</w:t>
      </w:r>
      <w:r>
        <w:rPr>
          <w:rFonts w:hint="eastAsia" w:hAnsi="宋体" w:cs="Calibri"/>
          <w:sz w:val="22"/>
          <w:szCs w:val="22"/>
        </w:rPr>
        <w:t>四</w:t>
      </w:r>
      <w:r>
        <w:rPr>
          <w:rFonts w:hAnsi="宋体" w:cs="Calibri"/>
          <w:sz w:val="22"/>
          <w:szCs w:val="22"/>
        </w:rPr>
        <w:t>家），应由评标委员会确认是否具有竞争性，如果有竞争性，则评标继续进行。</w:t>
      </w:r>
    </w:p>
    <w:p>
      <w:pPr>
        <w:pStyle w:val="21"/>
        <w:spacing w:line="360" w:lineRule="exact"/>
        <w:ind w:firstLine="440" w:firstLineChars="200"/>
        <w:rPr>
          <w:rFonts w:hAnsi="宋体" w:cs="Calibri"/>
          <w:b/>
          <w:sz w:val="22"/>
          <w:szCs w:val="22"/>
        </w:rPr>
      </w:pPr>
      <w:r>
        <w:rPr>
          <w:rFonts w:hAnsi="宋体" w:cs="Calibri"/>
          <w:b/>
          <w:sz w:val="22"/>
          <w:szCs w:val="22"/>
        </w:rPr>
        <w:t>3.2 投标文件的澄清和补正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0" w:firstLineChars="200"/>
        <w:rPr>
          <w:rFonts w:ascii="宋体" w:hAnsi="宋体"/>
          <w:b/>
          <w:color w:val="000000"/>
          <w:sz w:val="22"/>
        </w:rPr>
      </w:pPr>
      <w:r>
        <w:rPr>
          <w:rFonts w:ascii="宋体" w:hAnsi="宋体" w:cs="Calibri"/>
          <w:b/>
          <w:sz w:val="22"/>
        </w:rPr>
        <w:t>3.3</w:t>
      </w:r>
      <w:r>
        <w:rPr>
          <w:rFonts w:hint="eastAsia" w:ascii="宋体" w:hAnsi="宋体"/>
          <w:b/>
          <w:color w:val="000000"/>
          <w:sz w:val="22"/>
        </w:rPr>
        <w:t>评标细则</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估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21"/>
        <w:adjustRightInd w:val="0"/>
        <w:snapToGrid w:val="0"/>
        <w:spacing w:line="360" w:lineRule="exact"/>
        <w:ind w:firstLine="440" w:firstLineChars="200"/>
        <w:rPr>
          <w:rFonts w:hAnsi="宋体" w:cs="Calibri"/>
          <w:sz w:val="22"/>
          <w:szCs w:val="22"/>
        </w:rPr>
      </w:pPr>
      <w:r>
        <w:rPr>
          <w:rFonts w:hint="eastAsia" w:hAnsi="宋体"/>
          <w:b/>
          <w:color w:val="000000"/>
          <w:sz w:val="22"/>
          <w:szCs w:val="22"/>
        </w:rPr>
        <w:t>每个投标人最终得分=商务报价分+资信及技术分</w:t>
      </w:r>
    </w:p>
    <w:p>
      <w:pPr>
        <w:pStyle w:val="21"/>
        <w:adjustRightInd w:val="0"/>
        <w:snapToGrid w:val="0"/>
        <w:spacing w:line="400" w:lineRule="exact"/>
        <w:ind w:firstLine="440" w:firstLineChars="200"/>
        <w:rPr>
          <w:rFonts w:hAnsi="宋体" w:cs="Arial"/>
          <w:b/>
          <w:sz w:val="22"/>
          <w:szCs w:val="22"/>
        </w:rPr>
      </w:pPr>
      <w:r>
        <w:rPr>
          <w:rFonts w:hint="eastAsia" w:hAnsi="宋体" w:cs="Calibri"/>
          <w:sz w:val="22"/>
          <w:szCs w:val="22"/>
        </w:rPr>
        <w:t>3.3.1商务报价分60分</w:t>
      </w:r>
    </w:p>
    <w:p>
      <w:pPr>
        <w:pStyle w:val="21"/>
        <w:adjustRightInd w:val="0"/>
        <w:snapToGrid w:val="0"/>
        <w:spacing w:line="400" w:lineRule="exact"/>
        <w:ind w:firstLine="440" w:firstLineChars="200"/>
        <w:rPr>
          <w:rFonts w:hAnsi="宋体"/>
          <w:sz w:val="22"/>
          <w:szCs w:val="22"/>
        </w:rPr>
      </w:pPr>
      <w:r>
        <w:rPr>
          <w:rFonts w:hint="eastAsia" w:hAnsi="宋体"/>
          <w:sz w:val="22"/>
          <w:szCs w:val="22"/>
        </w:rPr>
        <w:t>投标人以国家发展改革委员会发布的</w:t>
      </w:r>
      <w:r>
        <w:rPr>
          <w:rFonts w:hAnsi="宋体" w:cs="Calibri"/>
          <w:color w:val="000000"/>
          <w:sz w:val="22"/>
        </w:rPr>
        <w:t>发改办价格[2003]857号</w:t>
      </w:r>
      <w:r>
        <w:rPr>
          <w:rFonts w:hint="eastAsia" w:hAnsi="宋体" w:cs="Calibri"/>
          <w:color w:val="000000"/>
          <w:sz w:val="22"/>
        </w:rPr>
        <w:t>、发改价格[2011]534号</w:t>
      </w:r>
      <w:r>
        <w:rPr>
          <w:rFonts w:hint="eastAsia" w:hAnsi="宋体"/>
          <w:snapToGrid w:val="0"/>
          <w:sz w:val="22"/>
        </w:rPr>
        <w:t>文件</w:t>
      </w:r>
      <w:r>
        <w:rPr>
          <w:rFonts w:hint="eastAsia" w:hAnsi="宋体"/>
          <w:sz w:val="22"/>
          <w:szCs w:val="22"/>
        </w:rPr>
        <w:t>的规定为基数，对三年内所承接招标项目不分金额大小、不分项目性质自行确定优惠幅度，提出优惠费率。即招标代理服务费＝基数×优惠费率（优惠</w:t>
      </w:r>
      <w:r>
        <w:rPr>
          <w:rFonts w:hAnsi="宋体"/>
          <w:sz w:val="22"/>
          <w:szCs w:val="22"/>
        </w:rPr>
        <w:t>费率=1-</w:t>
      </w:r>
      <w:r>
        <w:rPr>
          <w:rFonts w:hint="eastAsia" w:hAnsi="宋体"/>
          <w:sz w:val="22"/>
          <w:szCs w:val="22"/>
        </w:rPr>
        <w:t>下浮率）。</w:t>
      </w:r>
    </w:p>
    <w:p>
      <w:pPr>
        <w:pStyle w:val="21"/>
        <w:adjustRightInd w:val="0"/>
        <w:snapToGrid w:val="0"/>
        <w:spacing w:line="360" w:lineRule="exact"/>
        <w:ind w:firstLine="440" w:firstLineChars="200"/>
        <w:rPr>
          <w:rFonts w:hAnsi="宋体"/>
          <w:b/>
          <w:sz w:val="22"/>
          <w:szCs w:val="22"/>
        </w:rPr>
      </w:pPr>
      <w:r>
        <w:rPr>
          <w:rFonts w:hint="eastAsia" w:hAnsi="宋体"/>
          <w:sz w:val="22"/>
          <w:szCs w:val="22"/>
        </w:rPr>
        <w:t>商务评审：</w:t>
      </w:r>
      <w:r>
        <w:rPr>
          <w:rFonts w:hint="eastAsia" w:hAnsi="宋体"/>
          <w:b/>
          <w:sz w:val="22"/>
          <w:szCs w:val="22"/>
        </w:rPr>
        <w:t>取所有有效投标的优惠费率的算数平均值为基准</w:t>
      </w:r>
      <w:r>
        <w:rPr>
          <w:rFonts w:hAnsi="宋体"/>
          <w:b/>
          <w:sz w:val="22"/>
          <w:szCs w:val="22"/>
        </w:rPr>
        <w:t>价</w:t>
      </w:r>
      <w:r>
        <w:rPr>
          <w:rFonts w:hint="eastAsia" w:hAnsi="宋体"/>
          <w:b/>
          <w:sz w:val="22"/>
          <w:szCs w:val="22"/>
        </w:rPr>
        <w:t>，如有效投标人的投标优惠费率与基准价差值在3</w:t>
      </w:r>
      <w:r>
        <w:rPr>
          <w:rFonts w:hAnsi="宋体"/>
          <w:b/>
          <w:sz w:val="22"/>
          <w:szCs w:val="22"/>
        </w:rPr>
        <w:t>0%</w:t>
      </w:r>
      <w:r>
        <w:rPr>
          <w:rFonts w:hint="eastAsia" w:hAnsi="宋体"/>
          <w:b/>
          <w:sz w:val="22"/>
          <w:szCs w:val="22"/>
        </w:rPr>
        <w:t>以上，则不计入评标基准价的计算。</w:t>
      </w:r>
    </w:p>
    <w:p>
      <w:pPr>
        <w:pStyle w:val="21"/>
        <w:adjustRightInd w:val="0"/>
        <w:snapToGrid w:val="0"/>
        <w:spacing w:line="360" w:lineRule="exact"/>
        <w:ind w:firstLine="440" w:firstLineChars="200"/>
        <w:rPr>
          <w:rFonts w:hint="eastAsia" w:hAnsi="宋体"/>
          <w:sz w:val="22"/>
          <w:szCs w:val="22"/>
        </w:rPr>
      </w:pPr>
      <w:r>
        <w:rPr>
          <w:rFonts w:hint="eastAsia" w:hAnsi="宋体"/>
          <w:sz w:val="22"/>
          <w:szCs w:val="22"/>
        </w:rPr>
        <w:t>评标基准</w:t>
      </w:r>
      <w:r>
        <w:rPr>
          <w:rFonts w:hAnsi="宋体"/>
          <w:sz w:val="22"/>
          <w:szCs w:val="22"/>
        </w:rPr>
        <w:t>价的计算</w:t>
      </w:r>
      <w:r>
        <w:rPr>
          <w:rFonts w:hint="eastAsia" w:hAnsi="宋体"/>
          <w:sz w:val="22"/>
          <w:szCs w:val="22"/>
        </w:rPr>
        <w:t>：取所有计入评标基准</w:t>
      </w:r>
      <w:r>
        <w:rPr>
          <w:rFonts w:hAnsi="宋体"/>
          <w:sz w:val="22"/>
          <w:szCs w:val="22"/>
        </w:rPr>
        <w:t>价</w:t>
      </w:r>
      <w:r>
        <w:rPr>
          <w:rFonts w:hint="eastAsia" w:hAnsi="宋体"/>
          <w:sz w:val="22"/>
          <w:szCs w:val="22"/>
        </w:rPr>
        <w:t>计算</w:t>
      </w:r>
      <w:r>
        <w:rPr>
          <w:rFonts w:hAnsi="宋体"/>
          <w:sz w:val="22"/>
          <w:szCs w:val="22"/>
        </w:rPr>
        <w:t>的</w:t>
      </w:r>
      <w:r>
        <w:rPr>
          <w:rFonts w:hint="eastAsia" w:hAnsi="宋体"/>
          <w:sz w:val="22"/>
          <w:szCs w:val="22"/>
        </w:rPr>
        <w:t>有效</w:t>
      </w:r>
      <w:r>
        <w:rPr>
          <w:rFonts w:hAnsi="宋体"/>
          <w:sz w:val="22"/>
          <w:szCs w:val="22"/>
        </w:rPr>
        <w:t>投标优惠费率</w:t>
      </w:r>
      <w:r>
        <w:rPr>
          <w:rFonts w:hint="eastAsia" w:hAnsi="宋体"/>
          <w:sz w:val="22"/>
          <w:szCs w:val="22"/>
        </w:rPr>
        <w:t>的算数平均值与计入评标基准</w:t>
      </w:r>
      <w:r>
        <w:rPr>
          <w:rFonts w:hAnsi="宋体"/>
          <w:sz w:val="22"/>
          <w:szCs w:val="22"/>
        </w:rPr>
        <w:t>价</w:t>
      </w:r>
      <w:r>
        <w:rPr>
          <w:rFonts w:hint="eastAsia" w:hAnsi="宋体"/>
          <w:sz w:val="22"/>
          <w:szCs w:val="22"/>
        </w:rPr>
        <w:t>计算</w:t>
      </w:r>
      <w:r>
        <w:rPr>
          <w:rFonts w:hAnsi="宋体"/>
          <w:sz w:val="22"/>
          <w:szCs w:val="22"/>
        </w:rPr>
        <w:t>的</w:t>
      </w:r>
      <w:r>
        <w:rPr>
          <w:rFonts w:hint="eastAsia" w:hAnsi="宋体"/>
          <w:sz w:val="22"/>
          <w:szCs w:val="22"/>
        </w:rPr>
        <w:t>有效</w:t>
      </w:r>
      <w:r>
        <w:rPr>
          <w:rFonts w:hAnsi="宋体"/>
          <w:sz w:val="22"/>
          <w:szCs w:val="22"/>
        </w:rPr>
        <w:t>投标</w:t>
      </w:r>
      <w:r>
        <w:rPr>
          <w:rFonts w:hint="eastAsia" w:hAnsi="宋体"/>
          <w:sz w:val="22"/>
          <w:szCs w:val="22"/>
        </w:rPr>
        <w:t>次低优惠费率的算数平均值为</w:t>
      </w:r>
      <w:r>
        <w:rPr>
          <w:rFonts w:hAnsi="宋体"/>
          <w:sz w:val="22"/>
          <w:szCs w:val="22"/>
        </w:rPr>
        <w:t>评标基准价。</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按照【（投标优惠费率-评标基准价）/评标基准价】*100%的公式，计算各有效投标优惠费率与评标基准价的差值。差值</w:t>
      </w:r>
      <w:r>
        <w:rPr>
          <w:rFonts w:hint="eastAsia" w:hAnsi="宋体"/>
          <w:sz w:val="22"/>
          <w:szCs w:val="22"/>
        </w:rPr>
        <w:t>为0为满分，差值每高</w:t>
      </w:r>
      <w:r>
        <w:rPr>
          <w:rFonts w:hAnsi="宋体" w:cs="Calibri"/>
          <w:sz w:val="22"/>
          <w:szCs w:val="22"/>
        </w:rPr>
        <w:t>1%</w:t>
      </w:r>
      <w:r>
        <w:rPr>
          <w:rFonts w:hint="eastAsia" w:hAnsi="宋体" w:cs="Calibri"/>
          <w:sz w:val="22"/>
          <w:szCs w:val="22"/>
        </w:rPr>
        <w:t>扣</w:t>
      </w:r>
      <w:r>
        <w:rPr>
          <w:rFonts w:hAnsi="宋体" w:cs="Calibri"/>
          <w:sz w:val="22"/>
          <w:szCs w:val="22"/>
        </w:rPr>
        <w:t>1</w:t>
      </w:r>
      <w:r>
        <w:rPr>
          <w:rFonts w:hint="eastAsia" w:hAnsi="宋体" w:cs="Calibri"/>
          <w:sz w:val="22"/>
          <w:szCs w:val="22"/>
        </w:rPr>
        <w:t>分，差值每低</w:t>
      </w:r>
      <w:r>
        <w:rPr>
          <w:rFonts w:hAnsi="宋体" w:cs="Calibri"/>
          <w:sz w:val="22"/>
          <w:szCs w:val="22"/>
        </w:rPr>
        <w:t>1%</w:t>
      </w:r>
      <w:r>
        <w:rPr>
          <w:rFonts w:hint="eastAsia" w:hAnsi="宋体" w:cs="Calibri"/>
          <w:sz w:val="22"/>
          <w:szCs w:val="22"/>
        </w:rPr>
        <w:t>扣</w:t>
      </w:r>
      <w:r>
        <w:rPr>
          <w:rFonts w:hAnsi="宋体" w:cs="Calibri"/>
          <w:sz w:val="22"/>
          <w:szCs w:val="22"/>
        </w:rPr>
        <w:t>0.5</w:t>
      </w:r>
      <w:r>
        <w:rPr>
          <w:rFonts w:hint="eastAsia" w:hAnsi="宋体" w:cs="Calibri"/>
          <w:sz w:val="22"/>
          <w:szCs w:val="22"/>
        </w:rPr>
        <w:t>分，</w:t>
      </w:r>
      <w:r>
        <w:rPr>
          <w:rFonts w:hint="eastAsia" w:hAnsi="宋体"/>
          <w:sz w:val="22"/>
          <w:szCs w:val="22"/>
        </w:rPr>
        <w:t>商务报价</w:t>
      </w:r>
      <w:r>
        <w:rPr>
          <w:rFonts w:hAnsi="宋体"/>
          <w:sz w:val="22"/>
          <w:szCs w:val="22"/>
        </w:rPr>
        <w:t>分最低为</w:t>
      </w:r>
      <w:r>
        <w:rPr>
          <w:rFonts w:hint="eastAsia" w:hAnsi="宋体"/>
          <w:sz w:val="22"/>
          <w:szCs w:val="22"/>
        </w:rPr>
        <w:t>20分</w:t>
      </w:r>
      <w:r>
        <w:rPr>
          <w:rFonts w:hint="eastAsia" w:hAnsi="宋体" w:cs="Calibri"/>
          <w:sz w:val="22"/>
          <w:szCs w:val="22"/>
        </w:rPr>
        <w:t>（不足</w:t>
      </w:r>
      <w:r>
        <w:rPr>
          <w:rFonts w:hAnsi="宋体" w:cs="Calibri"/>
          <w:sz w:val="22"/>
          <w:szCs w:val="22"/>
        </w:rPr>
        <w:t>1</w:t>
      </w:r>
      <w:r>
        <w:rPr>
          <w:rFonts w:hint="eastAsia" w:hAnsi="宋体" w:cs="Calibri"/>
          <w:sz w:val="22"/>
          <w:szCs w:val="22"/>
        </w:rPr>
        <w:t>个百分点按插值法计算，小数点后保留二位，四舍五入）。</w:t>
      </w:r>
    </w:p>
    <w:p>
      <w:pPr>
        <w:pStyle w:val="21"/>
        <w:adjustRightInd w:val="0"/>
        <w:snapToGrid w:val="0"/>
        <w:spacing w:line="40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21"/>
        <w:adjustRightInd w:val="0"/>
        <w:snapToGrid w:val="0"/>
        <w:spacing w:line="400" w:lineRule="exact"/>
        <w:ind w:firstLine="440" w:firstLineChars="200"/>
        <w:rPr>
          <w:rFonts w:hAnsi="宋体" w:cs="Calibri"/>
          <w:sz w:val="22"/>
          <w:szCs w:val="22"/>
        </w:rPr>
      </w:pPr>
      <w:r>
        <w:rPr>
          <w:rFonts w:hint="eastAsia" w:hAnsi="宋体" w:cs="Calibri"/>
          <w:sz w:val="22"/>
          <w:szCs w:val="22"/>
        </w:rPr>
        <w:t>3.3.2资信及技术评分40分</w:t>
      </w:r>
    </w:p>
    <w:p>
      <w:pPr>
        <w:pStyle w:val="21"/>
        <w:adjustRightInd w:val="0"/>
        <w:snapToGrid w:val="0"/>
        <w:spacing w:line="400" w:lineRule="exact"/>
        <w:ind w:firstLine="440" w:firstLineChars="200"/>
        <w:rPr>
          <w:rFonts w:hAnsi="宋体"/>
          <w:sz w:val="22"/>
          <w:szCs w:val="22"/>
        </w:rPr>
      </w:pPr>
      <w:r>
        <w:rPr>
          <w:rFonts w:hint="eastAsia" w:hAnsi="宋体"/>
          <w:sz w:val="22"/>
          <w:szCs w:val="22"/>
        </w:rPr>
        <w:t>该评分分值由评标委员会成员独立打分（具体分值设定详见下表），小数点后保留</w:t>
      </w:r>
      <w:r>
        <w:rPr>
          <w:rFonts w:hAnsi="宋体"/>
          <w:sz w:val="22"/>
          <w:szCs w:val="22"/>
        </w:rPr>
        <w:t>1</w:t>
      </w:r>
      <w:r>
        <w:rPr>
          <w:rFonts w:hint="eastAsia" w:hAnsi="宋体"/>
          <w:sz w:val="22"/>
          <w:szCs w:val="22"/>
        </w:rPr>
        <w:t>位小数。每个投标人的最终资信及技术得分为评标委员会打分的算术平均值（小数点后保留</w:t>
      </w:r>
      <w:r>
        <w:rPr>
          <w:rFonts w:hAnsi="宋体"/>
          <w:sz w:val="22"/>
          <w:szCs w:val="22"/>
        </w:rPr>
        <w:t>2</w:t>
      </w:r>
      <w:r>
        <w:rPr>
          <w:rFonts w:hint="eastAsia" w:hAnsi="宋体"/>
          <w:sz w:val="22"/>
          <w:szCs w:val="22"/>
        </w:rPr>
        <w:t>位，第三位四舍五入）。</w:t>
      </w:r>
    </w:p>
    <w:p>
      <w:pPr>
        <w:pStyle w:val="21"/>
        <w:adjustRightInd w:val="0"/>
        <w:snapToGrid w:val="0"/>
        <w:spacing w:line="400" w:lineRule="exact"/>
        <w:ind w:firstLine="440" w:firstLineChars="200"/>
        <w:rPr>
          <w:rFonts w:hint="eastAsia" w:hAnsi="宋体" w:cs="Calibri"/>
          <w:sz w:val="22"/>
          <w:szCs w:val="22"/>
        </w:rPr>
      </w:pPr>
      <w:r>
        <w:rPr>
          <w:rFonts w:hint="eastAsia" w:hAnsi="宋体" w:cs="Calibri"/>
          <w:sz w:val="22"/>
          <w:szCs w:val="22"/>
        </w:rPr>
        <w:t>资信及技术评分分值设定标准：</w:t>
      </w:r>
    </w:p>
    <w:p>
      <w:pPr>
        <w:pStyle w:val="21"/>
        <w:adjustRightInd w:val="0"/>
        <w:snapToGrid w:val="0"/>
        <w:spacing w:line="400" w:lineRule="exact"/>
        <w:ind w:firstLine="440" w:firstLineChars="200"/>
        <w:rPr>
          <w:rFonts w:hAnsi="宋体" w:cs="Calibri"/>
          <w:sz w:val="22"/>
          <w:szCs w:val="22"/>
        </w:rPr>
      </w:pPr>
      <w:r>
        <w:rPr>
          <w:rFonts w:hint="eastAsia" w:hAnsi="宋体" w:cs="Calibri"/>
          <w:sz w:val="22"/>
          <w:szCs w:val="22"/>
        </w:rPr>
        <w:t>标段</w:t>
      </w:r>
      <w:r>
        <w:rPr>
          <w:rFonts w:hAnsi="宋体" w:cs="Calibri"/>
          <w:sz w:val="22"/>
          <w:szCs w:val="22"/>
        </w:rPr>
        <w:t>一：</w:t>
      </w:r>
    </w:p>
    <w:tbl>
      <w:tblPr>
        <w:tblStyle w:val="5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538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59" w:type="dxa"/>
            <w:vAlign w:val="top"/>
          </w:tcPr>
          <w:p>
            <w:pPr>
              <w:spacing w:line="400" w:lineRule="exact"/>
              <w:jc w:val="center"/>
              <w:rPr>
                <w:rFonts w:hint="eastAsia" w:ascii="宋体" w:hAnsi="宋体"/>
                <w:b/>
                <w:sz w:val="24"/>
              </w:rPr>
            </w:pPr>
            <w:r>
              <w:rPr>
                <w:rFonts w:hint="eastAsia" w:ascii="宋体" w:hAnsi="宋体"/>
                <w:b/>
                <w:sz w:val="24"/>
              </w:rPr>
              <w:t>序号</w:t>
            </w:r>
          </w:p>
        </w:tc>
        <w:tc>
          <w:tcPr>
            <w:tcW w:w="1843" w:type="dxa"/>
            <w:vAlign w:val="center"/>
          </w:tcPr>
          <w:p>
            <w:pPr>
              <w:spacing w:line="400" w:lineRule="exact"/>
              <w:jc w:val="center"/>
              <w:rPr>
                <w:rFonts w:ascii="宋体" w:hAnsi="宋体"/>
                <w:b/>
                <w:sz w:val="24"/>
              </w:rPr>
            </w:pPr>
            <w:r>
              <w:rPr>
                <w:rFonts w:hint="eastAsia" w:ascii="宋体" w:hAnsi="宋体"/>
                <w:b/>
                <w:sz w:val="24"/>
              </w:rPr>
              <w:t>评分内容</w:t>
            </w:r>
          </w:p>
        </w:tc>
        <w:tc>
          <w:tcPr>
            <w:tcW w:w="5386" w:type="dxa"/>
            <w:vAlign w:val="center"/>
          </w:tcPr>
          <w:p>
            <w:pPr>
              <w:spacing w:line="400" w:lineRule="exact"/>
              <w:jc w:val="center"/>
              <w:rPr>
                <w:rFonts w:ascii="宋体" w:hAnsi="宋体"/>
                <w:b/>
                <w:sz w:val="24"/>
              </w:rPr>
            </w:pPr>
            <w:r>
              <w:rPr>
                <w:rFonts w:hint="eastAsia" w:ascii="宋体" w:hAnsi="宋体"/>
                <w:b/>
                <w:sz w:val="24"/>
              </w:rPr>
              <w:t>评分标准</w:t>
            </w:r>
          </w:p>
        </w:tc>
        <w:tc>
          <w:tcPr>
            <w:tcW w:w="1440" w:type="dxa"/>
            <w:vAlign w:val="top"/>
          </w:tcPr>
          <w:p>
            <w:pPr>
              <w:spacing w:line="400" w:lineRule="exact"/>
              <w:jc w:val="center"/>
              <w:rPr>
                <w:rFonts w:hint="eastAsia" w:ascii="宋体" w:hAnsi="宋体"/>
                <w:b/>
                <w:sz w:val="24"/>
              </w:rPr>
            </w:pPr>
            <w:r>
              <w:rPr>
                <w:rFonts w:hint="eastAsia" w:ascii="宋体" w:hAnsi="宋体"/>
                <w:b/>
                <w:sz w:val="24"/>
              </w:rPr>
              <w:t>分值</w:t>
            </w:r>
            <w:r>
              <w:rPr>
                <w:rFonts w:ascii="宋体" w:hAnsi="宋体"/>
                <w:b/>
                <w:sz w:val="24"/>
              </w:rPr>
              <w:t>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959" w:type="dxa"/>
            <w:vMerge w:val="restart"/>
            <w:vAlign w:val="top"/>
          </w:tcPr>
          <w:p>
            <w:pPr>
              <w:spacing w:line="400" w:lineRule="exact"/>
              <w:jc w:val="center"/>
              <w:rPr>
                <w:rFonts w:hint="eastAsia" w:ascii="宋体" w:hAnsi="宋体"/>
                <w:szCs w:val="21"/>
                <w:lang w:val="zh-CN"/>
              </w:rPr>
            </w:pPr>
            <w:r>
              <w:rPr>
                <w:rFonts w:hint="eastAsia" w:ascii="宋体" w:hAnsi="宋体"/>
                <w:szCs w:val="21"/>
                <w:lang w:val="zh-CN"/>
              </w:rPr>
              <w:t>资信（0-1</w:t>
            </w:r>
            <w:r>
              <w:rPr>
                <w:rFonts w:ascii="宋体" w:hAnsi="宋体"/>
                <w:szCs w:val="21"/>
                <w:lang w:val="zh-CN"/>
              </w:rPr>
              <w:t>5</w:t>
            </w:r>
            <w:r>
              <w:rPr>
                <w:rFonts w:hint="eastAsia" w:ascii="宋体" w:hAnsi="宋体"/>
                <w:szCs w:val="21"/>
                <w:lang w:val="zh-CN"/>
              </w:rPr>
              <w:t>分）</w:t>
            </w:r>
          </w:p>
        </w:tc>
        <w:tc>
          <w:tcPr>
            <w:tcW w:w="1843" w:type="dxa"/>
            <w:vAlign w:val="top"/>
          </w:tcPr>
          <w:p>
            <w:pPr>
              <w:spacing w:line="400" w:lineRule="exact"/>
              <w:rPr>
                <w:rFonts w:hint="eastAsia" w:ascii="宋体" w:hAnsi="宋体"/>
                <w:szCs w:val="21"/>
                <w:lang w:val="zh-CN"/>
              </w:rPr>
            </w:pPr>
            <w:r>
              <w:rPr>
                <w:rFonts w:hint="eastAsia"/>
                <w:kern w:val="0"/>
                <w:szCs w:val="21"/>
              </w:rPr>
              <w:t>投标人相关业绩</w:t>
            </w:r>
          </w:p>
        </w:tc>
        <w:tc>
          <w:tcPr>
            <w:tcW w:w="5386" w:type="dxa"/>
            <w:vAlign w:val="top"/>
          </w:tcPr>
          <w:p>
            <w:pPr>
              <w:spacing w:line="400" w:lineRule="exact"/>
              <w:rPr>
                <w:rFonts w:ascii="宋体" w:hAnsi="宋体"/>
                <w:color w:val="000000"/>
                <w:szCs w:val="21"/>
              </w:rPr>
            </w:pPr>
            <w:r>
              <w:rPr>
                <w:rFonts w:hint="eastAsia" w:ascii="宋体" w:hAnsi="宋体"/>
                <w:color w:val="000000"/>
                <w:szCs w:val="21"/>
              </w:rPr>
              <w:t>（</w:t>
            </w:r>
            <w:r>
              <w:rPr>
                <w:rFonts w:ascii="宋体" w:hAnsi="宋体"/>
                <w:color w:val="000000"/>
                <w:szCs w:val="21"/>
              </w:rPr>
              <w:t>1</w:t>
            </w:r>
            <w:r>
              <w:rPr>
                <w:rFonts w:hint="eastAsia" w:ascii="宋体" w:hAnsi="宋体"/>
                <w:color w:val="000000"/>
                <w:szCs w:val="21"/>
              </w:rPr>
              <w:t>）根据各投标人近三年（201</w:t>
            </w:r>
            <w:r>
              <w:rPr>
                <w:rFonts w:ascii="宋体" w:hAnsi="宋体"/>
                <w:color w:val="000000"/>
                <w:szCs w:val="21"/>
              </w:rPr>
              <w:t>6</w:t>
            </w:r>
            <w:r>
              <w:rPr>
                <w:rFonts w:hint="eastAsia" w:ascii="宋体" w:hAnsi="宋体"/>
                <w:color w:val="000000"/>
                <w:szCs w:val="21"/>
              </w:rPr>
              <w:t>年1月1日至投标截止</w:t>
            </w:r>
            <w:r>
              <w:rPr>
                <w:rFonts w:ascii="宋体" w:hAnsi="宋体"/>
                <w:color w:val="000000"/>
                <w:szCs w:val="21"/>
              </w:rPr>
              <w:t>日</w:t>
            </w:r>
            <w:r>
              <w:rPr>
                <w:rFonts w:hint="eastAsia" w:ascii="宋体" w:hAnsi="宋体"/>
                <w:color w:val="000000"/>
                <w:szCs w:val="21"/>
              </w:rPr>
              <w:t>）单项中标金额3000万元（不含）以上的建设工程招标代理业绩情况进行横向比较后评分，本项最高得</w:t>
            </w:r>
            <w:r>
              <w:rPr>
                <w:rFonts w:ascii="宋体" w:hAnsi="宋体"/>
                <w:color w:val="000000"/>
                <w:szCs w:val="21"/>
              </w:rPr>
              <w:t>3</w:t>
            </w:r>
            <w:r>
              <w:rPr>
                <w:rFonts w:hint="eastAsia" w:ascii="宋体" w:hAnsi="宋体"/>
                <w:color w:val="000000"/>
                <w:szCs w:val="21"/>
              </w:rPr>
              <w:t>分；</w:t>
            </w:r>
          </w:p>
          <w:p>
            <w:pPr>
              <w:spacing w:line="400" w:lineRule="exact"/>
              <w:rPr>
                <w:rFonts w:hint="eastAsia" w:ascii="宋体" w:hAnsi="宋体"/>
                <w:color w:val="000000"/>
                <w:szCs w:val="21"/>
              </w:rPr>
            </w:pPr>
            <w:r>
              <w:rPr>
                <w:rFonts w:hint="eastAsia" w:ascii="宋体" w:hAnsi="宋体"/>
                <w:color w:val="000000"/>
                <w:szCs w:val="21"/>
              </w:rPr>
              <w:t>（</w:t>
            </w:r>
            <w:r>
              <w:rPr>
                <w:rFonts w:ascii="宋体" w:hAnsi="宋体"/>
                <w:color w:val="000000"/>
                <w:szCs w:val="21"/>
              </w:rPr>
              <w:t>2</w:t>
            </w:r>
            <w:r>
              <w:rPr>
                <w:rFonts w:hint="eastAsia" w:ascii="宋体" w:hAnsi="宋体"/>
                <w:color w:val="000000"/>
                <w:szCs w:val="21"/>
              </w:rPr>
              <w:t>）根据各投标人近三年（201</w:t>
            </w:r>
            <w:r>
              <w:rPr>
                <w:rFonts w:ascii="宋体" w:hAnsi="宋体"/>
                <w:color w:val="000000"/>
                <w:szCs w:val="21"/>
              </w:rPr>
              <w:t>6</w:t>
            </w:r>
            <w:r>
              <w:rPr>
                <w:rFonts w:hint="eastAsia" w:ascii="宋体" w:hAnsi="宋体"/>
                <w:color w:val="000000"/>
                <w:szCs w:val="21"/>
              </w:rPr>
              <w:t>年1月1日至投标截止日）4D级及以上机场民航专业工程招标代理业绩情况进行横向比较后评分，本项最高得3分。</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w:t>
            </w:r>
            <w:r>
              <w:rPr>
                <w:rFonts w:ascii="宋体" w:hAnsi="宋体"/>
                <w:szCs w:val="21"/>
                <w:lang w:val="zh-CN"/>
              </w:rPr>
              <w:t>6</w:t>
            </w:r>
            <w:r>
              <w:rPr>
                <w:rFonts w:hint="eastAsia" w:ascii="宋体" w:hAnsi="宋体"/>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959" w:type="dxa"/>
            <w:vMerge w:val="continue"/>
            <w:vAlign w:val="top"/>
          </w:tcPr>
          <w:p>
            <w:pPr>
              <w:spacing w:line="400" w:lineRule="exact"/>
              <w:jc w:val="center"/>
              <w:rPr>
                <w:rFonts w:hint="eastAsia" w:ascii="宋体" w:hAnsi="宋体"/>
                <w:szCs w:val="21"/>
                <w:lang w:val="zh-CN"/>
              </w:rPr>
            </w:pPr>
          </w:p>
        </w:tc>
        <w:tc>
          <w:tcPr>
            <w:tcW w:w="1843" w:type="dxa"/>
            <w:vAlign w:val="top"/>
          </w:tcPr>
          <w:p>
            <w:pPr>
              <w:spacing w:line="400" w:lineRule="exact"/>
              <w:rPr>
                <w:rFonts w:hint="eastAsia"/>
                <w:kern w:val="0"/>
                <w:szCs w:val="21"/>
              </w:rPr>
            </w:pPr>
            <w:r>
              <w:rPr>
                <w:kern w:val="0"/>
                <w:szCs w:val="21"/>
              </w:rPr>
              <w:t>项目负责</w:t>
            </w:r>
            <w:r>
              <w:rPr>
                <w:rFonts w:hint="eastAsia"/>
                <w:kern w:val="0"/>
                <w:szCs w:val="21"/>
              </w:rPr>
              <w:t>人业绩及</w:t>
            </w:r>
            <w:r>
              <w:rPr>
                <w:kern w:val="0"/>
                <w:szCs w:val="21"/>
              </w:rPr>
              <w:t>项目团队配备</w:t>
            </w:r>
          </w:p>
        </w:tc>
        <w:tc>
          <w:tcPr>
            <w:tcW w:w="5386" w:type="dxa"/>
            <w:vAlign w:val="top"/>
          </w:tcPr>
          <w:p>
            <w:pPr>
              <w:spacing w:line="400" w:lineRule="exact"/>
              <w:rPr>
                <w:rFonts w:ascii="宋体" w:hAnsi="宋体"/>
                <w:szCs w:val="21"/>
                <w:lang w:val="zh-CN"/>
              </w:rPr>
            </w:pPr>
            <w:r>
              <w:rPr>
                <w:rFonts w:hint="eastAsia" w:ascii="宋体" w:hAnsi="宋体"/>
                <w:szCs w:val="21"/>
                <w:lang w:val="zh-CN"/>
              </w:rPr>
              <w:t>（1）项目负责人具有造价工程师注册执业证书、高级职称的，每具有一项得1分，本项最高得2分；</w:t>
            </w:r>
          </w:p>
          <w:p>
            <w:pPr>
              <w:spacing w:line="400" w:lineRule="exact"/>
              <w:rPr>
                <w:rFonts w:ascii="宋体" w:hAnsi="宋体"/>
                <w:szCs w:val="21"/>
                <w:lang w:val="zh-CN"/>
              </w:rPr>
            </w:pPr>
            <w:r>
              <w:rPr>
                <w:rFonts w:hint="eastAsia" w:ascii="宋体" w:hAnsi="宋体"/>
                <w:szCs w:val="21"/>
                <w:lang w:val="zh-CN"/>
              </w:rPr>
              <w:t>（2）根据各投标人项目负责人近三年（2016年1月1日至投标截止日）单项中标金额</w:t>
            </w:r>
            <w:r>
              <w:rPr>
                <w:rFonts w:hint="eastAsia" w:ascii="宋体" w:hAnsi="宋体"/>
                <w:szCs w:val="21"/>
              </w:rPr>
              <w:t>3</w:t>
            </w:r>
            <w:r>
              <w:rPr>
                <w:rFonts w:hint="eastAsia" w:ascii="宋体" w:hAnsi="宋体"/>
                <w:szCs w:val="21"/>
                <w:lang w:val="zh-CN"/>
              </w:rPr>
              <w:t>000万元（不含）以上的建设工程招标代理业绩情况进行横向比较后评分，本项最高得2分；</w:t>
            </w:r>
          </w:p>
          <w:p>
            <w:pPr>
              <w:spacing w:line="400" w:lineRule="exact"/>
              <w:rPr>
                <w:rFonts w:ascii="宋体" w:hAnsi="宋体"/>
                <w:szCs w:val="21"/>
                <w:lang w:val="zh-CN"/>
              </w:rPr>
            </w:pPr>
            <w:r>
              <w:rPr>
                <w:rFonts w:hint="eastAsia" w:ascii="宋体" w:hAnsi="宋体"/>
                <w:szCs w:val="21"/>
                <w:lang w:val="zh-CN"/>
              </w:rPr>
              <w:t>（3）根据各投标人项目负责人近三年（2016年1月1日至投标截止日）4D级及以上机场民航专业工程招标代理业绩情况进行横向比较后评分，本项最高得2分；</w:t>
            </w:r>
          </w:p>
          <w:p>
            <w:pPr>
              <w:spacing w:line="400" w:lineRule="exact"/>
              <w:rPr>
                <w:rFonts w:hint="eastAsia" w:ascii="宋体" w:hAnsi="宋体"/>
                <w:color w:val="000000"/>
                <w:szCs w:val="21"/>
              </w:rPr>
            </w:pPr>
            <w:r>
              <w:rPr>
                <w:rFonts w:hint="eastAsia" w:ascii="宋体" w:hAnsi="宋体"/>
                <w:szCs w:val="21"/>
                <w:lang w:val="zh-CN"/>
              </w:rPr>
              <w:t>（4）根据项目管理团队成员（除项目负责人外）的配置情况、职称、业绩等情况横向比较后评分，本项最高得2分。</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w:t>
            </w:r>
            <w:r>
              <w:rPr>
                <w:rFonts w:ascii="宋体" w:hAnsi="宋体"/>
                <w:szCs w:val="21"/>
                <w:lang w:val="zh-CN"/>
              </w:rPr>
              <w:t>8</w:t>
            </w:r>
            <w:r>
              <w:rPr>
                <w:rFonts w:hint="eastAsia" w:ascii="宋体" w:hAnsi="宋体"/>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959" w:type="dxa"/>
            <w:vMerge w:val="continue"/>
            <w:vAlign w:val="top"/>
          </w:tcPr>
          <w:p>
            <w:pPr>
              <w:spacing w:line="400" w:lineRule="exact"/>
              <w:jc w:val="center"/>
              <w:rPr>
                <w:rFonts w:hint="eastAsia" w:ascii="宋体" w:hAnsi="宋体"/>
                <w:szCs w:val="21"/>
                <w:lang w:val="zh-CN"/>
              </w:rPr>
            </w:pPr>
          </w:p>
        </w:tc>
        <w:tc>
          <w:tcPr>
            <w:tcW w:w="1843" w:type="dxa"/>
            <w:vAlign w:val="top"/>
          </w:tcPr>
          <w:p>
            <w:pPr>
              <w:spacing w:line="400" w:lineRule="exact"/>
              <w:rPr>
                <w:kern w:val="0"/>
                <w:szCs w:val="21"/>
              </w:rPr>
            </w:pPr>
            <w:r>
              <w:rPr>
                <w:rFonts w:hint="eastAsia" w:ascii="宋体" w:hAnsi="宋体"/>
                <w:color w:val="000000"/>
                <w:szCs w:val="21"/>
                <w:lang w:val="zh-CN"/>
              </w:rPr>
              <w:t>其他情况</w:t>
            </w:r>
          </w:p>
        </w:tc>
        <w:tc>
          <w:tcPr>
            <w:tcW w:w="5386" w:type="dxa"/>
            <w:vAlign w:val="top"/>
          </w:tcPr>
          <w:p>
            <w:pPr>
              <w:spacing w:line="400" w:lineRule="exact"/>
              <w:rPr>
                <w:rFonts w:hint="eastAsia" w:ascii="宋体" w:hAnsi="宋体"/>
                <w:szCs w:val="21"/>
                <w:lang w:val="zh-CN"/>
              </w:rPr>
            </w:pPr>
            <w:r>
              <w:rPr>
                <w:rFonts w:hint="eastAsia" w:ascii="宋体" w:hAnsi="宋体"/>
                <w:color w:val="000000"/>
                <w:szCs w:val="21"/>
                <w:lang w:val="zh-CN"/>
              </w:rPr>
              <w:t>投标人具有2019年经萧山区招管办备案的《招标代理机构情况登记表》的得1分，没有不得分，需提供相应证明材料，否则不得分。</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w:t>
            </w:r>
            <w:r>
              <w:rPr>
                <w:rFonts w:ascii="宋体" w:hAnsi="宋体"/>
                <w:szCs w:val="21"/>
                <w:lang w:val="zh-CN"/>
              </w:rPr>
              <w:t>1</w:t>
            </w:r>
            <w:r>
              <w:rPr>
                <w:rFonts w:hint="eastAsia" w:ascii="宋体" w:hAnsi="宋体"/>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trPr>
        <w:tc>
          <w:tcPr>
            <w:tcW w:w="959" w:type="dxa"/>
            <w:vMerge w:val="restart"/>
            <w:vAlign w:val="top"/>
          </w:tcPr>
          <w:p>
            <w:pPr>
              <w:spacing w:line="400" w:lineRule="exact"/>
              <w:jc w:val="center"/>
              <w:rPr>
                <w:rFonts w:hint="eastAsia" w:ascii="宋体" w:hAnsi="宋体"/>
                <w:szCs w:val="21"/>
                <w:lang w:val="zh-CN"/>
              </w:rPr>
            </w:pPr>
            <w:r>
              <w:rPr>
                <w:rFonts w:hint="eastAsia" w:ascii="宋体" w:hAnsi="宋体"/>
                <w:szCs w:val="21"/>
                <w:lang w:val="zh-CN"/>
              </w:rPr>
              <w:t>技术（0-</w:t>
            </w:r>
            <w:r>
              <w:rPr>
                <w:rFonts w:ascii="宋体" w:hAnsi="宋体"/>
                <w:szCs w:val="21"/>
                <w:lang w:val="zh-CN"/>
              </w:rPr>
              <w:t>25</w:t>
            </w:r>
            <w:r>
              <w:rPr>
                <w:rFonts w:hint="eastAsia" w:ascii="宋体" w:hAnsi="宋体"/>
                <w:szCs w:val="21"/>
                <w:lang w:val="zh-CN"/>
              </w:rPr>
              <w:t>分）</w:t>
            </w:r>
          </w:p>
        </w:tc>
        <w:tc>
          <w:tcPr>
            <w:tcW w:w="1843" w:type="dxa"/>
            <w:vAlign w:val="top"/>
          </w:tcPr>
          <w:p>
            <w:pPr>
              <w:spacing w:line="400" w:lineRule="exact"/>
              <w:rPr>
                <w:rFonts w:hint="eastAsia" w:ascii="宋体" w:hAnsi="宋体"/>
                <w:szCs w:val="21"/>
                <w:lang w:val="zh-CN"/>
              </w:rPr>
            </w:pPr>
            <w:r>
              <w:rPr>
                <w:rFonts w:hint="eastAsia" w:ascii="宋体" w:hAnsi="宋体"/>
                <w:szCs w:val="21"/>
              </w:rPr>
              <w:t>代理工作方案</w:t>
            </w:r>
          </w:p>
        </w:tc>
        <w:tc>
          <w:tcPr>
            <w:tcW w:w="5386" w:type="dxa"/>
            <w:vAlign w:val="top"/>
          </w:tcPr>
          <w:p>
            <w:pPr>
              <w:spacing w:line="400" w:lineRule="exact"/>
              <w:rPr>
                <w:rFonts w:hint="eastAsia" w:ascii="宋体" w:hAnsi="宋体"/>
                <w:szCs w:val="21"/>
                <w:lang w:val="zh-CN"/>
              </w:rPr>
            </w:pPr>
            <w:r>
              <w:rPr>
                <w:rFonts w:hint="eastAsia" w:ascii="宋体" w:hAnsi="宋体"/>
                <w:color w:val="000000"/>
                <w:szCs w:val="21"/>
                <w:lang w:val="zh-CN"/>
              </w:rPr>
              <w:t>阐述代理工作方案及服务，代理工作方案描述规范、招标文件制定方案科学得15-20分；代理工作方案一般，但没大的错误、招标文件制定方案一般得8-14分；代理工作方案描述混乱、有较明显错误、招标文件制定方案有明显漏洞得7分以下。</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959" w:type="dxa"/>
            <w:vMerge w:val="continue"/>
            <w:vAlign w:val="top"/>
          </w:tcPr>
          <w:p>
            <w:pPr>
              <w:spacing w:line="400" w:lineRule="exact"/>
              <w:jc w:val="center"/>
              <w:rPr>
                <w:rFonts w:hint="eastAsia" w:ascii="宋体" w:hAnsi="宋体"/>
                <w:szCs w:val="21"/>
                <w:lang w:val="zh-CN"/>
              </w:rPr>
            </w:pPr>
          </w:p>
        </w:tc>
        <w:tc>
          <w:tcPr>
            <w:tcW w:w="1843" w:type="dxa"/>
            <w:vAlign w:val="top"/>
          </w:tcPr>
          <w:p>
            <w:pPr>
              <w:spacing w:line="400" w:lineRule="exact"/>
              <w:rPr>
                <w:rFonts w:hint="eastAsia" w:ascii="宋体" w:hAnsi="宋体"/>
                <w:szCs w:val="21"/>
              </w:rPr>
            </w:pPr>
            <w:r>
              <w:rPr>
                <w:rFonts w:hint="eastAsia" w:ascii="宋体" w:hAnsi="宋体"/>
                <w:szCs w:val="21"/>
              </w:rPr>
              <w:t>服务承诺</w:t>
            </w:r>
          </w:p>
        </w:tc>
        <w:tc>
          <w:tcPr>
            <w:tcW w:w="5386" w:type="dxa"/>
            <w:vAlign w:val="top"/>
          </w:tcPr>
          <w:p>
            <w:pPr>
              <w:spacing w:line="400" w:lineRule="exact"/>
              <w:rPr>
                <w:rFonts w:hint="eastAsia" w:ascii="宋体" w:hAnsi="宋体"/>
                <w:szCs w:val="21"/>
                <w:lang w:val="zh-CN"/>
              </w:rPr>
            </w:pPr>
            <w:r>
              <w:rPr>
                <w:rFonts w:hint="eastAsia" w:ascii="宋体" w:hAnsi="宋体"/>
                <w:color w:val="000000"/>
                <w:szCs w:val="21"/>
                <w:lang w:val="zh-CN"/>
              </w:rPr>
              <w:t>招标文件第三章服务技术标准及要求中其他配套服务要求能全部达到的</w:t>
            </w:r>
            <w:r>
              <w:rPr>
                <w:rFonts w:ascii="宋体" w:hAnsi="宋体"/>
                <w:color w:val="000000"/>
                <w:szCs w:val="21"/>
                <w:lang w:val="zh-CN"/>
              </w:rPr>
              <w:t>2</w:t>
            </w:r>
            <w:r>
              <w:rPr>
                <w:rFonts w:hint="eastAsia" w:ascii="宋体" w:hAnsi="宋体"/>
                <w:color w:val="000000"/>
                <w:szCs w:val="21"/>
                <w:lang w:val="zh-CN"/>
              </w:rPr>
              <w:t>分，有不能达到的条款，不得分。有额外的配套服务承诺，视情况给予加分，本项最高得</w:t>
            </w:r>
            <w:r>
              <w:rPr>
                <w:rFonts w:ascii="宋体" w:hAnsi="宋体"/>
                <w:color w:val="000000"/>
                <w:szCs w:val="21"/>
                <w:lang w:val="zh-CN"/>
              </w:rPr>
              <w:t>5</w:t>
            </w:r>
            <w:r>
              <w:rPr>
                <w:rFonts w:hint="eastAsia" w:ascii="宋体" w:hAnsi="宋体"/>
                <w:color w:val="000000"/>
                <w:szCs w:val="21"/>
                <w:lang w:val="zh-CN"/>
              </w:rPr>
              <w:t>分。</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w:t>
            </w:r>
            <w:r>
              <w:rPr>
                <w:rFonts w:ascii="宋体" w:hAnsi="宋体"/>
                <w:szCs w:val="21"/>
                <w:lang w:val="zh-CN"/>
              </w:rPr>
              <w:t>5</w:t>
            </w:r>
            <w:r>
              <w:rPr>
                <w:rFonts w:hint="eastAsia" w:ascii="宋体" w:hAnsi="宋体"/>
                <w:szCs w:val="21"/>
                <w:lang w:val="zh-CN"/>
              </w:rPr>
              <w:t>分</w:t>
            </w:r>
          </w:p>
        </w:tc>
      </w:tr>
    </w:tbl>
    <w:p>
      <w:pPr>
        <w:pStyle w:val="21"/>
        <w:adjustRightInd w:val="0"/>
        <w:snapToGrid w:val="0"/>
        <w:spacing w:line="400" w:lineRule="exact"/>
        <w:rPr>
          <w:rFonts w:hAnsi="宋体" w:cs="Calibri"/>
          <w:sz w:val="22"/>
          <w:szCs w:val="22"/>
        </w:rPr>
      </w:pPr>
    </w:p>
    <w:p>
      <w:pPr>
        <w:pStyle w:val="21"/>
        <w:adjustRightInd w:val="0"/>
        <w:snapToGrid w:val="0"/>
        <w:spacing w:line="400" w:lineRule="exact"/>
        <w:rPr>
          <w:rFonts w:hAnsi="宋体" w:cs="Calibri"/>
          <w:sz w:val="22"/>
          <w:szCs w:val="22"/>
        </w:rPr>
      </w:pPr>
    </w:p>
    <w:p>
      <w:pPr>
        <w:pStyle w:val="21"/>
        <w:adjustRightInd w:val="0"/>
        <w:snapToGrid w:val="0"/>
        <w:spacing w:line="400" w:lineRule="exact"/>
        <w:rPr>
          <w:rFonts w:hint="eastAsia" w:hAnsi="宋体" w:cs="Calibri"/>
          <w:sz w:val="22"/>
          <w:szCs w:val="22"/>
        </w:rPr>
      </w:pPr>
    </w:p>
    <w:p>
      <w:pPr>
        <w:pStyle w:val="21"/>
        <w:adjustRightInd w:val="0"/>
        <w:snapToGrid w:val="0"/>
        <w:spacing w:line="400" w:lineRule="exact"/>
        <w:ind w:firstLine="440" w:firstLineChars="200"/>
        <w:rPr>
          <w:rFonts w:hAnsi="宋体" w:cs="Calibri"/>
          <w:sz w:val="22"/>
          <w:szCs w:val="22"/>
        </w:rPr>
      </w:pPr>
      <w:r>
        <w:rPr>
          <w:rFonts w:hint="eastAsia" w:hAnsi="宋体" w:cs="Calibri"/>
          <w:sz w:val="22"/>
          <w:szCs w:val="22"/>
        </w:rPr>
        <w:t>标段</w:t>
      </w:r>
      <w:r>
        <w:rPr>
          <w:rFonts w:hAnsi="宋体" w:cs="Calibri"/>
          <w:sz w:val="22"/>
          <w:szCs w:val="22"/>
        </w:rPr>
        <w:t>二：</w:t>
      </w:r>
    </w:p>
    <w:tbl>
      <w:tblPr>
        <w:tblStyle w:val="5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5386"/>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959" w:type="dxa"/>
            <w:vAlign w:val="top"/>
          </w:tcPr>
          <w:p>
            <w:pPr>
              <w:spacing w:line="400" w:lineRule="exact"/>
              <w:jc w:val="center"/>
              <w:rPr>
                <w:rFonts w:hint="eastAsia" w:ascii="宋体" w:hAnsi="宋体"/>
                <w:b/>
                <w:sz w:val="24"/>
              </w:rPr>
            </w:pPr>
            <w:r>
              <w:rPr>
                <w:rFonts w:hint="eastAsia" w:ascii="宋体" w:hAnsi="宋体"/>
                <w:b/>
                <w:sz w:val="24"/>
              </w:rPr>
              <w:t>序号</w:t>
            </w:r>
          </w:p>
        </w:tc>
        <w:tc>
          <w:tcPr>
            <w:tcW w:w="1843" w:type="dxa"/>
            <w:vAlign w:val="center"/>
          </w:tcPr>
          <w:p>
            <w:pPr>
              <w:spacing w:line="400" w:lineRule="exact"/>
              <w:jc w:val="center"/>
              <w:rPr>
                <w:rFonts w:ascii="宋体" w:hAnsi="宋体"/>
                <w:b/>
                <w:sz w:val="24"/>
              </w:rPr>
            </w:pPr>
            <w:r>
              <w:rPr>
                <w:rFonts w:hint="eastAsia" w:ascii="宋体" w:hAnsi="宋体"/>
                <w:b/>
                <w:sz w:val="24"/>
              </w:rPr>
              <w:t>评分内容</w:t>
            </w:r>
          </w:p>
        </w:tc>
        <w:tc>
          <w:tcPr>
            <w:tcW w:w="5386" w:type="dxa"/>
            <w:vAlign w:val="center"/>
          </w:tcPr>
          <w:p>
            <w:pPr>
              <w:spacing w:line="400" w:lineRule="exact"/>
              <w:jc w:val="center"/>
              <w:rPr>
                <w:rFonts w:ascii="宋体" w:hAnsi="宋体"/>
                <w:b/>
                <w:sz w:val="24"/>
              </w:rPr>
            </w:pPr>
            <w:r>
              <w:rPr>
                <w:rFonts w:hint="eastAsia" w:ascii="宋体" w:hAnsi="宋体"/>
                <w:b/>
                <w:sz w:val="24"/>
              </w:rPr>
              <w:t>评分标准</w:t>
            </w:r>
          </w:p>
        </w:tc>
        <w:tc>
          <w:tcPr>
            <w:tcW w:w="1440" w:type="dxa"/>
            <w:vAlign w:val="top"/>
          </w:tcPr>
          <w:p>
            <w:pPr>
              <w:spacing w:line="400" w:lineRule="exact"/>
              <w:jc w:val="center"/>
              <w:rPr>
                <w:rFonts w:hint="eastAsia" w:ascii="宋体" w:hAnsi="宋体"/>
                <w:b/>
                <w:sz w:val="24"/>
              </w:rPr>
            </w:pPr>
            <w:r>
              <w:rPr>
                <w:rFonts w:hint="eastAsia" w:ascii="宋体" w:hAnsi="宋体"/>
                <w:b/>
                <w:sz w:val="24"/>
              </w:rPr>
              <w:t>分值</w:t>
            </w:r>
            <w:r>
              <w:rPr>
                <w:rFonts w:ascii="宋体" w:hAnsi="宋体"/>
                <w:b/>
                <w:sz w:val="24"/>
              </w:rPr>
              <w:t>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959" w:type="dxa"/>
            <w:vMerge w:val="restart"/>
            <w:vAlign w:val="top"/>
          </w:tcPr>
          <w:p>
            <w:pPr>
              <w:spacing w:line="400" w:lineRule="exact"/>
              <w:jc w:val="center"/>
              <w:rPr>
                <w:rFonts w:hint="eastAsia" w:ascii="宋体" w:hAnsi="宋体"/>
                <w:szCs w:val="21"/>
                <w:lang w:val="zh-CN"/>
              </w:rPr>
            </w:pPr>
            <w:r>
              <w:rPr>
                <w:rFonts w:hint="eastAsia" w:ascii="宋体" w:hAnsi="宋体"/>
                <w:szCs w:val="21"/>
                <w:lang w:val="zh-CN"/>
              </w:rPr>
              <w:t>资信（0-1</w:t>
            </w:r>
            <w:r>
              <w:rPr>
                <w:rFonts w:ascii="宋体" w:hAnsi="宋体"/>
                <w:szCs w:val="21"/>
                <w:lang w:val="zh-CN"/>
              </w:rPr>
              <w:t>5</w:t>
            </w:r>
            <w:r>
              <w:rPr>
                <w:rFonts w:hint="eastAsia" w:ascii="宋体" w:hAnsi="宋体"/>
                <w:szCs w:val="21"/>
                <w:lang w:val="zh-CN"/>
              </w:rPr>
              <w:t>分）</w:t>
            </w:r>
          </w:p>
        </w:tc>
        <w:tc>
          <w:tcPr>
            <w:tcW w:w="1843" w:type="dxa"/>
            <w:vAlign w:val="top"/>
          </w:tcPr>
          <w:p>
            <w:pPr>
              <w:spacing w:line="400" w:lineRule="exact"/>
              <w:rPr>
                <w:rFonts w:hint="eastAsia" w:ascii="宋体" w:hAnsi="宋体"/>
                <w:szCs w:val="21"/>
                <w:lang w:val="zh-CN"/>
              </w:rPr>
            </w:pPr>
            <w:r>
              <w:rPr>
                <w:rFonts w:hint="eastAsia"/>
                <w:kern w:val="0"/>
                <w:szCs w:val="21"/>
              </w:rPr>
              <w:t>投标人相关业绩</w:t>
            </w:r>
          </w:p>
        </w:tc>
        <w:tc>
          <w:tcPr>
            <w:tcW w:w="5386" w:type="dxa"/>
            <w:vAlign w:val="top"/>
          </w:tcPr>
          <w:p>
            <w:pPr>
              <w:spacing w:line="400" w:lineRule="exact"/>
              <w:rPr>
                <w:rFonts w:ascii="宋体" w:hAnsi="宋体"/>
                <w:color w:val="000000"/>
                <w:szCs w:val="21"/>
                <w:lang w:val="zh-CN"/>
              </w:rPr>
            </w:pPr>
            <w:r>
              <w:rPr>
                <w:rFonts w:hint="eastAsia" w:ascii="宋体" w:hAnsi="宋体"/>
                <w:color w:val="000000"/>
                <w:szCs w:val="21"/>
                <w:lang w:val="zh-CN"/>
              </w:rPr>
              <w:t>（1）根据各投标人近三年（201</w:t>
            </w:r>
            <w:r>
              <w:rPr>
                <w:rFonts w:ascii="宋体" w:hAnsi="宋体"/>
                <w:color w:val="000000"/>
                <w:szCs w:val="21"/>
                <w:lang w:val="zh-CN"/>
              </w:rPr>
              <w:t>6</w:t>
            </w:r>
            <w:r>
              <w:rPr>
                <w:rFonts w:hint="eastAsia" w:ascii="宋体" w:hAnsi="宋体"/>
                <w:color w:val="000000"/>
                <w:szCs w:val="21"/>
                <w:lang w:val="zh-CN"/>
              </w:rPr>
              <w:t>年1月1日至投标截止</w:t>
            </w:r>
            <w:r>
              <w:rPr>
                <w:rFonts w:ascii="宋体" w:hAnsi="宋体"/>
                <w:color w:val="000000"/>
                <w:szCs w:val="21"/>
                <w:lang w:val="zh-CN"/>
              </w:rPr>
              <w:t>之日</w:t>
            </w:r>
            <w:r>
              <w:rPr>
                <w:rFonts w:hint="eastAsia" w:ascii="宋体" w:hAnsi="宋体"/>
                <w:color w:val="000000"/>
                <w:szCs w:val="21"/>
                <w:lang w:val="zh-CN"/>
              </w:rPr>
              <w:t>）国内、国际单项中标金额</w:t>
            </w:r>
            <w:r>
              <w:rPr>
                <w:rFonts w:ascii="宋体" w:hAnsi="宋体"/>
                <w:color w:val="000000"/>
                <w:szCs w:val="21"/>
              </w:rPr>
              <w:t>200</w:t>
            </w:r>
            <w:r>
              <w:rPr>
                <w:rFonts w:hint="eastAsia" w:ascii="宋体" w:hAnsi="宋体"/>
                <w:color w:val="000000"/>
                <w:szCs w:val="21"/>
                <w:lang w:val="zh-CN"/>
              </w:rPr>
              <w:t>万元</w:t>
            </w:r>
            <w:r>
              <w:rPr>
                <w:rFonts w:hint="eastAsia" w:ascii="宋体" w:hAnsi="宋体"/>
                <w:color w:val="000000"/>
                <w:szCs w:val="21"/>
              </w:rPr>
              <w:t>（不含）</w:t>
            </w:r>
            <w:r>
              <w:rPr>
                <w:rFonts w:hint="eastAsia" w:ascii="宋体" w:hAnsi="宋体"/>
                <w:color w:val="000000"/>
                <w:szCs w:val="21"/>
                <w:lang w:val="zh-CN"/>
              </w:rPr>
              <w:t>以上的设备、货物及服务的招标代理业绩进行横向比较后评分，本项最高得3分；</w:t>
            </w:r>
          </w:p>
          <w:p>
            <w:pPr>
              <w:spacing w:line="400" w:lineRule="exact"/>
              <w:rPr>
                <w:rFonts w:hint="eastAsia" w:ascii="宋体" w:hAnsi="宋体"/>
                <w:color w:val="000000"/>
                <w:szCs w:val="21"/>
              </w:rPr>
            </w:pPr>
            <w:r>
              <w:rPr>
                <w:rFonts w:hint="eastAsia" w:ascii="宋体" w:hAnsi="宋体"/>
                <w:color w:val="000000"/>
                <w:szCs w:val="21"/>
                <w:lang w:val="zh-CN"/>
              </w:rPr>
              <w:t>（2）根据各投标人近三年（201</w:t>
            </w:r>
            <w:r>
              <w:rPr>
                <w:rFonts w:ascii="宋体" w:hAnsi="宋体"/>
                <w:color w:val="000000"/>
                <w:szCs w:val="21"/>
                <w:lang w:val="zh-CN"/>
              </w:rPr>
              <w:t>6</w:t>
            </w:r>
            <w:r>
              <w:rPr>
                <w:rFonts w:hint="eastAsia" w:ascii="宋体" w:hAnsi="宋体"/>
                <w:color w:val="000000"/>
                <w:szCs w:val="21"/>
                <w:lang w:val="zh-CN"/>
              </w:rPr>
              <w:t>年1月1日至投标截止</w:t>
            </w:r>
            <w:r>
              <w:rPr>
                <w:rFonts w:ascii="宋体" w:hAnsi="宋体"/>
                <w:color w:val="000000"/>
                <w:szCs w:val="21"/>
                <w:lang w:val="zh-CN"/>
              </w:rPr>
              <w:t>日</w:t>
            </w:r>
            <w:r>
              <w:rPr>
                <w:rFonts w:hint="eastAsia" w:ascii="宋体" w:hAnsi="宋体"/>
                <w:color w:val="000000"/>
                <w:szCs w:val="21"/>
                <w:lang w:val="zh-CN"/>
              </w:rPr>
              <w:t>）民航专用特种设备招标代理业绩进行横向比较后评分，本项最高得</w:t>
            </w:r>
            <w:r>
              <w:rPr>
                <w:rFonts w:ascii="宋体" w:hAnsi="宋体"/>
                <w:color w:val="000000"/>
                <w:szCs w:val="21"/>
                <w:lang w:val="zh-CN"/>
              </w:rPr>
              <w:t>3</w:t>
            </w:r>
            <w:r>
              <w:rPr>
                <w:rFonts w:hint="eastAsia" w:ascii="宋体" w:hAnsi="宋体"/>
                <w:color w:val="000000"/>
                <w:szCs w:val="21"/>
                <w:lang w:val="zh-CN"/>
              </w:rPr>
              <w:t>分。</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w:t>
            </w:r>
            <w:r>
              <w:rPr>
                <w:rFonts w:ascii="宋体" w:hAnsi="宋体"/>
                <w:szCs w:val="21"/>
                <w:lang w:val="zh-CN"/>
              </w:rPr>
              <w:t>6</w:t>
            </w:r>
            <w:r>
              <w:rPr>
                <w:rFonts w:hint="eastAsia" w:ascii="宋体" w:hAnsi="宋体"/>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1" w:hRule="atLeast"/>
        </w:trPr>
        <w:tc>
          <w:tcPr>
            <w:tcW w:w="959" w:type="dxa"/>
            <w:vMerge w:val="continue"/>
            <w:vAlign w:val="top"/>
          </w:tcPr>
          <w:p>
            <w:pPr>
              <w:spacing w:line="400" w:lineRule="exact"/>
              <w:jc w:val="center"/>
              <w:rPr>
                <w:rFonts w:hint="eastAsia" w:ascii="宋体" w:hAnsi="宋体"/>
                <w:szCs w:val="21"/>
                <w:lang w:val="zh-CN"/>
              </w:rPr>
            </w:pPr>
          </w:p>
        </w:tc>
        <w:tc>
          <w:tcPr>
            <w:tcW w:w="1843" w:type="dxa"/>
            <w:vAlign w:val="top"/>
          </w:tcPr>
          <w:p>
            <w:pPr>
              <w:spacing w:line="400" w:lineRule="exact"/>
              <w:rPr>
                <w:rFonts w:hint="eastAsia"/>
                <w:kern w:val="0"/>
                <w:szCs w:val="21"/>
              </w:rPr>
            </w:pPr>
            <w:r>
              <w:rPr>
                <w:kern w:val="0"/>
                <w:szCs w:val="21"/>
              </w:rPr>
              <w:t>项目负责</w:t>
            </w:r>
            <w:r>
              <w:rPr>
                <w:rFonts w:hint="eastAsia"/>
                <w:kern w:val="0"/>
                <w:szCs w:val="21"/>
              </w:rPr>
              <w:t>人业绩及</w:t>
            </w:r>
            <w:r>
              <w:rPr>
                <w:kern w:val="0"/>
                <w:szCs w:val="21"/>
              </w:rPr>
              <w:t>项目团队配备</w:t>
            </w:r>
          </w:p>
        </w:tc>
        <w:tc>
          <w:tcPr>
            <w:tcW w:w="5386" w:type="dxa"/>
            <w:vAlign w:val="top"/>
          </w:tcPr>
          <w:p>
            <w:pPr>
              <w:spacing w:line="400" w:lineRule="exact"/>
              <w:rPr>
                <w:rFonts w:ascii="宋体" w:hAnsi="宋体"/>
                <w:color w:val="000000"/>
                <w:szCs w:val="21"/>
              </w:rPr>
            </w:pPr>
            <w:r>
              <w:rPr>
                <w:rFonts w:hint="eastAsia" w:ascii="宋体" w:hAnsi="宋体"/>
                <w:color w:val="000000"/>
                <w:szCs w:val="21"/>
                <w:lang w:val="zh-CN"/>
              </w:rPr>
              <w:t>（1）</w:t>
            </w:r>
            <w:r>
              <w:rPr>
                <w:rFonts w:ascii="宋体" w:hAnsi="宋体"/>
                <w:color w:val="000000"/>
                <w:szCs w:val="21"/>
              </w:rPr>
              <w:t>项目负责人具有</w:t>
            </w:r>
            <w:r>
              <w:rPr>
                <w:rFonts w:hint="eastAsia" w:ascii="宋体" w:hAnsi="宋体"/>
                <w:color w:val="000000"/>
                <w:szCs w:val="21"/>
              </w:rPr>
              <w:t>高级</w:t>
            </w:r>
            <w:r>
              <w:rPr>
                <w:rFonts w:ascii="宋体" w:hAnsi="宋体"/>
                <w:color w:val="000000"/>
                <w:szCs w:val="21"/>
              </w:rPr>
              <w:t>职称</w:t>
            </w:r>
            <w:r>
              <w:rPr>
                <w:rFonts w:hint="eastAsia" w:ascii="宋体" w:hAnsi="宋体"/>
                <w:color w:val="000000"/>
                <w:szCs w:val="21"/>
              </w:rPr>
              <w:t>的得1分；</w:t>
            </w:r>
          </w:p>
          <w:p>
            <w:pPr>
              <w:spacing w:line="400" w:lineRule="exact"/>
              <w:rPr>
                <w:rFonts w:ascii="宋体" w:hAnsi="宋体"/>
                <w:color w:val="000000"/>
                <w:szCs w:val="21"/>
              </w:rPr>
            </w:pPr>
            <w:r>
              <w:rPr>
                <w:rFonts w:hint="eastAsia" w:ascii="宋体" w:hAnsi="宋体"/>
                <w:color w:val="000000"/>
                <w:szCs w:val="21"/>
              </w:rPr>
              <w:t>（2）评标委员会根据各投标人拟派项目负责人近三年（201</w:t>
            </w:r>
            <w:r>
              <w:rPr>
                <w:rFonts w:ascii="宋体" w:hAnsi="宋体"/>
                <w:color w:val="000000"/>
                <w:szCs w:val="21"/>
              </w:rPr>
              <w:t>6</w:t>
            </w:r>
            <w:r>
              <w:rPr>
                <w:rFonts w:hint="eastAsia" w:ascii="宋体" w:hAnsi="宋体"/>
                <w:color w:val="000000"/>
                <w:szCs w:val="21"/>
              </w:rPr>
              <w:t>年1月1日至投标截止日）国内、国际单项中标金额</w:t>
            </w:r>
            <w:r>
              <w:rPr>
                <w:rFonts w:ascii="宋体" w:hAnsi="宋体"/>
                <w:color w:val="000000"/>
                <w:szCs w:val="21"/>
              </w:rPr>
              <w:t>200</w:t>
            </w:r>
            <w:r>
              <w:rPr>
                <w:rFonts w:hint="eastAsia" w:ascii="宋体" w:hAnsi="宋体"/>
                <w:color w:val="000000"/>
                <w:szCs w:val="21"/>
              </w:rPr>
              <w:t>万元（不含）以上的设备、货物及服务的招标代理业绩进行横向比较后评分，本项最高得4分；</w:t>
            </w:r>
          </w:p>
          <w:p>
            <w:pPr>
              <w:spacing w:line="400" w:lineRule="exact"/>
              <w:rPr>
                <w:rFonts w:hint="eastAsia" w:ascii="宋体" w:hAnsi="宋体"/>
                <w:color w:val="000000"/>
                <w:szCs w:val="21"/>
              </w:rPr>
            </w:pPr>
            <w:r>
              <w:rPr>
                <w:rFonts w:hint="eastAsia" w:ascii="宋体" w:hAnsi="宋体"/>
                <w:color w:val="000000"/>
                <w:szCs w:val="21"/>
              </w:rPr>
              <w:t>（3）根据项目管理团队成员（除项目负责人外）的配置情况、职称、业绩等情况横向比较后评分，本项最高得3分。</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w:t>
            </w:r>
            <w:r>
              <w:rPr>
                <w:rFonts w:ascii="宋体" w:hAnsi="宋体"/>
                <w:szCs w:val="21"/>
                <w:lang w:val="zh-CN"/>
              </w:rPr>
              <w:t>8</w:t>
            </w:r>
            <w:r>
              <w:rPr>
                <w:rFonts w:hint="eastAsia" w:ascii="宋体" w:hAnsi="宋体"/>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959" w:type="dxa"/>
            <w:vMerge w:val="continue"/>
            <w:vAlign w:val="top"/>
          </w:tcPr>
          <w:p>
            <w:pPr>
              <w:spacing w:line="400" w:lineRule="exact"/>
              <w:jc w:val="center"/>
              <w:rPr>
                <w:rFonts w:hint="eastAsia" w:ascii="宋体" w:hAnsi="宋体"/>
                <w:szCs w:val="21"/>
                <w:lang w:val="zh-CN"/>
              </w:rPr>
            </w:pPr>
          </w:p>
        </w:tc>
        <w:tc>
          <w:tcPr>
            <w:tcW w:w="1843" w:type="dxa"/>
            <w:vAlign w:val="top"/>
          </w:tcPr>
          <w:p>
            <w:pPr>
              <w:spacing w:line="400" w:lineRule="exact"/>
              <w:rPr>
                <w:kern w:val="0"/>
                <w:szCs w:val="21"/>
              </w:rPr>
            </w:pPr>
            <w:r>
              <w:rPr>
                <w:rFonts w:hint="eastAsia" w:ascii="宋体" w:hAnsi="宋体"/>
                <w:color w:val="000000"/>
                <w:szCs w:val="21"/>
                <w:lang w:val="zh-CN"/>
              </w:rPr>
              <w:t>其他情况</w:t>
            </w:r>
          </w:p>
        </w:tc>
        <w:tc>
          <w:tcPr>
            <w:tcW w:w="5386" w:type="dxa"/>
            <w:vAlign w:val="top"/>
          </w:tcPr>
          <w:p>
            <w:pPr>
              <w:spacing w:line="400" w:lineRule="exact"/>
              <w:rPr>
                <w:rFonts w:hint="eastAsia" w:ascii="宋体" w:hAnsi="宋体"/>
                <w:szCs w:val="21"/>
                <w:lang w:val="zh-CN"/>
              </w:rPr>
            </w:pPr>
            <w:r>
              <w:rPr>
                <w:rFonts w:hint="eastAsia" w:ascii="宋体" w:hAnsi="宋体"/>
                <w:color w:val="000000"/>
                <w:szCs w:val="21"/>
                <w:lang w:val="zh-CN"/>
              </w:rPr>
              <w:t>投标人具有2019年经萧山区招管办备案的《招标代理机构情况登记表》的得1分，没有不得分，需提供相应证明材料，否则不得分。</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w:t>
            </w:r>
            <w:r>
              <w:rPr>
                <w:rFonts w:ascii="宋体" w:hAnsi="宋体"/>
                <w:szCs w:val="21"/>
                <w:lang w:val="zh-CN"/>
              </w:rPr>
              <w:t>1</w:t>
            </w:r>
            <w:r>
              <w:rPr>
                <w:rFonts w:hint="eastAsia" w:ascii="宋体" w:hAnsi="宋体"/>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0" w:hRule="atLeast"/>
        </w:trPr>
        <w:tc>
          <w:tcPr>
            <w:tcW w:w="959" w:type="dxa"/>
            <w:vMerge w:val="restart"/>
            <w:vAlign w:val="top"/>
          </w:tcPr>
          <w:p>
            <w:pPr>
              <w:spacing w:line="400" w:lineRule="exact"/>
              <w:jc w:val="center"/>
              <w:rPr>
                <w:rFonts w:hint="eastAsia" w:ascii="宋体" w:hAnsi="宋体"/>
                <w:szCs w:val="21"/>
                <w:lang w:val="zh-CN"/>
              </w:rPr>
            </w:pPr>
            <w:r>
              <w:rPr>
                <w:rFonts w:hint="eastAsia" w:ascii="宋体" w:hAnsi="宋体"/>
                <w:szCs w:val="21"/>
                <w:lang w:val="zh-CN"/>
              </w:rPr>
              <w:t>技术（0-2</w:t>
            </w:r>
            <w:r>
              <w:rPr>
                <w:rFonts w:ascii="宋体" w:hAnsi="宋体"/>
                <w:szCs w:val="21"/>
                <w:lang w:val="zh-CN"/>
              </w:rPr>
              <w:t>5</w:t>
            </w:r>
            <w:r>
              <w:rPr>
                <w:rFonts w:hint="eastAsia" w:ascii="宋体" w:hAnsi="宋体"/>
                <w:szCs w:val="21"/>
                <w:lang w:val="zh-CN"/>
              </w:rPr>
              <w:t>分）</w:t>
            </w:r>
          </w:p>
        </w:tc>
        <w:tc>
          <w:tcPr>
            <w:tcW w:w="1843" w:type="dxa"/>
            <w:vAlign w:val="top"/>
          </w:tcPr>
          <w:p>
            <w:pPr>
              <w:spacing w:line="400" w:lineRule="exact"/>
              <w:rPr>
                <w:rFonts w:hint="eastAsia" w:ascii="宋体" w:hAnsi="宋体"/>
                <w:szCs w:val="21"/>
                <w:lang w:val="zh-CN"/>
              </w:rPr>
            </w:pPr>
            <w:r>
              <w:rPr>
                <w:rFonts w:hint="eastAsia" w:ascii="宋体" w:hAnsi="宋体"/>
                <w:szCs w:val="21"/>
              </w:rPr>
              <w:t>代理工作方案</w:t>
            </w:r>
          </w:p>
        </w:tc>
        <w:tc>
          <w:tcPr>
            <w:tcW w:w="5386" w:type="dxa"/>
            <w:vAlign w:val="top"/>
          </w:tcPr>
          <w:p>
            <w:pPr>
              <w:spacing w:line="400" w:lineRule="exact"/>
              <w:rPr>
                <w:rFonts w:hint="eastAsia" w:ascii="宋体" w:hAnsi="宋体"/>
                <w:szCs w:val="21"/>
                <w:lang w:val="zh-CN"/>
              </w:rPr>
            </w:pPr>
            <w:r>
              <w:rPr>
                <w:rFonts w:hint="eastAsia" w:ascii="宋体" w:hAnsi="宋体"/>
                <w:color w:val="000000"/>
                <w:szCs w:val="21"/>
                <w:lang w:val="zh-CN"/>
              </w:rPr>
              <w:t>阐述代理工作方案及服务，代理工作方案描述规范、招标文件制定方案科学得15-20分；代理工作方案一般，但没大的错误、招标文件制定方案一般得8-14分；代理工作方案描述混乱、有较明显错误、招标文件制定方案有明显漏洞得7分以下。</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959" w:type="dxa"/>
            <w:vMerge w:val="continue"/>
            <w:vAlign w:val="top"/>
          </w:tcPr>
          <w:p>
            <w:pPr>
              <w:spacing w:line="400" w:lineRule="exact"/>
              <w:jc w:val="center"/>
              <w:rPr>
                <w:rFonts w:hint="eastAsia" w:ascii="宋体" w:hAnsi="宋体"/>
                <w:szCs w:val="21"/>
                <w:lang w:val="zh-CN"/>
              </w:rPr>
            </w:pPr>
          </w:p>
        </w:tc>
        <w:tc>
          <w:tcPr>
            <w:tcW w:w="1843" w:type="dxa"/>
            <w:vAlign w:val="top"/>
          </w:tcPr>
          <w:p>
            <w:pPr>
              <w:spacing w:line="400" w:lineRule="exact"/>
              <w:rPr>
                <w:rFonts w:hint="eastAsia" w:ascii="宋体" w:hAnsi="宋体"/>
                <w:szCs w:val="21"/>
              </w:rPr>
            </w:pPr>
            <w:r>
              <w:rPr>
                <w:rFonts w:hint="eastAsia" w:ascii="宋体" w:hAnsi="宋体"/>
                <w:szCs w:val="21"/>
              </w:rPr>
              <w:t>服务承诺</w:t>
            </w:r>
          </w:p>
        </w:tc>
        <w:tc>
          <w:tcPr>
            <w:tcW w:w="5386" w:type="dxa"/>
            <w:vAlign w:val="top"/>
          </w:tcPr>
          <w:p>
            <w:pPr>
              <w:spacing w:line="400" w:lineRule="exact"/>
              <w:rPr>
                <w:rFonts w:hint="eastAsia" w:ascii="宋体" w:hAnsi="宋体"/>
                <w:szCs w:val="21"/>
                <w:lang w:val="zh-CN"/>
              </w:rPr>
            </w:pPr>
            <w:r>
              <w:rPr>
                <w:rFonts w:hint="eastAsia" w:ascii="宋体" w:hAnsi="宋体"/>
                <w:color w:val="000000"/>
                <w:szCs w:val="21"/>
                <w:lang w:val="zh-CN"/>
              </w:rPr>
              <w:t>招标文件第三章服务技术标准及要求中其他配套服务要求能全部达到的</w:t>
            </w:r>
            <w:r>
              <w:rPr>
                <w:rFonts w:ascii="宋体" w:hAnsi="宋体"/>
                <w:color w:val="000000"/>
                <w:szCs w:val="21"/>
                <w:lang w:val="zh-CN"/>
              </w:rPr>
              <w:t>2</w:t>
            </w:r>
            <w:r>
              <w:rPr>
                <w:rFonts w:hint="eastAsia" w:ascii="宋体" w:hAnsi="宋体"/>
                <w:color w:val="000000"/>
                <w:szCs w:val="21"/>
                <w:lang w:val="zh-CN"/>
              </w:rPr>
              <w:t>分，有不能达到的条款，不得分。有额外的配套服务承诺，视情况给予加分，本项最高得</w:t>
            </w:r>
            <w:r>
              <w:rPr>
                <w:rFonts w:ascii="宋体" w:hAnsi="宋体"/>
                <w:color w:val="000000"/>
                <w:szCs w:val="21"/>
                <w:lang w:val="zh-CN"/>
              </w:rPr>
              <w:t>5</w:t>
            </w:r>
            <w:r>
              <w:rPr>
                <w:rFonts w:hint="eastAsia" w:ascii="宋体" w:hAnsi="宋体"/>
                <w:color w:val="000000"/>
                <w:szCs w:val="21"/>
                <w:lang w:val="zh-CN"/>
              </w:rPr>
              <w:t>分。</w:t>
            </w:r>
          </w:p>
        </w:tc>
        <w:tc>
          <w:tcPr>
            <w:tcW w:w="1440" w:type="dxa"/>
            <w:vAlign w:val="top"/>
          </w:tcPr>
          <w:p>
            <w:pPr>
              <w:spacing w:line="400" w:lineRule="exact"/>
              <w:rPr>
                <w:rFonts w:hint="eastAsia" w:ascii="宋体" w:hAnsi="宋体"/>
                <w:szCs w:val="21"/>
                <w:lang w:val="zh-CN"/>
              </w:rPr>
            </w:pPr>
            <w:r>
              <w:rPr>
                <w:rFonts w:hint="eastAsia" w:ascii="宋体" w:hAnsi="宋体"/>
                <w:szCs w:val="21"/>
                <w:lang w:val="zh-CN"/>
              </w:rPr>
              <w:t>0-</w:t>
            </w:r>
            <w:r>
              <w:rPr>
                <w:rFonts w:ascii="宋体" w:hAnsi="宋体"/>
                <w:szCs w:val="21"/>
                <w:lang w:val="zh-CN"/>
              </w:rPr>
              <w:t>5</w:t>
            </w:r>
            <w:r>
              <w:rPr>
                <w:rFonts w:hint="eastAsia" w:ascii="宋体" w:hAnsi="宋体"/>
                <w:szCs w:val="21"/>
                <w:lang w:val="zh-CN"/>
              </w:rPr>
              <w:t>分</w:t>
            </w:r>
          </w:p>
        </w:tc>
      </w:tr>
    </w:tbl>
    <w:p>
      <w:pPr>
        <w:pStyle w:val="21"/>
        <w:adjustRightInd w:val="0"/>
        <w:snapToGrid w:val="0"/>
        <w:spacing w:line="400" w:lineRule="exact"/>
        <w:ind w:firstLine="440" w:firstLineChars="200"/>
        <w:rPr>
          <w:rFonts w:hint="eastAsia" w:hAnsi="宋体" w:cs="Calibri"/>
          <w:sz w:val="22"/>
          <w:szCs w:val="22"/>
        </w:rPr>
      </w:pPr>
    </w:p>
    <w:p>
      <w:pPr>
        <w:pStyle w:val="21"/>
        <w:adjustRightInd w:val="0"/>
        <w:snapToGrid w:val="0"/>
        <w:spacing w:line="400" w:lineRule="exact"/>
        <w:ind w:firstLine="440" w:firstLineChars="200"/>
        <w:rPr>
          <w:rFonts w:hAnsi="宋体" w:cs="Calibri"/>
          <w:b/>
          <w:sz w:val="22"/>
          <w:szCs w:val="22"/>
        </w:rPr>
      </w:pPr>
      <w:r>
        <w:rPr>
          <w:rFonts w:hint="eastAsia" w:hAnsi="宋体" w:cs="Calibri"/>
          <w:b/>
          <w:sz w:val="22"/>
          <w:szCs w:val="22"/>
        </w:rPr>
        <w:t>业绩证明材料：中标通知书或代理合同复印件并加盖投标人公章，证明材料须体现中标金额及项目负责人名字，民航专业工程项目须提供民航专业工程及货物评标结果备案表或经民航监管部门备案的中标通知书（副本）复印件并加盖投标人公章，否则不予认可，原件备查。</w:t>
      </w:r>
    </w:p>
    <w:p>
      <w:pPr>
        <w:pStyle w:val="21"/>
        <w:adjustRightInd w:val="0"/>
        <w:snapToGrid w:val="0"/>
        <w:spacing w:line="400" w:lineRule="exact"/>
        <w:ind w:firstLine="440" w:firstLineChars="200"/>
        <w:rPr>
          <w:rFonts w:hAnsi="宋体" w:cs="Calibri"/>
          <w:b/>
          <w:sz w:val="22"/>
          <w:szCs w:val="22"/>
        </w:rPr>
      </w:pPr>
      <w:r>
        <w:rPr>
          <w:rFonts w:hint="eastAsia" w:hAnsi="宋体" w:cs="Calibri"/>
          <w:b/>
          <w:sz w:val="22"/>
          <w:szCs w:val="22"/>
        </w:rPr>
        <w:t>相应人员资格证书、职称证书等需提供复印件并加盖投标人公章，否则不予认可，原件备查。</w:t>
      </w:r>
    </w:p>
    <w:p>
      <w:pPr>
        <w:pStyle w:val="21"/>
        <w:adjustRightInd w:val="0"/>
        <w:snapToGrid w:val="0"/>
        <w:spacing w:line="400" w:lineRule="exact"/>
        <w:ind w:firstLine="440" w:firstLineChars="200"/>
        <w:rPr>
          <w:rFonts w:hAnsi="宋体" w:cs="Calibri"/>
          <w:b/>
          <w:sz w:val="22"/>
          <w:szCs w:val="22"/>
        </w:rPr>
      </w:pPr>
    </w:p>
    <w:p>
      <w:pPr>
        <w:pStyle w:val="21"/>
        <w:adjustRightInd w:val="0"/>
        <w:snapToGrid w:val="0"/>
        <w:spacing w:line="400" w:lineRule="exact"/>
        <w:ind w:firstLine="440" w:firstLineChars="200"/>
        <w:rPr>
          <w:rFonts w:hint="eastAsia" w:hAnsi="宋体" w:cs="Calibri"/>
          <w:b/>
          <w:sz w:val="22"/>
          <w:szCs w:val="22"/>
        </w:rPr>
      </w:pPr>
      <w:r>
        <w:rPr>
          <w:rFonts w:hAnsi="宋体" w:cs="Calibri"/>
          <w:b/>
          <w:sz w:val="22"/>
          <w:szCs w:val="22"/>
        </w:rPr>
        <w:t>3.4推荐中标候选人</w:t>
      </w:r>
    </w:p>
    <w:p>
      <w:pPr>
        <w:pStyle w:val="21"/>
        <w:adjustRightInd w:val="0"/>
        <w:snapToGrid w:val="0"/>
        <w:spacing w:line="40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.1当有效投标</w:t>
      </w:r>
      <w:r>
        <w:rPr>
          <w:rFonts w:hint="eastAsia" w:hAnsi="宋体" w:cs="Calibri"/>
          <w:sz w:val="22"/>
          <w:szCs w:val="22"/>
        </w:rPr>
        <w:t>人</w:t>
      </w:r>
      <w:r>
        <w:rPr>
          <w:rFonts w:hAnsi="宋体" w:cs="Calibri"/>
          <w:sz w:val="22"/>
          <w:szCs w:val="22"/>
        </w:rPr>
        <w:t>大于等于</w:t>
      </w:r>
      <w:r>
        <w:rPr>
          <w:rFonts w:hint="eastAsia" w:hAnsi="宋体" w:cs="Calibri"/>
          <w:sz w:val="22"/>
          <w:szCs w:val="22"/>
        </w:rPr>
        <w:t>四</w:t>
      </w:r>
      <w:r>
        <w:rPr>
          <w:rFonts w:hAnsi="宋体" w:cs="Calibri"/>
          <w:sz w:val="22"/>
          <w:szCs w:val="22"/>
        </w:rPr>
        <w:t>名时，评标委员会</w:t>
      </w:r>
      <w:r>
        <w:rPr>
          <w:rFonts w:hint="eastAsia" w:hAnsi="宋体" w:cs="Calibri"/>
          <w:sz w:val="22"/>
          <w:szCs w:val="22"/>
        </w:rPr>
        <w:t>推荐综合得分排名前四名的投标人为中标候选人（如果得分相同则按投标人报价从低到高顺序推荐为中标候选人，如果投标报价也相同，则抽签决定）。</w:t>
      </w:r>
    </w:p>
    <w:p>
      <w:pPr>
        <w:pStyle w:val="21"/>
        <w:adjustRightInd w:val="0"/>
        <w:snapToGrid w:val="0"/>
        <w:spacing w:line="40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w:t>
      </w:r>
      <w:r>
        <w:rPr>
          <w:rFonts w:hint="eastAsia" w:hAnsi="宋体" w:cs="Calibri"/>
          <w:sz w:val="22"/>
          <w:szCs w:val="22"/>
        </w:rPr>
        <w:t>2</w:t>
      </w:r>
      <w:r>
        <w:rPr>
          <w:rFonts w:hAnsi="宋体" w:cs="Calibri"/>
          <w:sz w:val="22"/>
          <w:szCs w:val="22"/>
        </w:rPr>
        <w:t xml:space="preserve"> 当有效投标</w:t>
      </w:r>
      <w:r>
        <w:rPr>
          <w:rFonts w:hint="eastAsia" w:hAnsi="宋体" w:cs="Calibri"/>
          <w:sz w:val="22"/>
          <w:szCs w:val="22"/>
        </w:rPr>
        <w:t>人</w:t>
      </w:r>
      <w:r>
        <w:rPr>
          <w:rFonts w:hAnsi="宋体" w:cs="Calibri"/>
          <w:sz w:val="22"/>
          <w:szCs w:val="22"/>
        </w:rPr>
        <w:t>等于</w:t>
      </w:r>
      <w:r>
        <w:rPr>
          <w:rFonts w:hint="eastAsia" w:hAnsi="宋体" w:cs="Calibri"/>
          <w:sz w:val="22"/>
          <w:szCs w:val="22"/>
        </w:rPr>
        <w:t>三</w:t>
      </w:r>
      <w:r>
        <w:rPr>
          <w:rFonts w:hAnsi="宋体" w:cs="Calibri"/>
          <w:sz w:val="22"/>
          <w:szCs w:val="22"/>
        </w:rPr>
        <w:t>名时，</w:t>
      </w:r>
      <w:r>
        <w:rPr>
          <w:rFonts w:hint="eastAsia" w:hAnsi="宋体" w:cs="Calibri"/>
          <w:sz w:val="22"/>
          <w:szCs w:val="22"/>
        </w:rPr>
        <w:t>经</w:t>
      </w:r>
      <w:r>
        <w:rPr>
          <w:rFonts w:hAnsi="宋体" w:cs="Calibri"/>
          <w:sz w:val="22"/>
          <w:szCs w:val="22"/>
        </w:rPr>
        <w:t>评标委员会</w:t>
      </w:r>
      <w:r>
        <w:rPr>
          <w:rFonts w:hint="eastAsia" w:hAnsi="宋体" w:cs="Calibri"/>
          <w:sz w:val="22"/>
          <w:szCs w:val="22"/>
        </w:rPr>
        <w:t>三分</w:t>
      </w:r>
      <w:r>
        <w:rPr>
          <w:rFonts w:hAnsi="宋体" w:cs="Calibri"/>
          <w:sz w:val="22"/>
          <w:szCs w:val="22"/>
        </w:rPr>
        <w:t>之二以上成员同意</w:t>
      </w:r>
      <w:r>
        <w:rPr>
          <w:rFonts w:hint="eastAsia" w:hAnsi="宋体" w:cs="Calibri"/>
          <w:sz w:val="22"/>
          <w:szCs w:val="22"/>
        </w:rPr>
        <w:t>，可推荐综合得分排名前三名的投标人为中标候选人。</w:t>
      </w:r>
    </w:p>
    <w:p>
      <w:pPr>
        <w:pStyle w:val="21"/>
        <w:adjustRightInd w:val="0"/>
        <w:snapToGrid w:val="0"/>
        <w:spacing w:line="40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 xml:space="preserve">.3 </w:t>
      </w:r>
      <w:r>
        <w:rPr>
          <w:rFonts w:hint="eastAsia" w:hAnsi="宋体" w:cs="Calibri"/>
          <w:sz w:val="22"/>
          <w:szCs w:val="22"/>
        </w:rPr>
        <w:t>当有效投标人少于三名时，招标人将重新组织招标。</w:t>
      </w:r>
    </w:p>
    <w:p>
      <w:pPr>
        <w:pStyle w:val="21"/>
        <w:spacing w:line="40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21"/>
        <w:adjustRightInd w:val="0"/>
        <w:snapToGrid w:val="0"/>
        <w:spacing w:line="40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40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21"/>
        <w:adjustRightInd w:val="0"/>
        <w:snapToGrid w:val="0"/>
        <w:spacing w:line="40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前四位的</w:t>
      </w:r>
      <w:r>
        <w:rPr>
          <w:rFonts w:hAnsi="宋体" w:cs="Calibri"/>
          <w:sz w:val="22"/>
          <w:szCs w:val="22"/>
        </w:rPr>
        <w:t>中标候选人为中标人。</w:t>
      </w:r>
      <w:r>
        <w:rPr>
          <w:rFonts w:hint="eastAsia" w:hAnsi="宋体" w:cs="Calibri"/>
          <w:sz w:val="22"/>
          <w:szCs w:val="22"/>
        </w:rPr>
        <w:t>前四位</w:t>
      </w:r>
      <w:r>
        <w:rPr>
          <w:rFonts w:hAnsi="宋体" w:cs="Calibri"/>
          <w:sz w:val="22"/>
          <w:szCs w:val="22"/>
        </w:rPr>
        <w:t>中标候选人放弃中标、因不可抗力不能履行合同、不按照招标文件要求提交履约保证金，或者被查实存在影响中标结果的违法行为等情形，不符合中标条件，</w:t>
      </w:r>
      <w:r>
        <w:rPr>
          <w:rFonts w:hint="eastAsia" w:hAnsi="宋体" w:cs="Calibri"/>
          <w:sz w:val="22"/>
          <w:szCs w:val="22"/>
        </w:rPr>
        <w:t>导致标段中标</w:t>
      </w:r>
      <w:r>
        <w:rPr>
          <w:rFonts w:hAnsi="宋体" w:cs="Calibri"/>
          <w:sz w:val="22"/>
          <w:szCs w:val="22"/>
        </w:rPr>
        <w:t>候选人不足三</w:t>
      </w:r>
      <w:r>
        <w:rPr>
          <w:rFonts w:hint="eastAsia" w:hAnsi="宋体" w:cs="Calibri"/>
          <w:sz w:val="22"/>
          <w:szCs w:val="22"/>
        </w:rPr>
        <w:t>名</w:t>
      </w:r>
      <w:r>
        <w:rPr>
          <w:rFonts w:hAnsi="宋体" w:cs="Calibri"/>
          <w:sz w:val="22"/>
          <w:szCs w:val="22"/>
        </w:rPr>
        <w:t>的，招标人</w:t>
      </w:r>
      <w:r>
        <w:rPr>
          <w:rFonts w:hint="eastAsia" w:hAnsi="宋体" w:cs="Calibri"/>
          <w:sz w:val="22"/>
          <w:szCs w:val="22"/>
        </w:rPr>
        <w:t>将</w:t>
      </w:r>
      <w:r>
        <w:rPr>
          <w:rFonts w:hAnsi="宋体" w:cs="Calibri"/>
          <w:sz w:val="22"/>
          <w:szCs w:val="22"/>
        </w:rPr>
        <w:t>重新</w:t>
      </w:r>
      <w:r>
        <w:rPr>
          <w:rFonts w:hint="eastAsia" w:hAnsi="宋体" w:cs="Calibri"/>
          <w:sz w:val="22"/>
          <w:szCs w:val="22"/>
        </w:rPr>
        <w:t>组织</w:t>
      </w:r>
      <w:r>
        <w:rPr>
          <w:rFonts w:hAnsi="宋体" w:cs="Calibri"/>
          <w:sz w:val="22"/>
          <w:szCs w:val="22"/>
        </w:rPr>
        <w:t>招标。</w:t>
      </w:r>
    </w:p>
    <w:p>
      <w:pPr>
        <w:pStyle w:val="21"/>
        <w:adjustRightInd w:val="0"/>
        <w:snapToGrid w:val="0"/>
        <w:spacing w:line="400" w:lineRule="exact"/>
        <w:ind w:firstLine="440" w:firstLineChars="200"/>
        <w:rPr>
          <w:rFonts w:hAnsi="宋体" w:cs="Calibri"/>
          <w:sz w:val="22"/>
          <w:szCs w:val="22"/>
        </w:rPr>
      </w:pPr>
      <w:r>
        <w:rPr>
          <w:rFonts w:hint="eastAsia" w:hAnsi="宋体" w:cs="Calibri"/>
          <w:sz w:val="22"/>
          <w:szCs w:val="22"/>
        </w:rPr>
        <w:t>4.2</w:t>
      </w:r>
      <w:r>
        <w:rPr>
          <w:rFonts w:hAnsi="宋体" w:cs="Calibri"/>
          <w:color w:val="000000"/>
          <w:sz w:val="22"/>
        </w:rPr>
        <w:t>中标人在收到中标通知书后，无正当理由拒签合同协议书或未按招标文件规定提交履约担保，或因投标人在投标文件中未如实填报或隐瞒不报投标人的行贿犯罪记录导致取消中标资格的</w:t>
      </w:r>
      <w:r>
        <w:rPr>
          <w:rFonts w:hAnsi="宋体" w:cs="Calibri"/>
          <w:sz w:val="22"/>
        </w:rPr>
        <w:t>；</w:t>
      </w:r>
      <w:r>
        <w:rPr>
          <w:rFonts w:hint="eastAsia" w:hAnsi="宋体" w:cs="Calibri"/>
          <w:sz w:val="22"/>
        </w:rPr>
        <w:t>投标保证金不予退回的， 如不予退回的</w:t>
      </w:r>
      <w:r>
        <w:rPr>
          <w:rFonts w:hAnsi="宋体" w:cs="Calibri"/>
          <w:sz w:val="22"/>
        </w:rPr>
        <w:t>投标保证金不能弥补由于其放弃中标权而给招标人造成中标价的差额损失的，由放弃中标权的中标候选人承担。</w:t>
      </w:r>
    </w:p>
    <w:p>
      <w:pPr>
        <w:snapToGrid w:val="0"/>
        <w:spacing w:line="400" w:lineRule="exact"/>
        <w:ind w:firstLine="550" w:firstLineChars="250"/>
        <w:rPr>
          <w:rFonts w:hint="eastAsia" w:hAnsi="宋体" w:cs="Calibri"/>
          <w:sz w:val="22"/>
        </w:rPr>
      </w:pPr>
      <w:r>
        <w:rPr>
          <w:rFonts w:hAnsi="宋体" w:cs="Calibri"/>
          <w:sz w:val="22"/>
        </w:rPr>
        <w:t>4.</w:t>
      </w:r>
      <w:r>
        <w:rPr>
          <w:rFonts w:hint="eastAsia" w:hAnsi="宋体" w:cs="Calibri"/>
          <w:sz w:val="22"/>
        </w:rPr>
        <w:t>3</w:t>
      </w:r>
      <w:r>
        <w:rPr>
          <w:rFonts w:hAnsi="宋体" w:cs="Calibri"/>
          <w:sz w:val="22"/>
        </w:rPr>
        <w:t xml:space="preserve"> 如发生投诉争议等情况时，经查实中标候选人存在违法、违规行为，不符合中标条件，且该行为在评标时是无法发现和确认的，招标人</w:t>
      </w:r>
      <w:r>
        <w:rPr>
          <w:rFonts w:hint="eastAsia" w:hAnsi="宋体" w:cs="Calibri"/>
          <w:sz w:val="22"/>
        </w:rPr>
        <w:t>将</w:t>
      </w:r>
      <w:r>
        <w:rPr>
          <w:rFonts w:hAnsi="宋体" w:cs="Calibri"/>
          <w:sz w:val="22"/>
        </w:rPr>
        <w:t>重新</w:t>
      </w:r>
      <w:r>
        <w:rPr>
          <w:rFonts w:hint="eastAsia" w:hAnsi="宋体" w:cs="Calibri"/>
          <w:sz w:val="22"/>
        </w:rPr>
        <w:t>组织</w:t>
      </w:r>
      <w:r>
        <w:rPr>
          <w:rFonts w:hAnsi="宋体" w:cs="Calibri"/>
          <w:sz w:val="22"/>
        </w:rPr>
        <w:t>招标。</w:t>
      </w:r>
      <w:bookmarkEnd w:id="116"/>
    </w:p>
    <w:p>
      <w:pPr>
        <w:snapToGrid w:val="0"/>
        <w:spacing w:line="400" w:lineRule="exact"/>
        <w:ind w:firstLine="550" w:firstLineChars="250"/>
        <w:rPr>
          <w:rFonts w:eastAsia="黑体" w:cs="Calibri"/>
          <w:color w:val="000000"/>
          <w:sz w:val="32"/>
          <w:szCs w:val="32"/>
        </w:rPr>
      </w:pPr>
      <w:r>
        <w:rPr>
          <w:rFonts w:hint="eastAsia" w:hAnsi="宋体" w:cs="Calibri"/>
          <w:sz w:val="22"/>
        </w:rPr>
        <w:t>4.4 招标人对评标、定标结果不负责解释。</w:t>
      </w:r>
    </w:p>
    <w:p>
      <w:pPr>
        <w:pStyle w:val="2"/>
        <w:spacing w:before="0" w:after="0" w:line="400" w:lineRule="exact"/>
        <w:jc w:val="center"/>
        <w:rPr>
          <w:rFonts w:eastAsia="黑体" w:cs="Calibri"/>
          <w:color w:val="000000"/>
          <w:sz w:val="32"/>
          <w:szCs w:val="32"/>
        </w:rPr>
      </w:pPr>
    </w:p>
    <w:p/>
    <w:p/>
    <w:p/>
    <w:p/>
    <w:p/>
    <w:p/>
    <w:p/>
    <w:p/>
    <w:p/>
    <w:p/>
    <w:p/>
    <w:p/>
    <w:p/>
    <w:p/>
    <w:p/>
    <w:p/>
    <w:p>
      <w:pPr>
        <w:rPr>
          <w:rFonts w:hint="eastAsia"/>
        </w:rPr>
      </w:pPr>
    </w:p>
    <w:p>
      <w:pPr>
        <w:pStyle w:val="2"/>
        <w:spacing w:before="0" w:after="0" w:line="360" w:lineRule="auto"/>
        <w:jc w:val="center"/>
        <w:rPr>
          <w:rFonts w:ascii="Calibri" w:hAnsi="Calibri" w:eastAsia="黑体" w:cs="Calibri"/>
          <w:kern w:val="0"/>
          <w:sz w:val="32"/>
        </w:rPr>
      </w:pPr>
      <w:bookmarkStart w:id="117"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7"/>
    </w:p>
    <w:p>
      <w:pPr>
        <w:spacing w:line="440" w:lineRule="exact"/>
        <w:rPr>
          <w:rFonts w:cs="Calibri"/>
          <w:color w:val="000000"/>
          <w:sz w:val="24"/>
        </w:rPr>
      </w:pPr>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rPr>
      </w:pPr>
      <w:r>
        <w:rPr>
          <w:rFonts w:ascii="宋体" w:hAnsi="宋体" w:cs="Calibri"/>
          <w:color w:val="000000"/>
          <w:sz w:val="22"/>
        </w:rPr>
        <w:t>封面</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一、</w:t>
      </w:r>
      <w:r>
        <w:rPr>
          <w:rFonts w:ascii="宋体" w:hAnsi="宋体" w:cs="Calibri"/>
          <w:color w:val="000000"/>
          <w:sz w:val="22"/>
        </w:rPr>
        <w:t>投标函；</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二、法定代表人身份</w:t>
      </w:r>
      <w:r>
        <w:rPr>
          <w:rFonts w:ascii="宋体" w:hAnsi="宋体" w:cs="Calibri"/>
          <w:color w:val="000000"/>
          <w:sz w:val="22"/>
        </w:rPr>
        <w:t>证明；</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三、</w:t>
      </w:r>
      <w:r>
        <w:rPr>
          <w:rFonts w:ascii="宋体" w:hAnsi="宋体" w:cs="Calibri"/>
          <w:color w:val="000000"/>
          <w:sz w:val="22"/>
        </w:rPr>
        <w:t>授权委托书；</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四、</w:t>
      </w:r>
      <w:r>
        <w:rPr>
          <w:rFonts w:ascii="宋体" w:hAnsi="宋体" w:cs="Calibri"/>
          <w:color w:val="000000"/>
          <w:sz w:val="22"/>
        </w:rPr>
        <w:t>投标人资格证明文件：</w:t>
      </w:r>
    </w:p>
    <w:p>
      <w:pPr>
        <w:spacing w:line="440" w:lineRule="exact"/>
        <w:ind w:firstLine="440" w:firstLineChars="200"/>
        <w:rPr>
          <w:rFonts w:ascii="宋体" w:hAnsi="宋体" w:cs="Calibri"/>
          <w:color w:val="000000"/>
          <w:sz w:val="22"/>
        </w:rPr>
      </w:pPr>
      <w:r>
        <w:rPr>
          <w:rFonts w:ascii="宋体" w:hAnsi="宋体" w:cs="Calibri"/>
          <w:color w:val="000000"/>
          <w:sz w:val="22"/>
        </w:rPr>
        <w:t>（1）投标人一般情况</w:t>
      </w:r>
      <w:r>
        <w:rPr>
          <w:rFonts w:hint="eastAsia" w:ascii="宋体" w:hAnsi="宋体" w:cs="Calibri"/>
          <w:color w:val="000000"/>
          <w:sz w:val="22"/>
        </w:rPr>
        <w:t>及</w:t>
      </w:r>
      <w:r>
        <w:rPr>
          <w:rFonts w:ascii="宋体" w:hAnsi="宋体" w:cs="Calibri"/>
          <w:color w:val="000000"/>
          <w:sz w:val="22"/>
        </w:rPr>
        <w:t>有关证明投标人法律地位的文件（包括营业执照</w:t>
      </w:r>
      <w:r>
        <w:rPr>
          <w:rFonts w:hint="eastAsia" w:ascii="宋体" w:hAnsi="宋体" w:cs="Calibri"/>
          <w:color w:val="000000"/>
          <w:sz w:val="22"/>
        </w:rPr>
        <w:t>、税务登记证、</w:t>
      </w:r>
      <w:r>
        <w:rPr>
          <w:rFonts w:ascii="宋体" w:hAnsi="宋体" w:cs="Calibri"/>
          <w:color w:val="000000"/>
          <w:sz w:val="22"/>
        </w:rPr>
        <w:t>资质</w:t>
      </w:r>
      <w:r>
        <w:rPr>
          <w:rFonts w:hint="eastAsia" w:ascii="宋体" w:hAnsi="宋体" w:cs="Calibri"/>
          <w:color w:val="000000"/>
          <w:sz w:val="22"/>
        </w:rPr>
        <w:t>证书</w:t>
      </w:r>
      <w:r>
        <w:rPr>
          <w:rFonts w:ascii="宋体" w:hAnsi="宋体" w:cs="Calibri"/>
          <w:color w:val="000000"/>
          <w:sz w:val="22"/>
        </w:rPr>
        <w:t>等），说明投标人的注册地点和主要经营范围；</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（2）信用中国网站www.creditchina.gov.cn 、中国裁判文书网http://wenshu.court.gov.cn查询结果证材料。</w:t>
      </w:r>
    </w:p>
    <w:p>
      <w:pPr>
        <w:spacing w:line="440" w:lineRule="exact"/>
        <w:ind w:firstLine="440" w:firstLineChars="200"/>
        <w:rPr>
          <w:rFonts w:ascii="宋体" w:hAnsi="宋体" w:cs="Calibri"/>
          <w:color w:val="000000"/>
          <w:sz w:val="22"/>
        </w:rPr>
      </w:pPr>
      <w:r>
        <w:rPr>
          <w:rFonts w:ascii="宋体" w:hAnsi="宋体" w:cs="Calibri"/>
          <w:color w:val="000000"/>
          <w:sz w:val="22"/>
        </w:rPr>
        <w:t>（2）有关证明投标人的企业信誉及获得各种奖励等资料；</w:t>
      </w:r>
    </w:p>
    <w:p>
      <w:pPr>
        <w:spacing w:line="440" w:lineRule="exact"/>
        <w:ind w:firstLine="440" w:firstLineChars="200"/>
        <w:rPr>
          <w:rFonts w:ascii="宋体" w:hAnsi="宋体" w:cs="Calibri"/>
          <w:color w:val="000000"/>
          <w:sz w:val="22"/>
        </w:rPr>
      </w:pPr>
      <w:r>
        <w:rPr>
          <w:rFonts w:ascii="宋体" w:hAnsi="宋体" w:cs="Calibri"/>
          <w:color w:val="000000"/>
          <w:sz w:val="22"/>
        </w:rPr>
        <w:t>（3）投标人经济实力：包括企业注册资金、财务报告与报表中反映的财务状况</w:t>
      </w:r>
      <w:r>
        <w:rPr>
          <w:rFonts w:hint="eastAsia" w:ascii="宋体" w:hAnsi="宋体" w:cs="Calibri"/>
          <w:color w:val="000000"/>
          <w:sz w:val="22"/>
        </w:rPr>
        <w:t>；</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（4）</w:t>
      </w:r>
      <w:r>
        <w:rPr>
          <w:rFonts w:ascii="宋体" w:hAnsi="宋体" w:cs="Calibri"/>
          <w:color w:val="000000"/>
          <w:sz w:val="22"/>
        </w:rPr>
        <w:t>近三年完成类似项目业绩情况</w:t>
      </w:r>
      <w:r>
        <w:rPr>
          <w:rFonts w:hint="eastAsia" w:ascii="宋体" w:hAnsi="宋体" w:cs="Calibri"/>
          <w:color w:val="000000"/>
          <w:sz w:val="22"/>
        </w:rPr>
        <w:t>；</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（5）招标文件投标人资格要求中提供的相关材料。</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五、</w:t>
      </w:r>
      <w:r>
        <w:rPr>
          <w:rFonts w:ascii="宋体" w:hAnsi="宋体" w:cs="Calibri"/>
          <w:color w:val="000000"/>
          <w:sz w:val="22"/>
        </w:rPr>
        <w:t>服务大纲</w:t>
      </w:r>
    </w:p>
    <w:p>
      <w:pPr>
        <w:spacing w:line="440" w:lineRule="exact"/>
        <w:ind w:firstLine="440" w:firstLineChars="200"/>
        <w:rPr>
          <w:rFonts w:ascii="宋体" w:hAnsi="宋体" w:cs="Calibri"/>
          <w:color w:val="000000"/>
          <w:sz w:val="22"/>
        </w:rPr>
      </w:pPr>
      <w:r>
        <w:rPr>
          <w:rFonts w:ascii="宋体" w:hAnsi="宋体" w:cs="Calibri"/>
          <w:color w:val="000000"/>
          <w:sz w:val="22"/>
        </w:rPr>
        <w:t>（1）本项目概况；</w:t>
      </w:r>
    </w:p>
    <w:p>
      <w:pPr>
        <w:spacing w:line="440" w:lineRule="exact"/>
        <w:ind w:firstLine="440" w:firstLineChars="200"/>
        <w:rPr>
          <w:rFonts w:ascii="宋体" w:hAnsi="宋体" w:cs="Calibri"/>
          <w:color w:val="000000"/>
          <w:sz w:val="22"/>
        </w:rPr>
      </w:pPr>
      <w:r>
        <w:rPr>
          <w:rFonts w:ascii="宋体" w:hAnsi="宋体" w:cs="Calibri"/>
          <w:color w:val="000000"/>
          <w:sz w:val="22"/>
        </w:rPr>
        <w:t>（2）工作内容和依据；</w:t>
      </w:r>
    </w:p>
    <w:p>
      <w:pPr>
        <w:spacing w:line="440" w:lineRule="exact"/>
        <w:ind w:firstLine="440" w:firstLineChars="200"/>
        <w:rPr>
          <w:rFonts w:ascii="宋体" w:hAnsi="宋体" w:cs="Calibri"/>
          <w:color w:val="000000"/>
          <w:sz w:val="22"/>
        </w:rPr>
      </w:pPr>
      <w:r>
        <w:rPr>
          <w:rFonts w:ascii="宋体" w:hAnsi="宋体" w:cs="Calibri"/>
          <w:color w:val="000000"/>
          <w:sz w:val="22"/>
        </w:rPr>
        <w:t>（3）</w:t>
      </w:r>
      <w:r>
        <w:rPr>
          <w:rFonts w:hint="eastAsia" w:ascii="宋体" w:hAnsi="宋体" w:cs="Calibri"/>
          <w:color w:val="000000"/>
          <w:sz w:val="22"/>
        </w:rPr>
        <w:t>机构、人力、物资配置</w:t>
      </w:r>
      <w:r>
        <w:rPr>
          <w:rFonts w:ascii="宋体" w:hAnsi="宋体" w:cs="Calibri"/>
          <w:color w:val="000000"/>
          <w:sz w:val="22"/>
        </w:rPr>
        <w:t>；</w:t>
      </w:r>
    </w:p>
    <w:p>
      <w:pPr>
        <w:spacing w:line="440" w:lineRule="exact"/>
        <w:ind w:firstLine="440" w:firstLineChars="200"/>
        <w:rPr>
          <w:rFonts w:ascii="宋体" w:hAnsi="宋体" w:cs="Calibri"/>
          <w:color w:val="000000"/>
          <w:sz w:val="22"/>
        </w:rPr>
      </w:pPr>
      <w:r>
        <w:rPr>
          <w:rFonts w:ascii="宋体" w:hAnsi="宋体" w:cs="Calibri"/>
          <w:color w:val="000000"/>
          <w:sz w:val="22"/>
        </w:rPr>
        <w:t>（4）服务人员的作业安排和进场计划；</w:t>
      </w:r>
    </w:p>
    <w:p>
      <w:pPr>
        <w:spacing w:line="440" w:lineRule="exact"/>
        <w:ind w:firstLine="440" w:firstLineChars="200"/>
        <w:rPr>
          <w:rFonts w:ascii="宋体" w:hAnsi="宋体" w:cs="Calibri"/>
          <w:color w:val="000000"/>
          <w:sz w:val="22"/>
        </w:rPr>
      </w:pPr>
      <w:r>
        <w:rPr>
          <w:rFonts w:ascii="宋体" w:hAnsi="宋体" w:cs="Calibri"/>
          <w:color w:val="000000"/>
          <w:sz w:val="22"/>
        </w:rPr>
        <w:t>（5）</w:t>
      </w:r>
      <w:r>
        <w:rPr>
          <w:rFonts w:hint="eastAsia" w:ascii="宋体" w:hAnsi="宋体" w:cs="Calibri"/>
          <w:color w:val="000000"/>
          <w:sz w:val="22"/>
        </w:rPr>
        <w:t>运行、安全、服务等相关管理方案</w:t>
      </w:r>
      <w:r>
        <w:rPr>
          <w:rFonts w:ascii="宋体" w:hAnsi="宋体" w:cs="Calibri"/>
          <w:color w:val="000000"/>
          <w:sz w:val="22"/>
        </w:rPr>
        <w:t>；</w:t>
      </w:r>
    </w:p>
    <w:p>
      <w:pPr>
        <w:spacing w:line="440" w:lineRule="exact"/>
        <w:ind w:firstLine="440" w:firstLineChars="200"/>
        <w:rPr>
          <w:rFonts w:ascii="宋体" w:hAnsi="宋体" w:cs="Calibri"/>
          <w:color w:val="000000"/>
          <w:sz w:val="22"/>
        </w:rPr>
      </w:pPr>
      <w:r>
        <w:rPr>
          <w:rFonts w:ascii="宋体" w:hAnsi="宋体" w:cs="Calibri"/>
          <w:color w:val="000000"/>
          <w:sz w:val="22"/>
        </w:rPr>
        <w:t>（6）对本项目的实施意见及重点</w:t>
      </w:r>
      <w:r>
        <w:rPr>
          <w:rFonts w:hint="eastAsia" w:ascii="宋体" w:hAnsi="宋体" w:cs="Calibri"/>
          <w:color w:val="000000"/>
          <w:sz w:val="22"/>
        </w:rPr>
        <w:t>、</w:t>
      </w:r>
      <w:r>
        <w:rPr>
          <w:rFonts w:ascii="宋体" w:hAnsi="宋体" w:cs="Calibri"/>
          <w:color w:val="000000"/>
          <w:sz w:val="22"/>
        </w:rPr>
        <w:t>难点控制；</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（7）对特殊情况的承诺以及灾害性、突发事件的应急预案；</w:t>
      </w:r>
    </w:p>
    <w:p>
      <w:pPr>
        <w:spacing w:line="44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8</w:t>
      </w:r>
      <w:r>
        <w:rPr>
          <w:rFonts w:ascii="宋体" w:hAnsi="宋体" w:cs="Calibri"/>
          <w:color w:val="000000"/>
          <w:sz w:val="22"/>
        </w:rPr>
        <w:t>）投入到本项目的项目负责人、其他人员的情况汇总表及业绩、经历、能力介绍、资格证明材料及人员到位率的承诺；</w:t>
      </w:r>
    </w:p>
    <w:p>
      <w:pPr>
        <w:spacing w:line="440" w:lineRule="exact"/>
        <w:ind w:firstLine="440" w:firstLineChars="200"/>
        <w:rPr>
          <w:rFonts w:ascii="宋体" w:hAnsi="宋体" w:cs="Calibri"/>
          <w:color w:val="000000"/>
          <w:sz w:val="22"/>
        </w:rPr>
      </w:pPr>
      <w:r>
        <w:rPr>
          <w:rFonts w:ascii="宋体" w:hAnsi="宋体" w:cs="Calibri"/>
          <w:color w:val="000000"/>
          <w:sz w:val="22"/>
        </w:rPr>
        <w:t>（</w:t>
      </w:r>
      <w:r>
        <w:rPr>
          <w:rFonts w:hint="eastAsia" w:ascii="宋体" w:hAnsi="宋体" w:cs="Calibri"/>
          <w:color w:val="000000"/>
          <w:sz w:val="22"/>
        </w:rPr>
        <w:t>9</w:t>
      </w:r>
      <w:r>
        <w:rPr>
          <w:rFonts w:ascii="宋体" w:hAnsi="宋体" w:cs="Calibri"/>
          <w:color w:val="000000"/>
          <w:sz w:val="22"/>
        </w:rPr>
        <w:t>）投入本项目服务的仪器、仪表、设备及交通工具汇总表</w:t>
      </w:r>
      <w:r>
        <w:rPr>
          <w:rFonts w:hint="eastAsia" w:ascii="宋体" w:hAnsi="宋体" w:cs="Calibri"/>
          <w:color w:val="000000"/>
          <w:sz w:val="22"/>
        </w:rPr>
        <w:t>。</w:t>
      </w:r>
    </w:p>
    <w:p>
      <w:pPr>
        <w:spacing w:line="440" w:lineRule="exact"/>
        <w:ind w:firstLine="440" w:firstLineChars="200"/>
        <w:rPr>
          <w:rFonts w:ascii="宋体" w:hAnsi="宋体" w:cs="Calibri"/>
          <w:color w:val="000000"/>
          <w:sz w:val="22"/>
        </w:rPr>
      </w:pPr>
      <w:r>
        <w:rPr>
          <w:rFonts w:hint="eastAsia" w:ascii="宋体" w:hAnsi="宋体" w:cs="Calibri"/>
          <w:color w:val="000000"/>
          <w:sz w:val="22"/>
        </w:rPr>
        <w:t>六、投标人认为</w:t>
      </w:r>
      <w:r>
        <w:rPr>
          <w:rFonts w:ascii="宋体" w:hAnsi="宋体" w:cs="Calibri"/>
          <w:color w:val="000000"/>
          <w:sz w:val="22"/>
        </w:rPr>
        <w:t>应该提供的其他材料</w:t>
      </w:r>
      <w:r>
        <w:rPr>
          <w:rFonts w:hint="eastAsia" w:ascii="宋体" w:hAnsi="宋体" w:cs="Calibri"/>
          <w:color w:val="000000"/>
          <w:sz w:val="22"/>
        </w:rPr>
        <w:t>。</w:t>
      </w:r>
    </w:p>
    <w:p>
      <w:pPr>
        <w:rPr>
          <w:rFonts w:ascii="宋体" w:hAnsi="宋体" w:cs="Calibri"/>
          <w:sz w:val="22"/>
        </w:rPr>
      </w:pPr>
    </w:p>
    <w:p>
      <w:pPr>
        <w:spacing w:line="440" w:lineRule="exact"/>
        <w:rPr>
          <w:rFonts w:ascii="宋体" w:hAnsi="宋体" w:cs="Calibri"/>
          <w:color w:val="000000"/>
          <w:sz w:val="22"/>
        </w:rPr>
      </w:pPr>
    </w:p>
    <w:p>
      <w:pPr>
        <w:spacing w:line="440" w:lineRule="exact"/>
        <w:ind w:right="420"/>
        <w:rPr>
          <w:rFonts w:hint="eastAsia" w:ascii="宋体" w:hAnsi="宋体" w:cs="Calibri"/>
          <w:color w:val="000000"/>
          <w:sz w:val="22"/>
        </w:rPr>
      </w:pPr>
      <w:r>
        <w:rPr>
          <w:rFonts w:hint="eastAsia" w:ascii="宋体" w:hAnsi="宋体" w:cs="Calibri"/>
          <w:color w:val="000000"/>
          <w:sz w:val="22"/>
        </w:rPr>
        <w:t>注：未提供格式的由投标人自行拟定格式。</w:t>
      </w:r>
    </w:p>
    <w:p>
      <w:pPr>
        <w:spacing w:line="440" w:lineRule="exact"/>
        <w:ind w:right="420"/>
        <w:jc w:val="right"/>
        <w:rPr>
          <w:rFonts w:cs="Calibri"/>
          <w:color w:val="000000"/>
        </w:rPr>
      </w:pPr>
      <w:r>
        <w:rPr>
          <w:rFonts w:cs="Calibri"/>
          <w:color w:val="000000"/>
        </w:rPr>
        <w:br w:type="page"/>
      </w:r>
      <w:r>
        <w:rPr>
          <w:rFonts w:cs="Calibri"/>
          <w:color w:val="000000"/>
        </w:rPr>
        <w:t>正本（或副本）</w:t>
      </w:r>
    </w:p>
    <w:p>
      <w:pPr>
        <w:spacing w:line="440" w:lineRule="exact"/>
        <w:rPr>
          <w:rFonts w:cs="Calibri"/>
          <w:color w:val="000000"/>
          <w:sz w:val="24"/>
          <w:u w:val="single"/>
        </w:rPr>
      </w:pPr>
      <w:bookmarkStart w:id="118" w:name="_Toc171421958"/>
      <w:r>
        <w:rPr>
          <w:rFonts w:cs="Calibri"/>
          <w:color w:val="000000"/>
        </w:rPr>
        <w:t>封面</w:t>
      </w:r>
      <w:bookmarkEnd w:id="118"/>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浙江省机场集团</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color w:val="000000"/>
          <w:sz w:val="36"/>
          <w:szCs w:val="36"/>
        </w:rPr>
      </w:pPr>
    </w:p>
    <w:p>
      <w:pPr>
        <w:spacing w:line="440" w:lineRule="exact"/>
        <w:ind w:firstLine="480" w:firstLineChars="200"/>
        <w:jc w:val="center"/>
        <w:rPr>
          <w:rFonts w:cs="Calibri"/>
          <w:color w:val="000000"/>
          <w:sz w:val="24"/>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sz w:val="24"/>
        </w:rPr>
      </w:pPr>
    </w:p>
    <w:p>
      <w:pPr>
        <w:spacing w:line="440" w:lineRule="exact"/>
        <w:ind w:firstLine="480" w:firstLineChars="200"/>
        <w:rPr>
          <w:rFonts w:cs="Calibri"/>
          <w:color w:val="000000"/>
          <w:sz w:val="24"/>
        </w:rPr>
      </w:pPr>
      <w:r>
        <w:rPr>
          <w:rFonts w:cs="Calibri"/>
          <w:color w:val="000000"/>
          <w:sz w:val="24"/>
        </w:rPr>
        <w:t xml:space="preserve">                  </w:t>
      </w: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440" w:lineRule="exact"/>
        <w:ind w:firstLine="480" w:firstLineChars="200"/>
        <w:jc w:val="center"/>
        <w:rPr>
          <w:rFonts w:cs="Calibri"/>
          <w:color w:val="000000"/>
          <w:sz w:val="24"/>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spacing w:line="360" w:lineRule="auto"/>
        <w:ind w:firstLine="1400" w:firstLineChars="500"/>
        <w:rPr>
          <w:rFonts w:cs="Calibri"/>
          <w:color w:val="000000"/>
          <w:sz w:val="28"/>
          <w:szCs w:val="28"/>
        </w:rPr>
      </w:pPr>
    </w:p>
    <w:p>
      <w:pPr>
        <w:spacing w:line="360" w:lineRule="auto"/>
        <w:jc w:val="center"/>
        <w:rPr>
          <w:rFonts w:eastAsia="黑体" w:cs="Calibri"/>
          <w:bCs/>
          <w:color w:val="000000"/>
          <w:sz w:val="32"/>
          <w:szCs w:val="32"/>
        </w:rPr>
      </w:pPr>
      <w:r>
        <w:rPr>
          <w:rFonts w:cs="Calibri"/>
          <w:color w:val="000000"/>
          <w:sz w:val="24"/>
        </w:rPr>
        <w:br w:type="page"/>
      </w:r>
      <w:r>
        <w:rPr>
          <w:rFonts w:eastAsia="黑体" w:cs="Calibri"/>
          <w:bCs/>
          <w:color w:val="000000"/>
          <w:sz w:val="32"/>
          <w:szCs w:val="32"/>
        </w:rPr>
        <w:t>一、投 标 函</w:t>
      </w:r>
    </w:p>
    <w:p>
      <w:pPr>
        <w:spacing w:line="440" w:lineRule="exact"/>
        <w:jc w:val="center"/>
        <w:rPr>
          <w:rFonts w:cs="Calibri"/>
          <w:b/>
          <w:bCs/>
          <w:color w:val="000000"/>
          <w:sz w:val="28"/>
          <w:szCs w:val="28"/>
        </w:rPr>
      </w:pPr>
    </w:p>
    <w:p>
      <w:pPr>
        <w:snapToGrid w:val="0"/>
        <w:spacing w:line="360" w:lineRule="auto"/>
        <w:rPr>
          <w:rFonts w:ascii="等线" w:hAnsi="等线" w:eastAsia="等线" w:cs="Calibri"/>
          <w:b/>
          <w:bCs/>
          <w:sz w:val="22"/>
        </w:rPr>
      </w:pPr>
      <w:r>
        <w:rPr>
          <w:rFonts w:hint="eastAsia" w:ascii="宋体" w:hAnsi="宋体"/>
          <w:sz w:val="22"/>
        </w:rPr>
        <w:t>致：浙江省机场集团有限公司</w:t>
      </w:r>
    </w:p>
    <w:p>
      <w:pPr>
        <w:snapToGrid w:val="0"/>
        <w:spacing w:line="400" w:lineRule="exact"/>
        <w:ind w:firstLine="550" w:firstLineChars="250"/>
        <w:rPr>
          <w:rFonts w:ascii="宋体" w:hAnsi="宋体"/>
          <w:sz w:val="22"/>
        </w:rPr>
      </w:pPr>
      <w:r>
        <w:rPr>
          <w:rFonts w:hint="eastAsia" w:ascii="宋体" w:hAnsi="宋体"/>
          <w:sz w:val="22"/>
        </w:rPr>
        <w:t>1、根据已收到的</w:t>
      </w:r>
      <w:r>
        <w:rPr>
          <w:rFonts w:hint="eastAsia" w:ascii="宋体" w:hAnsi="宋体"/>
          <w:sz w:val="22"/>
          <w:u w:val="single"/>
        </w:rPr>
        <w:t xml:space="preserve">                           </w:t>
      </w:r>
      <w:r>
        <w:rPr>
          <w:rFonts w:hint="eastAsia" w:ascii="宋体" w:hAnsi="宋体"/>
          <w:sz w:val="22"/>
        </w:rPr>
        <w:t>招标文件，遵照《中华人民共和国招标投标法》等有关规定，经考察现场和研究上述招标文件后，我方愿以               %的</w:t>
      </w:r>
      <w:r>
        <w:rPr>
          <w:rFonts w:ascii="宋体" w:hAnsi="宋体"/>
          <w:sz w:val="22"/>
        </w:rPr>
        <w:t>优惠率</w:t>
      </w:r>
      <w:r>
        <w:rPr>
          <w:rFonts w:hint="eastAsia" w:ascii="宋体" w:hAnsi="宋体"/>
          <w:sz w:val="22"/>
        </w:rPr>
        <w:t>报价</w:t>
      </w:r>
      <w:r>
        <w:rPr>
          <w:rFonts w:ascii="宋体" w:hAnsi="宋体"/>
          <w:sz w:val="22"/>
        </w:rPr>
        <w:t>（</w:t>
      </w:r>
      <w:r>
        <w:rPr>
          <w:rFonts w:hint="eastAsia" w:ascii="宋体" w:hAnsi="宋体"/>
          <w:sz w:val="22"/>
        </w:rPr>
        <w:t>优惠率＝招标代理服务费/国家发展改革委员会办公厅发布发改办价格［2003］857号文件的规定*100%=1-下浮率</w:t>
      </w:r>
      <w:r>
        <w:rPr>
          <w:rFonts w:ascii="宋体" w:hAnsi="宋体"/>
          <w:sz w:val="22"/>
        </w:rPr>
        <w:t>）</w:t>
      </w:r>
      <w:r>
        <w:rPr>
          <w:rFonts w:hint="eastAsia" w:ascii="宋体" w:hAnsi="宋体"/>
          <w:sz w:val="22"/>
        </w:rPr>
        <w:t>，并按上述招标文件要求承揽上述项目所有等工作。</w:t>
      </w:r>
      <w:r>
        <w:rPr>
          <w:rFonts w:ascii="宋体" w:hAnsi="宋体"/>
          <w:sz w:val="22"/>
        </w:rPr>
        <w:t xml:space="preserve"> </w:t>
      </w:r>
    </w:p>
    <w:p>
      <w:pPr>
        <w:snapToGrid w:val="0"/>
        <w:spacing w:line="400" w:lineRule="exact"/>
        <w:ind w:firstLine="550" w:firstLineChars="250"/>
        <w:rPr>
          <w:rFonts w:ascii="宋体" w:hAnsi="宋体"/>
          <w:sz w:val="22"/>
        </w:rPr>
      </w:pPr>
      <w:r>
        <w:rPr>
          <w:rFonts w:hint="eastAsia" w:ascii="宋体" w:hAnsi="宋体"/>
          <w:sz w:val="22"/>
        </w:rPr>
        <w:t>2、我方承诺：</w:t>
      </w:r>
    </w:p>
    <w:p>
      <w:pPr>
        <w:snapToGrid w:val="0"/>
        <w:spacing w:line="400" w:lineRule="exact"/>
        <w:ind w:firstLine="550" w:firstLineChars="250"/>
        <w:rPr>
          <w:rFonts w:ascii="宋体" w:hAnsi="宋体"/>
          <w:sz w:val="22"/>
        </w:rPr>
      </w:pPr>
      <w:r>
        <w:rPr>
          <w:rFonts w:hint="eastAsia" w:ascii="宋体" w:hAnsi="宋体"/>
          <w:sz w:val="22"/>
        </w:rPr>
        <w:t>（1）我方不是失信被执行人；</w:t>
      </w:r>
    </w:p>
    <w:p>
      <w:pPr>
        <w:snapToGrid w:val="0"/>
        <w:spacing w:line="400" w:lineRule="exact"/>
        <w:ind w:firstLine="550" w:firstLineChars="250"/>
        <w:rPr>
          <w:rFonts w:ascii="宋体" w:hAnsi="宋体"/>
          <w:sz w:val="22"/>
        </w:rPr>
      </w:pPr>
      <w:r>
        <w:rPr>
          <w:rFonts w:hint="eastAsia" w:ascii="宋体" w:hAnsi="宋体"/>
          <w:sz w:val="22"/>
        </w:rPr>
        <w:t>（2）我方在规定期限内无行贿犯罪记录；</w:t>
      </w:r>
    </w:p>
    <w:p>
      <w:pPr>
        <w:snapToGrid w:val="0"/>
        <w:spacing w:line="400" w:lineRule="exact"/>
        <w:ind w:firstLine="550" w:firstLineChars="250"/>
        <w:rPr>
          <w:rFonts w:ascii="宋体" w:hAnsi="宋体"/>
          <w:sz w:val="22"/>
        </w:rPr>
      </w:pPr>
      <w:r>
        <w:rPr>
          <w:rFonts w:hint="eastAsia" w:ascii="宋体" w:hAnsi="宋体"/>
          <w:sz w:val="22"/>
        </w:rPr>
        <w:t>（3）我方具有一般纳税人资格，可提供增值税专用发票。</w:t>
      </w:r>
    </w:p>
    <w:p>
      <w:pPr>
        <w:snapToGrid w:val="0"/>
        <w:spacing w:line="400" w:lineRule="exact"/>
        <w:ind w:firstLine="550" w:firstLineChars="250"/>
        <w:rPr>
          <w:rFonts w:ascii="宋体" w:hAnsi="宋体"/>
          <w:sz w:val="22"/>
        </w:rPr>
      </w:pPr>
      <w:r>
        <w:rPr>
          <w:rFonts w:hint="eastAsia" w:ascii="宋体" w:hAnsi="宋体"/>
          <w:sz w:val="22"/>
        </w:rPr>
        <w:t>3、如我方中标，我方承诺：</w:t>
      </w:r>
    </w:p>
    <w:p>
      <w:pPr>
        <w:snapToGrid w:val="0"/>
        <w:spacing w:line="400" w:lineRule="exact"/>
        <w:ind w:firstLine="550" w:firstLineChars="250"/>
        <w:rPr>
          <w:rFonts w:ascii="宋体" w:hAnsi="宋体"/>
          <w:sz w:val="22"/>
        </w:rPr>
      </w:pPr>
      <w:r>
        <w:rPr>
          <w:rFonts w:hint="eastAsia" w:ascii="宋体" w:hAnsi="宋体"/>
          <w:sz w:val="22"/>
        </w:rPr>
        <w:t>(1)在收到中标通知书后，在中标通知书规定的期限内与你方签订合同；</w:t>
      </w:r>
    </w:p>
    <w:p>
      <w:pPr>
        <w:snapToGrid w:val="0"/>
        <w:spacing w:line="400" w:lineRule="exact"/>
        <w:ind w:firstLine="550" w:firstLineChars="250"/>
        <w:rPr>
          <w:rFonts w:ascii="宋体" w:hAnsi="宋体"/>
          <w:sz w:val="22"/>
        </w:rPr>
      </w:pPr>
      <w:r>
        <w:rPr>
          <w:rFonts w:hint="eastAsia" w:ascii="宋体" w:hAnsi="宋体"/>
          <w:sz w:val="22"/>
        </w:rPr>
        <w:t>(2)在签订合同时不向你方提出附加条件；</w:t>
      </w:r>
    </w:p>
    <w:p>
      <w:pPr>
        <w:snapToGrid w:val="0"/>
        <w:spacing w:line="400" w:lineRule="exact"/>
        <w:ind w:firstLine="550" w:firstLineChars="250"/>
        <w:rPr>
          <w:rFonts w:ascii="宋体" w:hAnsi="宋体"/>
          <w:sz w:val="22"/>
        </w:rPr>
      </w:pPr>
      <w:r>
        <w:rPr>
          <w:rFonts w:hint="eastAsia" w:ascii="宋体" w:hAnsi="宋体"/>
          <w:sz w:val="22"/>
        </w:rPr>
        <w:t>(3)按照招标文件要求提交履约保证金；</w:t>
      </w:r>
    </w:p>
    <w:p>
      <w:pPr>
        <w:snapToGrid w:val="0"/>
        <w:spacing w:line="400" w:lineRule="exact"/>
        <w:ind w:firstLine="550" w:firstLineChars="250"/>
        <w:rPr>
          <w:rFonts w:ascii="宋体" w:hAnsi="宋体"/>
          <w:sz w:val="22"/>
        </w:rPr>
      </w:pPr>
      <w:r>
        <w:rPr>
          <w:rFonts w:hint="eastAsia" w:ascii="宋体" w:hAnsi="宋体"/>
          <w:sz w:val="22"/>
        </w:rPr>
        <w:t>(4)在合同约定的期限内完成合同规定的全部义务。</w:t>
      </w:r>
    </w:p>
    <w:p>
      <w:pPr>
        <w:snapToGrid w:val="0"/>
        <w:spacing w:line="400" w:lineRule="exact"/>
        <w:ind w:firstLine="550" w:firstLineChars="250"/>
        <w:rPr>
          <w:rFonts w:ascii="宋体" w:hAnsi="宋体"/>
          <w:sz w:val="22"/>
        </w:rPr>
      </w:pPr>
      <w:r>
        <w:rPr>
          <w:rFonts w:hint="eastAsia" w:ascii="宋体" w:hAnsi="宋体"/>
          <w:sz w:val="22"/>
        </w:rPr>
        <w:t>4、我方同意所递交的投标文件在“前附表”规定的投标有效期内有效，在此期间内我方的投标有可能中标，我方将受此约束。</w:t>
      </w:r>
    </w:p>
    <w:p>
      <w:pPr>
        <w:snapToGrid w:val="0"/>
        <w:spacing w:line="400" w:lineRule="exact"/>
        <w:ind w:firstLine="440" w:firstLineChars="200"/>
        <w:rPr>
          <w:rFonts w:ascii="宋体" w:hAnsi="宋体"/>
          <w:sz w:val="22"/>
        </w:rPr>
      </w:pPr>
      <w:r>
        <w:rPr>
          <w:rFonts w:hint="eastAsia" w:ascii="宋体" w:hAnsi="宋体"/>
          <w:sz w:val="22"/>
        </w:rPr>
        <w:t xml:space="preserve"> 5、除非另外达成协议并生效，你方的中标通知书和本投标文件将构成约束我们双方的合同。</w:t>
      </w:r>
    </w:p>
    <w:p>
      <w:pPr>
        <w:snapToGrid w:val="0"/>
        <w:spacing w:line="400" w:lineRule="exact"/>
        <w:ind w:firstLine="550" w:firstLineChars="250"/>
        <w:rPr>
          <w:rFonts w:ascii="宋体" w:hAnsi="宋体"/>
          <w:sz w:val="22"/>
        </w:rPr>
      </w:pPr>
      <w:r>
        <w:rPr>
          <w:rFonts w:hint="eastAsia" w:ascii="宋体" w:hAnsi="宋体"/>
          <w:sz w:val="22"/>
        </w:rPr>
        <w:t>6、我方已详细审查招标文件包括澄清函和修改文件(若有)、所有已提供的资料以及有关附件，我司已完全理解上述文件的全部内容，并放弃提出任何误解或不明作为抗辩的权利。</w:t>
      </w:r>
    </w:p>
    <w:p>
      <w:pPr>
        <w:snapToGrid w:val="0"/>
        <w:spacing w:line="400" w:lineRule="exact"/>
        <w:ind w:firstLine="550" w:firstLineChars="250"/>
        <w:rPr>
          <w:rFonts w:ascii="宋体" w:hAnsi="宋体"/>
          <w:sz w:val="22"/>
        </w:rPr>
      </w:pPr>
      <w:r>
        <w:rPr>
          <w:rFonts w:hint="eastAsia" w:ascii="宋体" w:hAnsi="宋体"/>
          <w:sz w:val="22"/>
        </w:rPr>
        <w:t>7、我方同意按照你方可能提出的要求，提供有关的任何其它数字或资料，并对贵方可能不接受最低报价及任何报价表示理解。</w:t>
      </w:r>
    </w:p>
    <w:p>
      <w:pPr>
        <w:snapToGrid w:val="0"/>
        <w:spacing w:line="440" w:lineRule="exact"/>
        <w:rPr>
          <w:rFonts w:hint="eastAsia" w:ascii="等线" w:hAnsi="等线" w:eastAsia="等线" w:cs="Calibri"/>
          <w:color w:val="000000"/>
          <w:szCs w:val="21"/>
        </w:rPr>
      </w:pPr>
    </w:p>
    <w:p>
      <w:pPr>
        <w:snapToGrid w:val="0"/>
        <w:spacing w:line="400" w:lineRule="exact"/>
        <w:ind w:firstLine="550" w:firstLineChars="250"/>
        <w:jc w:val="center"/>
        <w:rPr>
          <w:rFonts w:ascii="宋体" w:hAnsi="宋体"/>
          <w:sz w:val="22"/>
        </w:rPr>
      </w:pPr>
      <w:r>
        <w:rPr>
          <w:rFonts w:ascii="宋体" w:hAnsi="宋体"/>
          <w:sz w:val="22"/>
        </w:rPr>
        <w:t>投标人：（盖单位章）</w:t>
      </w:r>
    </w:p>
    <w:p>
      <w:pPr>
        <w:snapToGrid w:val="0"/>
        <w:spacing w:line="400" w:lineRule="exact"/>
        <w:ind w:firstLine="550" w:firstLineChars="250"/>
        <w:jc w:val="center"/>
        <w:rPr>
          <w:rFonts w:ascii="宋体" w:hAnsi="宋体"/>
          <w:sz w:val="22"/>
        </w:rPr>
      </w:pPr>
      <w:r>
        <w:rPr>
          <w:rFonts w:hint="eastAsia" w:ascii="宋体" w:hAnsi="宋体"/>
          <w:sz w:val="22"/>
        </w:rPr>
        <w:t xml:space="preserve">                    </w:t>
      </w:r>
      <w:r>
        <w:rPr>
          <w:rFonts w:ascii="宋体" w:hAnsi="宋体"/>
          <w:sz w:val="22"/>
        </w:rPr>
        <w:t>法定代表人或其委托代理人：（签字或盖章）</w:t>
      </w:r>
    </w:p>
    <w:p>
      <w:pPr>
        <w:snapToGrid w:val="0"/>
        <w:spacing w:line="400" w:lineRule="exact"/>
        <w:ind w:firstLine="3960" w:firstLineChars="1800"/>
        <w:rPr>
          <w:rFonts w:ascii="宋体" w:hAnsi="宋体"/>
          <w:sz w:val="22"/>
        </w:rPr>
      </w:pPr>
      <w:r>
        <w:rPr>
          <w:rFonts w:ascii="宋体" w:hAnsi="宋体"/>
          <w:sz w:val="22"/>
        </w:rPr>
        <w:t>地    址：</w:t>
      </w:r>
    </w:p>
    <w:p>
      <w:pPr>
        <w:snapToGrid w:val="0"/>
        <w:spacing w:line="400" w:lineRule="exact"/>
        <w:ind w:firstLine="3960" w:firstLineChars="1800"/>
        <w:rPr>
          <w:rFonts w:ascii="宋体" w:hAnsi="宋体"/>
          <w:sz w:val="22"/>
        </w:rPr>
      </w:pPr>
      <w:r>
        <w:rPr>
          <w:rFonts w:ascii="宋体" w:hAnsi="宋体"/>
          <w:sz w:val="22"/>
        </w:rPr>
        <w:t>邮政编码：</w:t>
      </w:r>
    </w:p>
    <w:p>
      <w:pPr>
        <w:snapToGrid w:val="0"/>
        <w:spacing w:line="400" w:lineRule="exact"/>
        <w:ind w:firstLine="3960" w:firstLineChars="1800"/>
        <w:rPr>
          <w:rFonts w:ascii="宋体" w:hAnsi="宋体"/>
          <w:sz w:val="22"/>
        </w:rPr>
      </w:pPr>
      <w:r>
        <w:rPr>
          <w:rFonts w:ascii="宋体" w:hAnsi="宋体"/>
          <w:sz w:val="22"/>
        </w:rPr>
        <w:t>电    话：</w:t>
      </w:r>
    </w:p>
    <w:p>
      <w:pPr>
        <w:snapToGrid w:val="0"/>
        <w:spacing w:line="400" w:lineRule="exact"/>
        <w:ind w:firstLine="3960" w:firstLineChars="1800"/>
        <w:rPr>
          <w:rFonts w:ascii="宋体" w:hAnsi="宋体"/>
          <w:sz w:val="22"/>
        </w:rPr>
      </w:pPr>
      <w:r>
        <w:rPr>
          <w:rFonts w:ascii="宋体" w:hAnsi="宋体"/>
          <w:sz w:val="22"/>
        </w:rPr>
        <w:t>传    真：</w:t>
      </w:r>
    </w:p>
    <w:p>
      <w:pPr>
        <w:snapToGrid w:val="0"/>
        <w:spacing w:line="400" w:lineRule="exact"/>
        <w:ind w:firstLine="3960" w:firstLineChars="1800"/>
        <w:rPr>
          <w:rFonts w:ascii="宋体" w:hAnsi="宋体"/>
          <w:sz w:val="22"/>
        </w:rPr>
      </w:pPr>
      <w:r>
        <w:rPr>
          <w:rFonts w:ascii="宋体" w:hAnsi="宋体"/>
          <w:sz w:val="22"/>
        </w:rPr>
        <w:t>开户银行：</w:t>
      </w:r>
    </w:p>
    <w:p>
      <w:pPr>
        <w:snapToGrid w:val="0"/>
        <w:spacing w:line="400" w:lineRule="exact"/>
        <w:ind w:firstLine="3960" w:firstLineChars="1800"/>
        <w:rPr>
          <w:rFonts w:ascii="宋体" w:hAnsi="宋体"/>
          <w:sz w:val="22"/>
        </w:rPr>
      </w:pPr>
      <w:r>
        <w:rPr>
          <w:rFonts w:ascii="宋体" w:hAnsi="宋体"/>
          <w:sz w:val="22"/>
        </w:rPr>
        <w:t>账    号：</w:t>
      </w:r>
    </w:p>
    <w:p>
      <w:pPr>
        <w:snapToGrid w:val="0"/>
        <w:spacing w:line="400" w:lineRule="exact"/>
        <w:ind w:firstLine="550" w:firstLineChars="250"/>
        <w:jc w:val="center"/>
        <w:rPr>
          <w:rFonts w:ascii="宋体" w:hAnsi="宋体"/>
          <w:sz w:val="22"/>
        </w:rPr>
      </w:pPr>
      <w:r>
        <w:rPr>
          <w:rFonts w:ascii="宋体" w:hAnsi="宋体"/>
          <w:sz w:val="22"/>
        </w:rPr>
        <w:t xml:space="preserve">           日    期：    年     月     日</w:t>
      </w:r>
      <w:r>
        <w:rPr>
          <w:rFonts w:ascii="宋体" w:hAnsi="宋体"/>
          <w:sz w:val="22"/>
        </w:rPr>
        <w:br w:type="page"/>
      </w:r>
    </w:p>
    <w:p>
      <w:pPr>
        <w:adjustRightInd w:val="0"/>
        <w:snapToGrid w:val="0"/>
        <w:jc w:val="center"/>
        <w:rPr>
          <w:rFonts w:eastAsia="黑体" w:cs="Calibri"/>
          <w:color w:val="000000"/>
          <w:sz w:val="32"/>
          <w:szCs w:val="32"/>
        </w:rPr>
      </w:pP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sz w:val="24"/>
        </w:rPr>
      </w:pPr>
    </w:p>
    <w:p>
      <w:pPr>
        <w:spacing w:after="120" w:afterLines="50" w:line="440" w:lineRule="exact"/>
        <w:rPr>
          <w:rFonts w:cs="Calibri"/>
          <w:color w:val="000000"/>
          <w:szCs w:val="21"/>
          <w:u w:val="single"/>
        </w:rPr>
      </w:pPr>
      <w:r>
        <w:rPr>
          <w:rFonts w:cs="Calibri"/>
          <w:color w:val="000000"/>
          <w:szCs w:val="21"/>
        </w:rPr>
        <w:t>投标人名称：</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单位性质：</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地址：</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成立时间：</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pacing w:after="120" w:afterLines="50" w:line="440" w:lineRule="exact"/>
        <w:rPr>
          <w:rFonts w:cs="Calibri"/>
          <w:color w:val="000000"/>
          <w:szCs w:val="21"/>
          <w:u w:val="single"/>
        </w:rPr>
      </w:pPr>
      <w:r>
        <w:rPr>
          <w:rFonts w:cs="Calibri"/>
          <w:color w:val="000000"/>
          <w:szCs w:val="21"/>
        </w:rPr>
        <w:t>经营期限：</w:t>
      </w:r>
      <w:r>
        <w:rPr>
          <w:rFonts w:cs="Calibri"/>
          <w:color w:val="000000"/>
          <w:szCs w:val="21"/>
          <w:u w:val="single"/>
        </w:rPr>
        <w:t xml:space="preserve">                                     </w:t>
      </w:r>
    </w:p>
    <w:p>
      <w:pPr>
        <w:spacing w:after="120" w:afterLines="50" w:line="440" w:lineRule="exact"/>
        <w:rPr>
          <w:rFonts w:cs="Calibri"/>
          <w:color w:val="000000"/>
          <w:szCs w:val="21"/>
          <w:u w:val="single"/>
        </w:rPr>
      </w:pPr>
      <w:r>
        <w:rPr>
          <w:rFonts w:cs="Calibri"/>
          <w:color w:val="000000"/>
          <w:szCs w:val="21"/>
        </w:rPr>
        <w:t>姓名：</w:t>
      </w:r>
      <w:r>
        <w:rPr>
          <w:rFonts w:cs="Calibri"/>
          <w:color w:val="000000"/>
          <w:szCs w:val="21"/>
          <w:u w:val="single"/>
        </w:rPr>
        <w:t xml:space="preserve">         </w:t>
      </w:r>
      <w:r>
        <w:rPr>
          <w:rFonts w:cs="Calibri"/>
          <w:color w:val="000000"/>
          <w:szCs w:val="21"/>
        </w:rPr>
        <w:t xml:space="preserve">  性别：</w:t>
      </w:r>
      <w:r>
        <w:rPr>
          <w:rFonts w:cs="Calibri"/>
          <w:color w:val="000000"/>
          <w:szCs w:val="21"/>
          <w:u w:val="single"/>
        </w:rPr>
        <w:t xml:space="preserve">         </w:t>
      </w:r>
      <w:r>
        <w:rPr>
          <w:rFonts w:cs="Calibri"/>
          <w:color w:val="000000"/>
          <w:szCs w:val="21"/>
        </w:rPr>
        <w:t xml:space="preserve">  年龄：</w:t>
      </w:r>
      <w:r>
        <w:rPr>
          <w:rFonts w:cs="Calibri"/>
          <w:color w:val="000000"/>
          <w:szCs w:val="21"/>
          <w:u w:val="single"/>
        </w:rPr>
        <w:t xml:space="preserve">         </w:t>
      </w:r>
      <w:r>
        <w:rPr>
          <w:rFonts w:cs="Calibri"/>
          <w:color w:val="000000"/>
          <w:szCs w:val="21"/>
        </w:rPr>
        <w:t xml:space="preserve">  职务：</w:t>
      </w:r>
      <w:r>
        <w:rPr>
          <w:rFonts w:cs="Calibri"/>
          <w:color w:val="000000"/>
          <w:szCs w:val="21"/>
          <w:u w:val="single"/>
        </w:rPr>
        <w:t xml:space="preserve">         </w:t>
      </w:r>
      <w:r>
        <w:rPr>
          <w:rFonts w:cs="Calibri"/>
          <w:color w:val="000000"/>
          <w:szCs w:val="21"/>
        </w:rPr>
        <w:t xml:space="preserve">  </w:t>
      </w:r>
    </w:p>
    <w:p>
      <w:pPr>
        <w:spacing w:after="120" w:afterLines="50" w:line="440" w:lineRule="exact"/>
        <w:rPr>
          <w:rFonts w:cs="Calibri"/>
          <w:color w:val="000000"/>
          <w:szCs w:val="21"/>
          <w:u w:val="single"/>
        </w:rPr>
      </w:pPr>
      <w:r>
        <w:rPr>
          <w:rFonts w:cs="Calibri"/>
          <w:color w:val="000000"/>
          <w:szCs w:val="21"/>
        </w:rPr>
        <w:t>身份证号码：</w:t>
      </w:r>
      <w:r>
        <w:rPr>
          <w:rFonts w:cs="Calibri"/>
          <w:color w:val="000000"/>
          <w:szCs w:val="21"/>
          <w:u w:val="single"/>
        </w:rPr>
        <w:t xml:space="preserve">                           </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 xml:space="preserve">    系</w:t>
      </w:r>
      <w:r>
        <w:rPr>
          <w:rFonts w:cs="Calibri"/>
          <w:color w:val="000000"/>
          <w:szCs w:val="21"/>
          <w:u w:val="single"/>
        </w:rPr>
        <w:t xml:space="preserve">                          </w:t>
      </w:r>
      <w:r>
        <w:rPr>
          <w:rFonts w:cs="Calibri"/>
          <w:color w:val="000000"/>
          <w:szCs w:val="21"/>
        </w:rPr>
        <w:t>（投标人名称）的法定代表人。</w:t>
      </w:r>
    </w:p>
    <w:p>
      <w:pPr>
        <w:spacing w:line="440" w:lineRule="exact"/>
        <w:ind w:firstLine="560"/>
        <w:rPr>
          <w:rFonts w:cs="Calibri"/>
          <w:color w:val="000000"/>
          <w:szCs w:val="21"/>
        </w:rPr>
      </w:pPr>
    </w:p>
    <w:p>
      <w:pPr>
        <w:spacing w:line="440" w:lineRule="exact"/>
        <w:rPr>
          <w:rFonts w:cs="Calibri"/>
          <w:color w:val="000000"/>
          <w:szCs w:val="21"/>
        </w:rPr>
      </w:pPr>
      <w:r>
        <w:rPr>
          <w:rFonts w:cs="Calibri"/>
          <w:color w:val="000000"/>
          <w:szCs w:val="21"/>
        </w:rPr>
        <w:t>特此证明。</w:t>
      </w:r>
    </w:p>
    <w:p>
      <w:pPr>
        <w:spacing w:line="440" w:lineRule="exact"/>
        <w:rPr>
          <w:rFonts w:cs="Calibri"/>
          <w:color w:val="000000"/>
          <w:szCs w:val="21"/>
        </w:rPr>
      </w:pPr>
      <w:r>
        <w:rPr>
          <w:rFonts w:cs="Calibri"/>
          <w:color w:val="000000"/>
          <w:szCs w:val="21"/>
        </w:rPr>
        <w:t>附：法定代表人身份证复印件</w:t>
      </w:r>
    </w:p>
    <w:p>
      <w:pPr>
        <w:spacing w:line="440" w:lineRule="exact"/>
        <w:rPr>
          <w:rFonts w:cs="Calibri"/>
          <w:color w:val="000000"/>
          <w:szCs w:val="21"/>
        </w:rPr>
      </w:pPr>
      <w:r>
        <w:rPr>
          <w:rFonts w:cs="Calibri"/>
          <w:color w:val="000000"/>
          <w:szCs w:val="21"/>
        </w:rPr>
        <w:t xml:space="preserve">投标人：（盖单位章） </w:t>
      </w:r>
    </w:p>
    <w:p>
      <w:pPr>
        <w:spacing w:line="440" w:lineRule="exact"/>
        <w:ind w:firstLine="6216" w:firstLineChars="2960"/>
        <w:rPr>
          <w:rFonts w:cs="Calibri"/>
          <w:b/>
          <w:color w:val="000000"/>
          <w:szCs w:val="21"/>
        </w:rPr>
      </w:pPr>
      <w:r>
        <w:rPr>
          <w:rFonts w:cs="Calibri"/>
          <w:b/>
          <w:color w:val="000000"/>
          <w:szCs w:val="21"/>
          <w:lang/>
        </w:rPr>
        <w:pict>
          <v:shape id="Text Box 6" o:spid="_x0000_s1026" o:spt="202" type="#_x0000_t202" style="position:absolute;left:0pt;margin-left:0pt;margin-top:31.2pt;height:171.6pt;width:423pt;mso-wrap-distance-bottom:0pt;mso-wrap-distance-left:9pt;mso-wrap-distance-right:9pt;mso-wrap-distance-top:0pt;z-index:251658240;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color w:val="000000"/>
          <w:szCs w:val="21"/>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20" w:firstLineChars="200"/>
        <w:rPr>
          <w:rFonts w:cs="Calibri"/>
          <w:color w:val="000000"/>
          <w:szCs w:val="21"/>
        </w:rPr>
      </w:pPr>
    </w:p>
    <w:p>
      <w:pPr>
        <w:spacing w:line="440" w:lineRule="exact"/>
        <w:ind w:firstLine="440" w:firstLineChars="200"/>
        <w:rPr>
          <w:rFonts w:cs="Calibri"/>
          <w:color w:val="000000"/>
          <w:sz w:val="22"/>
        </w:rPr>
      </w:pPr>
      <w:r>
        <w:rPr>
          <w:rFonts w:cs="Calibri"/>
          <w:color w:val="000000"/>
          <w:sz w:val="22"/>
        </w:rPr>
        <w:t>本人</w:t>
      </w:r>
      <w:r>
        <w:rPr>
          <w:rFonts w:cs="Calibri"/>
          <w:color w:val="000000"/>
          <w:sz w:val="22"/>
          <w:u w:val="single"/>
        </w:rPr>
        <w:t xml:space="preserve">        </w:t>
      </w:r>
      <w:r>
        <w:rPr>
          <w:rFonts w:cs="Calibri"/>
          <w:color w:val="000000"/>
          <w:sz w:val="22"/>
        </w:rPr>
        <w:t>（姓名）系</w:t>
      </w:r>
      <w:r>
        <w:rPr>
          <w:rFonts w:cs="Calibri"/>
          <w:color w:val="000000"/>
          <w:sz w:val="22"/>
          <w:u w:val="single"/>
        </w:rPr>
        <w:t xml:space="preserve">                </w:t>
      </w:r>
      <w:r>
        <w:rPr>
          <w:rFonts w:cs="Calibri"/>
          <w:color w:val="000000"/>
          <w:sz w:val="22"/>
        </w:rPr>
        <w:t>（投标人名称）的法定代表人，现委托</w:t>
      </w:r>
      <w:r>
        <w:rPr>
          <w:rFonts w:cs="Calibri"/>
          <w:color w:val="000000"/>
          <w:sz w:val="22"/>
          <w:u w:val="single"/>
        </w:rPr>
        <w:t xml:space="preserve">      </w:t>
      </w:r>
      <w:r>
        <w:rPr>
          <w:rFonts w:cs="Calibri"/>
          <w:color w:val="000000"/>
          <w:sz w:val="22"/>
        </w:rPr>
        <w:t>（姓名）为我方代理人。代理人根据授权，以我方名义签署、澄清、说明、补正、递交、撤回、修改</w:t>
      </w:r>
      <w:r>
        <w:rPr>
          <w:rFonts w:cs="Calibri"/>
          <w:color w:val="000000"/>
          <w:sz w:val="22"/>
          <w:u w:val="single"/>
        </w:rPr>
        <w:t xml:space="preserve">              </w:t>
      </w:r>
      <w:r>
        <w:rPr>
          <w:rFonts w:cs="Calibri"/>
          <w:color w:val="000000"/>
          <w:sz w:val="22"/>
        </w:rPr>
        <w:t>（项目名称）投标文件、签订合同和处理有关事宜，其法律后果由我方承担。</w:t>
      </w:r>
    </w:p>
    <w:p>
      <w:pPr>
        <w:spacing w:line="440" w:lineRule="exact"/>
        <w:ind w:firstLine="440" w:firstLineChars="200"/>
        <w:rPr>
          <w:rFonts w:cs="Calibri"/>
          <w:color w:val="000000"/>
          <w:sz w:val="22"/>
        </w:rPr>
      </w:pPr>
      <w:r>
        <w:rPr>
          <w:rFonts w:cs="Calibri"/>
          <w:color w:val="000000"/>
          <w:sz w:val="22"/>
        </w:rPr>
        <w:t>代理人无转委托权。</w:t>
      </w:r>
    </w:p>
    <w:p>
      <w:pPr>
        <w:spacing w:line="440" w:lineRule="exact"/>
        <w:ind w:firstLine="440" w:firstLineChars="200"/>
        <w:rPr>
          <w:rFonts w:cs="Calibri"/>
          <w:color w:val="000000"/>
          <w:sz w:val="22"/>
        </w:rPr>
      </w:pPr>
      <w:r>
        <w:rPr>
          <w:rFonts w:cs="Calibri"/>
          <w:color w:val="000000"/>
          <w:sz w:val="22"/>
        </w:rPr>
        <w:t>附：委托代理人身份证复印件</w:t>
      </w:r>
    </w:p>
    <w:p>
      <w:pPr>
        <w:spacing w:line="440" w:lineRule="exact"/>
        <w:rPr>
          <w:rFonts w:cs="Calibri"/>
          <w:color w:val="000000"/>
          <w:szCs w:val="21"/>
        </w:rPr>
      </w:pPr>
    </w:p>
    <w:p>
      <w:pPr>
        <w:spacing w:line="440" w:lineRule="exact"/>
        <w:rPr>
          <w:rFonts w:cs="Calibri"/>
          <w:color w:val="000000"/>
          <w:sz w:val="22"/>
        </w:rPr>
      </w:pPr>
      <w:r>
        <w:rPr>
          <w:rFonts w:cs="Calibri"/>
          <w:color w:val="000000"/>
          <w:sz w:val="22"/>
        </w:rPr>
        <w:t>投标人：（盖单位章）</w:t>
      </w:r>
    </w:p>
    <w:p>
      <w:pPr>
        <w:spacing w:line="440" w:lineRule="exact"/>
        <w:rPr>
          <w:rFonts w:cs="Calibri"/>
          <w:color w:val="000000"/>
          <w:sz w:val="22"/>
        </w:rPr>
      </w:pPr>
      <w:r>
        <w:rPr>
          <w:rFonts w:cs="Calibri"/>
          <w:color w:val="000000"/>
          <w:sz w:val="22"/>
        </w:rPr>
        <w:t>法定代表人：（签字或盖章）</w:t>
      </w:r>
    </w:p>
    <w:p>
      <w:pPr>
        <w:spacing w:line="440" w:lineRule="exact"/>
        <w:rPr>
          <w:rFonts w:cs="Calibri"/>
          <w:color w:val="000000"/>
          <w:sz w:val="22"/>
        </w:rPr>
      </w:pPr>
      <w:r>
        <w:rPr>
          <w:rFonts w:cs="Calibri"/>
          <w:color w:val="000000"/>
          <w:sz w:val="22"/>
        </w:rPr>
        <w:t>身份证号码：</w:t>
      </w:r>
    </w:p>
    <w:p>
      <w:pPr>
        <w:spacing w:line="440" w:lineRule="exact"/>
        <w:rPr>
          <w:rFonts w:cs="Calibri"/>
          <w:color w:val="000000"/>
          <w:sz w:val="22"/>
        </w:rPr>
      </w:pPr>
    </w:p>
    <w:p>
      <w:pPr>
        <w:spacing w:line="440" w:lineRule="exact"/>
        <w:rPr>
          <w:rFonts w:cs="Calibri"/>
          <w:color w:val="000000"/>
          <w:sz w:val="22"/>
        </w:rPr>
      </w:pPr>
      <w:r>
        <w:rPr>
          <w:rFonts w:cs="Calibri"/>
          <w:color w:val="000000"/>
          <w:sz w:val="22"/>
        </w:rPr>
        <w:t>委托的代理人：（签字或盖章）</w:t>
      </w:r>
    </w:p>
    <w:p>
      <w:pPr>
        <w:spacing w:line="440" w:lineRule="exact"/>
        <w:rPr>
          <w:rFonts w:cs="Calibri"/>
          <w:color w:val="000000"/>
          <w:sz w:val="22"/>
        </w:rPr>
      </w:pPr>
      <w:r>
        <w:rPr>
          <w:rFonts w:cs="Calibri"/>
          <w:color w:val="000000"/>
          <w:sz w:val="22"/>
        </w:rPr>
        <w:t>身份证号码：</w:t>
      </w:r>
    </w:p>
    <w:p>
      <w:pPr>
        <w:spacing w:line="440" w:lineRule="exact"/>
        <w:rPr>
          <w:rFonts w:cs="Calibri"/>
          <w:color w:val="000000"/>
          <w:szCs w:val="21"/>
        </w:rPr>
      </w:pPr>
      <w:r>
        <w:rPr>
          <w:rFonts w:cs="Calibri"/>
          <w:color w:val="000000"/>
          <w:szCs w:val="21"/>
        </w:rPr>
        <w:t>日期：</w:t>
      </w:r>
      <w:r>
        <w:rPr>
          <w:rFonts w:cs="Calibri"/>
          <w:color w:val="000000"/>
          <w:szCs w:val="21"/>
          <w:u w:val="single"/>
        </w:rPr>
        <w:t xml:space="preserve">      </w:t>
      </w:r>
      <w:r>
        <w:rPr>
          <w:rFonts w:cs="Calibri"/>
          <w:color w:val="000000"/>
          <w:szCs w:val="21"/>
        </w:rPr>
        <w:t>年</w:t>
      </w:r>
      <w:r>
        <w:rPr>
          <w:rFonts w:cs="Calibri"/>
          <w:color w:val="000000"/>
          <w:szCs w:val="21"/>
          <w:u w:val="single"/>
        </w:rPr>
        <w:t xml:space="preserve">      </w:t>
      </w:r>
      <w:r>
        <w:rPr>
          <w:rFonts w:cs="Calibri"/>
          <w:color w:val="000000"/>
          <w:szCs w:val="21"/>
        </w:rPr>
        <w:t>月</w:t>
      </w:r>
      <w:r>
        <w:rPr>
          <w:rFonts w:cs="Calibri"/>
          <w:color w:val="000000"/>
          <w:szCs w:val="21"/>
          <w:u w:val="single"/>
        </w:rPr>
        <w:t xml:space="preserve">      </w:t>
      </w:r>
      <w:r>
        <w:rPr>
          <w:rFonts w:cs="Calibri"/>
          <w:color w:val="000000"/>
          <w:szCs w:val="21"/>
        </w:rPr>
        <w:t>日</w:t>
      </w:r>
    </w:p>
    <w:p>
      <w:pPr>
        <w:snapToGrid w:val="0"/>
        <w:spacing w:line="440" w:lineRule="exact"/>
        <w:rPr>
          <w:rFonts w:cs="Calibri"/>
          <w:color w:val="000000"/>
          <w:szCs w:val="21"/>
        </w:rPr>
      </w:pPr>
      <w:r>
        <w:rPr>
          <w:rFonts w:cs="Calibri"/>
          <w:b/>
          <w:color w:val="000000"/>
          <w:szCs w:val="21"/>
          <w:lang/>
        </w:rPr>
        <w:pict>
          <v:shape id="Text Box 7" o:spid="_x0000_s1027" o:spt="202" type="#_x0000_t202" style="position:absolute;left:0pt;margin-left:9.15pt;margin-top:20.8pt;height:171.6pt;width:423pt;mso-wrap-distance-bottom:0pt;mso-wrap-distance-left:9pt;mso-wrap-distance-right:9pt;mso-wrap-distance-top:0pt;z-index:251659264;mso-width-relative:page;mso-height-relative:page;"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">
            <v:path/>
            <v:fill focussize="0,0"/>
            <v:stroke/>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Cs w:val="21"/>
        </w:rPr>
      </w:pPr>
      <w:r>
        <w:rPr>
          <w:rFonts w:cs="Calibri"/>
          <w:color w:val="000000"/>
          <w:szCs w:val="21"/>
        </w:rPr>
        <w:t>注：如投标文件由委托代理人签字或盖章的，投标文件必须附此授权委托书。</w:t>
      </w:r>
      <w:r>
        <w:rPr>
          <w:rFonts w:cs="Calibri"/>
          <w:b/>
          <w:bCs/>
          <w:color w:val="000000"/>
          <w:szCs w:val="21"/>
        </w:rPr>
        <w:t xml:space="preserve">     </w:t>
      </w:r>
    </w:p>
    <w:p>
      <w:pPr>
        <w:spacing w:line="440" w:lineRule="exact"/>
        <w:rPr>
          <w:rFonts w:cs="Calibri"/>
          <w:b/>
          <w:bCs/>
          <w:color w:val="000000"/>
          <w:szCs w:val="21"/>
        </w:rPr>
      </w:pPr>
    </w:p>
    <w:p>
      <w:pPr>
        <w:widowControl/>
        <w:jc w:val="left"/>
        <w:rPr>
          <w:rFonts w:cs="Calibri"/>
          <w:b/>
          <w:bCs/>
          <w:color w:val="000000"/>
          <w:sz w:val="32"/>
        </w:rPr>
      </w:pPr>
    </w:p>
    <w:p>
      <w:pPr>
        <w:widowControl/>
        <w:jc w:val="left"/>
        <w:rPr>
          <w:rFonts w:cs="Calibri"/>
          <w:b/>
          <w:bCs/>
          <w:color w:val="000000"/>
          <w:sz w:val="32"/>
        </w:rPr>
      </w:pPr>
    </w:p>
    <w:p>
      <w:pPr>
        <w:widowControl/>
        <w:jc w:val="left"/>
        <w:rPr>
          <w:rFonts w:cs="Calibri"/>
          <w:b/>
          <w:bCs/>
          <w:color w:val="000000"/>
          <w:sz w:val="32"/>
        </w:rPr>
      </w:pPr>
    </w:p>
    <w:p>
      <w:pPr>
        <w:widowControl/>
        <w:jc w:val="left"/>
        <w:rPr>
          <w:rFonts w:cs="Calibri"/>
          <w:b/>
          <w:bCs/>
          <w:color w:val="000000"/>
          <w:sz w:val="32"/>
        </w:rPr>
      </w:pPr>
    </w:p>
    <w:p>
      <w:pPr>
        <w:widowControl/>
        <w:jc w:val="left"/>
        <w:rPr>
          <w:rFonts w:cs="Calibri"/>
          <w:b/>
          <w:bCs/>
          <w:color w:val="000000"/>
          <w:sz w:val="32"/>
        </w:rPr>
      </w:pPr>
    </w:p>
    <w:p>
      <w:pPr>
        <w:widowControl/>
        <w:jc w:val="left"/>
        <w:rPr>
          <w:rFonts w:hint="eastAsia" w:cs="Calibri"/>
          <w:b/>
          <w:bCs/>
          <w:color w:val="000000"/>
          <w:sz w:val="32"/>
        </w:rPr>
      </w:pPr>
    </w:p>
    <w:p>
      <w:pPr>
        <w:spacing w:line="440" w:lineRule="exact"/>
        <w:rPr>
          <w:rFonts w:cs="Calibri"/>
          <w:b/>
          <w:bCs/>
          <w:color w:val="000000"/>
          <w:sz w:val="32"/>
        </w:rPr>
      </w:pPr>
    </w:p>
    <w:p>
      <w:pPr>
        <w:spacing w:line="440" w:lineRule="exact"/>
        <w:jc w:val="center"/>
        <w:rPr>
          <w:rFonts w:eastAsia="黑体" w:cs="Calibri"/>
          <w:color w:val="000000"/>
          <w:sz w:val="32"/>
          <w:szCs w:val="32"/>
        </w:rPr>
      </w:pPr>
      <w:r>
        <w:rPr>
          <w:rFonts w:hint="eastAsia" w:eastAsia="黑体" w:cs="Calibri"/>
          <w:color w:val="000000"/>
          <w:sz w:val="32"/>
          <w:szCs w:val="32"/>
        </w:rPr>
        <w:t>四</w:t>
      </w:r>
      <w:r>
        <w:rPr>
          <w:rFonts w:eastAsia="黑体" w:cs="Calibri"/>
          <w:color w:val="000000"/>
          <w:sz w:val="32"/>
          <w:szCs w:val="32"/>
        </w:rPr>
        <w:t>、投标人资格证明文件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r>
        <w:rPr>
          <w:rFonts w:eastAsia="黑体" w:cs="Calibri"/>
          <w:color w:val="000000"/>
          <w:sz w:val="32"/>
          <w:szCs w:val="32"/>
        </w:rPr>
        <w:t>（一）投标人一般情况</w:t>
      </w:r>
    </w:p>
    <w:tbl>
      <w:tblPr>
        <w:tblStyle w:val="5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vAlign w:val="top"/>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widowControl/>
        <w:jc w:val="left"/>
        <w:rPr>
          <w:rFonts w:cs="Calibri"/>
          <w:b/>
          <w:sz w:val="36"/>
          <w:szCs w:val="36"/>
        </w:rPr>
      </w:pPr>
      <w:r>
        <w:rPr>
          <w:rFonts w:cs="Calibri"/>
          <w:b/>
          <w:sz w:val="36"/>
          <w:szCs w:val="36"/>
        </w:rPr>
        <w:br w:type="page"/>
      </w:r>
    </w:p>
    <w:p>
      <w:pPr>
        <w:spacing w:line="440" w:lineRule="exact"/>
        <w:jc w:val="center"/>
        <w:rPr>
          <w:rFonts w:eastAsia="黑体" w:cs="Calibri"/>
          <w:color w:val="000000"/>
          <w:sz w:val="32"/>
          <w:szCs w:val="32"/>
        </w:rPr>
      </w:pPr>
      <w:r>
        <w:rPr>
          <w:rFonts w:eastAsia="黑体" w:cs="Calibri"/>
          <w:color w:val="000000"/>
          <w:sz w:val="32"/>
          <w:szCs w:val="32"/>
        </w:rPr>
        <w:t>（二）近三年完成类似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53"/>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业主单位</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项目</w:t>
            </w:r>
            <w:r>
              <w:rPr>
                <w:rFonts w:cs="Calibri"/>
                <w:szCs w:val="21"/>
              </w:rPr>
              <w:t>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hint="eastAsia" w:cs="Calibri"/>
                <w:szCs w:val="21"/>
              </w:rPr>
              <w:t>服务</w:t>
            </w:r>
            <w:r>
              <w:rPr>
                <w:rFonts w:cs="Calibri"/>
                <w:szCs w:val="21"/>
              </w:rPr>
              <w:t>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pStyle w:val="24"/>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color w:val="000000"/>
          <w:sz w:val="32"/>
          <w:szCs w:val="32"/>
        </w:rPr>
      </w:pPr>
    </w:p>
    <w:p>
      <w:pPr>
        <w:spacing w:line="440" w:lineRule="exact"/>
        <w:jc w:val="center"/>
        <w:rPr>
          <w:rFonts w:eastAsia="黑体" w:cs="Calibri"/>
          <w:color w:val="000000"/>
          <w:sz w:val="32"/>
          <w:szCs w:val="32"/>
        </w:rPr>
      </w:pPr>
    </w:p>
    <w:p>
      <w:pPr>
        <w:widowControl/>
        <w:jc w:val="left"/>
        <w:rPr>
          <w:rFonts w:eastAsia="黑体" w:cs="Calibri"/>
          <w:color w:val="000000"/>
          <w:sz w:val="32"/>
          <w:szCs w:val="32"/>
        </w:rPr>
      </w:pPr>
      <w:r>
        <w:rPr>
          <w:rFonts w:eastAsia="黑体" w:cs="Calibri"/>
          <w:color w:val="000000"/>
          <w:sz w:val="32"/>
          <w:szCs w:val="32"/>
        </w:rPr>
        <w:br w:type="page"/>
      </w:r>
    </w:p>
    <w:p>
      <w:pPr>
        <w:spacing w:line="440" w:lineRule="exact"/>
        <w:jc w:val="center"/>
        <w:rPr>
          <w:rFonts w:eastAsia="黑体" w:cs="Calibri"/>
          <w:color w:val="000000"/>
          <w:sz w:val="32"/>
          <w:szCs w:val="32"/>
        </w:rPr>
      </w:pPr>
      <w:r>
        <w:rPr>
          <w:rFonts w:hint="eastAsia" w:eastAsia="黑体" w:cs="Calibri"/>
          <w:color w:val="000000"/>
          <w:sz w:val="32"/>
          <w:szCs w:val="32"/>
        </w:rPr>
        <w:t>五</w:t>
      </w:r>
      <w:r>
        <w:rPr>
          <w:rFonts w:eastAsia="黑体" w:cs="Calibri"/>
          <w:color w:val="000000"/>
          <w:sz w:val="32"/>
          <w:szCs w:val="32"/>
        </w:rPr>
        <w:t>、</w:t>
      </w:r>
      <w:r>
        <w:rPr>
          <w:rFonts w:hint="eastAsia" w:eastAsia="黑体" w:cs="Calibri"/>
          <w:color w:val="000000"/>
          <w:sz w:val="32"/>
          <w:szCs w:val="32"/>
        </w:rPr>
        <w:t>服务大纲</w:t>
      </w:r>
    </w:p>
    <w:p>
      <w:pPr>
        <w:spacing w:line="440" w:lineRule="exact"/>
        <w:jc w:val="center"/>
        <w:rPr>
          <w:rFonts w:eastAsia="黑体" w:cs="Calibri"/>
          <w:color w:val="000000"/>
          <w:sz w:val="32"/>
          <w:szCs w:val="32"/>
        </w:rPr>
      </w:pPr>
      <w:r>
        <w:rPr>
          <w:rFonts w:eastAsia="黑体" w:cs="Calibri"/>
          <w:color w:val="000000"/>
          <w:sz w:val="32"/>
          <w:szCs w:val="32"/>
        </w:rPr>
        <w:t>（</w:t>
      </w:r>
      <w:r>
        <w:rPr>
          <w:rFonts w:hint="eastAsia" w:eastAsia="黑体" w:cs="Calibri"/>
          <w:color w:val="000000"/>
          <w:sz w:val="32"/>
          <w:szCs w:val="32"/>
        </w:rPr>
        <w:t>一</w:t>
      </w:r>
      <w:r>
        <w:rPr>
          <w:rFonts w:eastAsia="黑体" w:cs="Calibri"/>
          <w:color w:val="000000"/>
          <w:sz w:val="32"/>
          <w:szCs w:val="32"/>
        </w:rPr>
        <w:t>）项目负责人简介</w:t>
      </w:r>
    </w:p>
    <w:tbl>
      <w:tblPr>
        <w:tblStyle w:val="53"/>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hint="eastAsia" w:cs="Calibri"/>
                <w:szCs w:val="21"/>
              </w:rPr>
              <w:t>业主</w:t>
            </w: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pStyle w:val="24"/>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pStyle w:val="24"/>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vAlign w:val="top"/>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color w:val="000000"/>
          <w:sz w:val="32"/>
          <w:szCs w:val="32"/>
        </w:rPr>
      </w:pPr>
      <w:r>
        <w:rPr>
          <w:rFonts w:eastAsia="黑体" w:cs="Calibri"/>
          <w:color w:val="000000"/>
          <w:sz w:val="32"/>
          <w:szCs w:val="32"/>
        </w:rPr>
        <w:t>（五）主要参与</w:t>
      </w:r>
      <w:r>
        <w:rPr>
          <w:rFonts w:hint="eastAsia" w:eastAsia="黑体" w:cs="Calibri"/>
          <w:color w:val="000000"/>
          <w:sz w:val="32"/>
          <w:szCs w:val="32"/>
        </w:rPr>
        <w:t>服务</w:t>
      </w:r>
      <w:r>
        <w:rPr>
          <w:rFonts w:eastAsia="黑体" w:cs="Calibri"/>
          <w:color w:val="000000"/>
          <w:sz w:val="32"/>
          <w:szCs w:val="32"/>
        </w:rPr>
        <w:t>人员简介</w:t>
      </w:r>
    </w:p>
    <w:tbl>
      <w:tblPr>
        <w:tblStyle w:val="5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241"/>
              <w:jc w:val="center"/>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top"/>
          </w:tcPr>
          <w:p>
            <w:pPr>
              <w:pStyle w:val="13"/>
              <w:snapToGrid w:val="0"/>
              <w:ind w:firstLine="0"/>
              <w:rPr>
                <w:rFonts w:ascii="Calibri" w:hAnsi="Calibri" w:cs="Calibri"/>
                <w:sz w:val="21"/>
                <w:szCs w:val="21"/>
              </w:rPr>
            </w:pPr>
          </w:p>
        </w:tc>
        <w:tc>
          <w:tcPr>
            <w:tcW w:w="1540" w:type="dxa"/>
            <w:vAlign w:val="top"/>
          </w:tcPr>
          <w:p>
            <w:pPr>
              <w:pStyle w:val="13"/>
              <w:snapToGrid w:val="0"/>
              <w:ind w:firstLine="241"/>
              <w:jc w:val="center"/>
              <w:rPr>
                <w:rFonts w:ascii="Calibri" w:hAnsi="Calibri" w:cs="Calibri"/>
                <w:sz w:val="21"/>
                <w:szCs w:val="21"/>
              </w:rPr>
            </w:pPr>
          </w:p>
        </w:tc>
        <w:tc>
          <w:tcPr>
            <w:tcW w:w="1520" w:type="dxa"/>
            <w:vAlign w:val="top"/>
          </w:tcPr>
          <w:p>
            <w:pPr>
              <w:pStyle w:val="13"/>
              <w:snapToGrid w:val="0"/>
              <w:ind w:firstLine="241"/>
              <w:jc w:val="center"/>
              <w:rPr>
                <w:rFonts w:ascii="Calibri" w:hAnsi="Calibri" w:cs="Calibri"/>
                <w:sz w:val="21"/>
                <w:szCs w:val="21"/>
              </w:rPr>
            </w:pPr>
          </w:p>
        </w:tc>
        <w:tc>
          <w:tcPr>
            <w:tcW w:w="1620" w:type="dxa"/>
            <w:vAlign w:val="top"/>
          </w:tcPr>
          <w:p>
            <w:pPr>
              <w:pStyle w:val="13"/>
              <w:snapToGrid w:val="0"/>
              <w:ind w:firstLine="241"/>
              <w:jc w:val="center"/>
              <w:rPr>
                <w:rFonts w:ascii="Calibri" w:hAnsi="Calibri" w:cs="Calibri"/>
                <w:sz w:val="21"/>
                <w:szCs w:val="21"/>
              </w:rPr>
            </w:pPr>
          </w:p>
        </w:tc>
        <w:tc>
          <w:tcPr>
            <w:tcW w:w="2880" w:type="dxa"/>
            <w:vAlign w:val="top"/>
          </w:tcPr>
          <w:p>
            <w:pPr>
              <w:pStyle w:val="13"/>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hint="eastAsia" w:cs="Calibri"/>
          <w:b/>
          <w:sz w:val="36"/>
          <w:szCs w:val="36"/>
        </w:rPr>
      </w:pPr>
    </w:p>
    <w:p>
      <w:pPr>
        <w:jc w:val="center"/>
        <w:rPr>
          <w:rFonts w:hint="eastAsia"/>
          <w:sz w:val="32"/>
          <w:szCs w:val="32"/>
        </w:rPr>
      </w:pPr>
      <w:r>
        <w:rPr>
          <w:rFonts w:hint="eastAsia" w:eastAsia="黑体" w:cs="Calibri"/>
          <w:color w:val="000000"/>
          <w:sz w:val="32"/>
          <w:szCs w:val="32"/>
        </w:rPr>
        <w:t>六</w:t>
      </w:r>
      <w:r>
        <w:rPr>
          <w:rFonts w:eastAsia="黑体" w:cs="Calibri"/>
          <w:color w:val="000000"/>
          <w:sz w:val="32"/>
          <w:szCs w:val="32"/>
        </w:rPr>
        <w:t>、</w:t>
      </w:r>
      <w:r>
        <w:rPr>
          <w:rFonts w:hint="eastAsia" w:eastAsia="黑体" w:cs="Calibri"/>
          <w:color w:val="000000"/>
          <w:sz w:val="32"/>
          <w:szCs w:val="32"/>
        </w:rPr>
        <w:t>投标人认为</w:t>
      </w:r>
      <w:r>
        <w:rPr>
          <w:rFonts w:eastAsia="黑体" w:cs="Calibri"/>
          <w:color w:val="000000"/>
          <w:sz w:val="32"/>
          <w:szCs w:val="32"/>
        </w:rPr>
        <w:t>应该提供的其他材料</w:t>
      </w:r>
    </w:p>
    <w:p/>
    <w:sectPr>
      <w:footerReference r:id="rId8" w:type="even"/>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S?o｡ﾀ?">
    <w:altName w:val="MS Mincho"/>
    <w:panose1 w:val="00000000000000000000"/>
    <w:charset w:val="80"/>
    <w:family w:val="modern"/>
    <w:pitch w:val="default"/>
    <w:sig w:usb0="00000000" w:usb1="00000000" w:usb2="00000010" w:usb3="00000000" w:csb0="00020000" w:csb1="00000000"/>
  </w:font>
  <w:font w:name="Microsoft YaHei UI">
    <w:panose1 w:val="020B0503020204020204"/>
    <w:charset w:val="86"/>
    <w:family w:val="swiss"/>
    <w:pitch w:val="default"/>
    <w:sig w:usb0="80000287" w:usb1="28C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隶书">
    <w:panose1 w:val="0201050906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crosoft YaHei,Segoe UI Emoji">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w:t>
    </w:r>
    <w:r>
      <w:rPr>
        <w:lang/>
      </w:rPr>
      <w:t xml:space="preserve"> 50 -</w:t>
    </w:r>
    <w:r>
      <w:rPr>
        <w:lang/>
      </w:rPr>
      <w:fldChar w:fldCharType="end"/>
    </w:r>
  </w:p>
  <w:p>
    <w:pPr>
      <w:pStyle w:val="27"/>
      <w:wordWrap w:val="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15"/>
    <w:rsid w:val="00002C9C"/>
    <w:rsid w:val="00006EFD"/>
    <w:rsid w:val="00007DE1"/>
    <w:rsid w:val="00011EE2"/>
    <w:rsid w:val="0001707D"/>
    <w:rsid w:val="00020C55"/>
    <w:rsid w:val="000233C8"/>
    <w:rsid w:val="000316F4"/>
    <w:rsid w:val="00032AD6"/>
    <w:rsid w:val="000420D1"/>
    <w:rsid w:val="0004303D"/>
    <w:rsid w:val="0004428B"/>
    <w:rsid w:val="00051C2B"/>
    <w:rsid w:val="00066371"/>
    <w:rsid w:val="0007283E"/>
    <w:rsid w:val="00077DDD"/>
    <w:rsid w:val="00081D7E"/>
    <w:rsid w:val="00094185"/>
    <w:rsid w:val="00095CA5"/>
    <w:rsid w:val="000967EA"/>
    <w:rsid w:val="00096DD6"/>
    <w:rsid w:val="000A6369"/>
    <w:rsid w:val="000A7BE4"/>
    <w:rsid w:val="000B123B"/>
    <w:rsid w:val="000B35E8"/>
    <w:rsid w:val="000C4544"/>
    <w:rsid w:val="000C5B3C"/>
    <w:rsid w:val="000D30E3"/>
    <w:rsid w:val="000D4AF9"/>
    <w:rsid w:val="000E064F"/>
    <w:rsid w:val="000E3171"/>
    <w:rsid w:val="000E4116"/>
    <w:rsid w:val="000F17B1"/>
    <w:rsid w:val="00101910"/>
    <w:rsid w:val="00124C20"/>
    <w:rsid w:val="00141711"/>
    <w:rsid w:val="00144D89"/>
    <w:rsid w:val="00150E0F"/>
    <w:rsid w:val="001576DA"/>
    <w:rsid w:val="00162749"/>
    <w:rsid w:val="00163C7C"/>
    <w:rsid w:val="00170123"/>
    <w:rsid w:val="00170B86"/>
    <w:rsid w:val="001756A9"/>
    <w:rsid w:val="00184C63"/>
    <w:rsid w:val="00194B90"/>
    <w:rsid w:val="001A03A3"/>
    <w:rsid w:val="001A1E7E"/>
    <w:rsid w:val="001A2B5B"/>
    <w:rsid w:val="001B3CAD"/>
    <w:rsid w:val="001B578B"/>
    <w:rsid w:val="001C0DE7"/>
    <w:rsid w:val="001C483B"/>
    <w:rsid w:val="001D3ED4"/>
    <w:rsid w:val="001E2051"/>
    <w:rsid w:val="001F4A94"/>
    <w:rsid w:val="00204DA2"/>
    <w:rsid w:val="00206F4E"/>
    <w:rsid w:val="00217E4D"/>
    <w:rsid w:val="0022347C"/>
    <w:rsid w:val="002347B2"/>
    <w:rsid w:val="00235932"/>
    <w:rsid w:val="00237480"/>
    <w:rsid w:val="0024355B"/>
    <w:rsid w:val="00256721"/>
    <w:rsid w:val="002567A0"/>
    <w:rsid w:val="00266127"/>
    <w:rsid w:val="00275696"/>
    <w:rsid w:val="00284E4C"/>
    <w:rsid w:val="00296D5D"/>
    <w:rsid w:val="002A46A8"/>
    <w:rsid w:val="002A4929"/>
    <w:rsid w:val="002A7315"/>
    <w:rsid w:val="002B564D"/>
    <w:rsid w:val="002C2805"/>
    <w:rsid w:val="002D34C8"/>
    <w:rsid w:val="002D4FA4"/>
    <w:rsid w:val="002E037C"/>
    <w:rsid w:val="002F31F4"/>
    <w:rsid w:val="002F6141"/>
    <w:rsid w:val="00302A78"/>
    <w:rsid w:val="00303A64"/>
    <w:rsid w:val="00303D93"/>
    <w:rsid w:val="00314E71"/>
    <w:rsid w:val="00317733"/>
    <w:rsid w:val="00320AE1"/>
    <w:rsid w:val="0032178F"/>
    <w:rsid w:val="003248ED"/>
    <w:rsid w:val="00331627"/>
    <w:rsid w:val="00333970"/>
    <w:rsid w:val="00363F7F"/>
    <w:rsid w:val="00381F65"/>
    <w:rsid w:val="0038339F"/>
    <w:rsid w:val="0038525D"/>
    <w:rsid w:val="003911AA"/>
    <w:rsid w:val="00391470"/>
    <w:rsid w:val="003B137E"/>
    <w:rsid w:val="003C68A4"/>
    <w:rsid w:val="003E7D53"/>
    <w:rsid w:val="003F7E2A"/>
    <w:rsid w:val="004001C3"/>
    <w:rsid w:val="00405D5F"/>
    <w:rsid w:val="00412F25"/>
    <w:rsid w:val="0041424D"/>
    <w:rsid w:val="0041710D"/>
    <w:rsid w:val="00447FB6"/>
    <w:rsid w:val="004514EF"/>
    <w:rsid w:val="004641FF"/>
    <w:rsid w:val="00480F12"/>
    <w:rsid w:val="00495272"/>
    <w:rsid w:val="004A436D"/>
    <w:rsid w:val="004A4FA0"/>
    <w:rsid w:val="004B4824"/>
    <w:rsid w:val="004C16A0"/>
    <w:rsid w:val="004C677A"/>
    <w:rsid w:val="004D6AC4"/>
    <w:rsid w:val="004F6104"/>
    <w:rsid w:val="004F74AF"/>
    <w:rsid w:val="00507771"/>
    <w:rsid w:val="00507780"/>
    <w:rsid w:val="0051761F"/>
    <w:rsid w:val="00524672"/>
    <w:rsid w:val="00530C22"/>
    <w:rsid w:val="00535B92"/>
    <w:rsid w:val="00551B9A"/>
    <w:rsid w:val="00556198"/>
    <w:rsid w:val="00567806"/>
    <w:rsid w:val="00571A20"/>
    <w:rsid w:val="00571D59"/>
    <w:rsid w:val="00573958"/>
    <w:rsid w:val="00574688"/>
    <w:rsid w:val="00575FC8"/>
    <w:rsid w:val="00576C3D"/>
    <w:rsid w:val="00577913"/>
    <w:rsid w:val="00581AB2"/>
    <w:rsid w:val="00592392"/>
    <w:rsid w:val="00592B7A"/>
    <w:rsid w:val="00592E40"/>
    <w:rsid w:val="0059365A"/>
    <w:rsid w:val="005B7AFF"/>
    <w:rsid w:val="005C06D7"/>
    <w:rsid w:val="005C68C8"/>
    <w:rsid w:val="005F17C2"/>
    <w:rsid w:val="005F321B"/>
    <w:rsid w:val="005F3FF1"/>
    <w:rsid w:val="005F6CE6"/>
    <w:rsid w:val="006009A9"/>
    <w:rsid w:val="0060230E"/>
    <w:rsid w:val="00605FED"/>
    <w:rsid w:val="006104A6"/>
    <w:rsid w:val="00615D8B"/>
    <w:rsid w:val="00617029"/>
    <w:rsid w:val="006203CF"/>
    <w:rsid w:val="00620F70"/>
    <w:rsid w:val="006303F2"/>
    <w:rsid w:val="0063218A"/>
    <w:rsid w:val="00634E64"/>
    <w:rsid w:val="00657DA0"/>
    <w:rsid w:val="006652A7"/>
    <w:rsid w:val="006720AF"/>
    <w:rsid w:val="0067335D"/>
    <w:rsid w:val="00673EEF"/>
    <w:rsid w:val="00680F70"/>
    <w:rsid w:val="00687E2B"/>
    <w:rsid w:val="006A34B8"/>
    <w:rsid w:val="006B13B0"/>
    <w:rsid w:val="006B2796"/>
    <w:rsid w:val="006B78E3"/>
    <w:rsid w:val="006C3F98"/>
    <w:rsid w:val="006E0F8E"/>
    <w:rsid w:val="006E7BF0"/>
    <w:rsid w:val="006F405F"/>
    <w:rsid w:val="006F5F1F"/>
    <w:rsid w:val="006F7246"/>
    <w:rsid w:val="00710166"/>
    <w:rsid w:val="00712EEB"/>
    <w:rsid w:val="00714A96"/>
    <w:rsid w:val="0071576F"/>
    <w:rsid w:val="00720D7A"/>
    <w:rsid w:val="00721073"/>
    <w:rsid w:val="007257F9"/>
    <w:rsid w:val="00726329"/>
    <w:rsid w:val="007344C8"/>
    <w:rsid w:val="00743379"/>
    <w:rsid w:val="00757BF9"/>
    <w:rsid w:val="0076326C"/>
    <w:rsid w:val="00777D94"/>
    <w:rsid w:val="007847C1"/>
    <w:rsid w:val="00795B12"/>
    <w:rsid w:val="007A2849"/>
    <w:rsid w:val="007A52F1"/>
    <w:rsid w:val="007C1531"/>
    <w:rsid w:val="007C4520"/>
    <w:rsid w:val="007C4893"/>
    <w:rsid w:val="007E0879"/>
    <w:rsid w:val="007F0267"/>
    <w:rsid w:val="007F134C"/>
    <w:rsid w:val="007F20D2"/>
    <w:rsid w:val="007F4AC3"/>
    <w:rsid w:val="00801096"/>
    <w:rsid w:val="0081775F"/>
    <w:rsid w:val="00836C68"/>
    <w:rsid w:val="008436C0"/>
    <w:rsid w:val="00847EEC"/>
    <w:rsid w:val="008509CD"/>
    <w:rsid w:val="00853349"/>
    <w:rsid w:val="00854D93"/>
    <w:rsid w:val="00857352"/>
    <w:rsid w:val="00881DBA"/>
    <w:rsid w:val="00891636"/>
    <w:rsid w:val="008931BF"/>
    <w:rsid w:val="008A52A1"/>
    <w:rsid w:val="008B033F"/>
    <w:rsid w:val="008B1F99"/>
    <w:rsid w:val="008B315F"/>
    <w:rsid w:val="008B4053"/>
    <w:rsid w:val="008B4BC4"/>
    <w:rsid w:val="008C639A"/>
    <w:rsid w:val="008D0FD3"/>
    <w:rsid w:val="008D3BB5"/>
    <w:rsid w:val="008D71F8"/>
    <w:rsid w:val="008E002C"/>
    <w:rsid w:val="008E4075"/>
    <w:rsid w:val="008E4182"/>
    <w:rsid w:val="009003D5"/>
    <w:rsid w:val="00914E82"/>
    <w:rsid w:val="00923611"/>
    <w:rsid w:val="00923F85"/>
    <w:rsid w:val="00926CBB"/>
    <w:rsid w:val="00927300"/>
    <w:rsid w:val="0093312A"/>
    <w:rsid w:val="00943DED"/>
    <w:rsid w:val="0094777A"/>
    <w:rsid w:val="009515DD"/>
    <w:rsid w:val="00961691"/>
    <w:rsid w:val="00961E14"/>
    <w:rsid w:val="00962D34"/>
    <w:rsid w:val="00970656"/>
    <w:rsid w:val="009707E4"/>
    <w:rsid w:val="00971237"/>
    <w:rsid w:val="009806DF"/>
    <w:rsid w:val="00982189"/>
    <w:rsid w:val="00997508"/>
    <w:rsid w:val="009A4492"/>
    <w:rsid w:val="009A5F3E"/>
    <w:rsid w:val="009C197F"/>
    <w:rsid w:val="009D7170"/>
    <w:rsid w:val="009E0BBD"/>
    <w:rsid w:val="009E3F54"/>
    <w:rsid w:val="009F1A8C"/>
    <w:rsid w:val="00A03B97"/>
    <w:rsid w:val="00A16AD6"/>
    <w:rsid w:val="00A1711A"/>
    <w:rsid w:val="00A22336"/>
    <w:rsid w:val="00A2527B"/>
    <w:rsid w:val="00A2694C"/>
    <w:rsid w:val="00A26E20"/>
    <w:rsid w:val="00A313B7"/>
    <w:rsid w:val="00A32A93"/>
    <w:rsid w:val="00A41D10"/>
    <w:rsid w:val="00A42300"/>
    <w:rsid w:val="00A47E9E"/>
    <w:rsid w:val="00A53881"/>
    <w:rsid w:val="00A542FE"/>
    <w:rsid w:val="00A744EE"/>
    <w:rsid w:val="00A747D8"/>
    <w:rsid w:val="00A819BC"/>
    <w:rsid w:val="00A8282B"/>
    <w:rsid w:val="00A909D3"/>
    <w:rsid w:val="00A9177E"/>
    <w:rsid w:val="00AA1870"/>
    <w:rsid w:val="00AA5E1D"/>
    <w:rsid w:val="00AB4C2B"/>
    <w:rsid w:val="00AB631B"/>
    <w:rsid w:val="00AB66A0"/>
    <w:rsid w:val="00AC458E"/>
    <w:rsid w:val="00AD45BD"/>
    <w:rsid w:val="00AE781F"/>
    <w:rsid w:val="00AF366D"/>
    <w:rsid w:val="00AF4756"/>
    <w:rsid w:val="00AF7902"/>
    <w:rsid w:val="00B0238A"/>
    <w:rsid w:val="00B05E52"/>
    <w:rsid w:val="00B2256D"/>
    <w:rsid w:val="00B256F3"/>
    <w:rsid w:val="00B44EC2"/>
    <w:rsid w:val="00B47DBE"/>
    <w:rsid w:val="00B531D1"/>
    <w:rsid w:val="00B53F0B"/>
    <w:rsid w:val="00B623FC"/>
    <w:rsid w:val="00B62750"/>
    <w:rsid w:val="00B7469B"/>
    <w:rsid w:val="00B74F3C"/>
    <w:rsid w:val="00B7575E"/>
    <w:rsid w:val="00B81B94"/>
    <w:rsid w:val="00B8651F"/>
    <w:rsid w:val="00B8738E"/>
    <w:rsid w:val="00B8769D"/>
    <w:rsid w:val="00B91999"/>
    <w:rsid w:val="00B94DE4"/>
    <w:rsid w:val="00BA3E13"/>
    <w:rsid w:val="00BA6507"/>
    <w:rsid w:val="00BB11AB"/>
    <w:rsid w:val="00BC58F1"/>
    <w:rsid w:val="00BD7686"/>
    <w:rsid w:val="00BE10DA"/>
    <w:rsid w:val="00BF15B5"/>
    <w:rsid w:val="00BF3179"/>
    <w:rsid w:val="00C01C86"/>
    <w:rsid w:val="00C10C66"/>
    <w:rsid w:val="00C10FF3"/>
    <w:rsid w:val="00C150C7"/>
    <w:rsid w:val="00C16D16"/>
    <w:rsid w:val="00C3764C"/>
    <w:rsid w:val="00C456B1"/>
    <w:rsid w:val="00C538F2"/>
    <w:rsid w:val="00C6706C"/>
    <w:rsid w:val="00C81EC2"/>
    <w:rsid w:val="00C84623"/>
    <w:rsid w:val="00C94893"/>
    <w:rsid w:val="00C97056"/>
    <w:rsid w:val="00CA02BB"/>
    <w:rsid w:val="00CA0FFC"/>
    <w:rsid w:val="00CB0E49"/>
    <w:rsid w:val="00CB41DE"/>
    <w:rsid w:val="00CB5144"/>
    <w:rsid w:val="00CC4263"/>
    <w:rsid w:val="00CC796A"/>
    <w:rsid w:val="00CD7670"/>
    <w:rsid w:val="00CE205F"/>
    <w:rsid w:val="00CE4994"/>
    <w:rsid w:val="00CE4AA4"/>
    <w:rsid w:val="00CE4BA4"/>
    <w:rsid w:val="00CE67FC"/>
    <w:rsid w:val="00D12922"/>
    <w:rsid w:val="00D14249"/>
    <w:rsid w:val="00D14402"/>
    <w:rsid w:val="00D22F6E"/>
    <w:rsid w:val="00D23790"/>
    <w:rsid w:val="00D33FBA"/>
    <w:rsid w:val="00D35C16"/>
    <w:rsid w:val="00D427E8"/>
    <w:rsid w:val="00D4487A"/>
    <w:rsid w:val="00D46BD1"/>
    <w:rsid w:val="00D6105B"/>
    <w:rsid w:val="00D6210B"/>
    <w:rsid w:val="00D6503B"/>
    <w:rsid w:val="00D75B99"/>
    <w:rsid w:val="00D82046"/>
    <w:rsid w:val="00D8629C"/>
    <w:rsid w:val="00D9476A"/>
    <w:rsid w:val="00D9715E"/>
    <w:rsid w:val="00DA1897"/>
    <w:rsid w:val="00DA74B0"/>
    <w:rsid w:val="00DB040E"/>
    <w:rsid w:val="00DB2F8F"/>
    <w:rsid w:val="00DC2415"/>
    <w:rsid w:val="00DC3F86"/>
    <w:rsid w:val="00DC4833"/>
    <w:rsid w:val="00DC69E2"/>
    <w:rsid w:val="00DC7E0E"/>
    <w:rsid w:val="00DF2D26"/>
    <w:rsid w:val="00DF6683"/>
    <w:rsid w:val="00E00B79"/>
    <w:rsid w:val="00E151D8"/>
    <w:rsid w:val="00E40B69"/>
    <w:rsid w:val="00E6201A"/>
    <w:rsid w:val="00E703C8"/>
    <w:rsid w:val="00E70B51"/>
    <w:rsid w:val="00E80D11"/>
    <w:rsid w:val="00E86497"/>
    <w:rsid w:val="00EA05DA"/>
    <w:rsid w:val="00EA6D2D"/>
    <w:rsid w:val="00EB7F93"/>
    <w:rsid w:val="00EC113C"/>
    <w:rsid w:val="00ED2131"/>
    <w:rsid w:val="00EE62FE"/>
    <w:rsid w:val="00EE6513"/>
    <w:rsid w:val="00EE7834"/>
    <w:rsid w:val="00EF0397"/>
    <w:rsid w:val="00EF098B"/>
    <w:rsid w:val="00F213D4"/>
    <w:rsid w:val="00F24B49"/>
    <w:rsid w:val="00F26357"/>
    <w:rsid w:val="00F37475"/>
    <w:rsid w:val="00F502AE"/>
    <w:rsid w:val="00F50931"/>
    <w:rsid w:val="00F547DA"/>
    <w:rsid w:val="00F55ED6"/>
    <w:rsid w:val="00F72BBC"/>
    <w:rsid w:val="00F83BD2"/>
    <w:rsid w:val="00F855E5"/>
    <w:rsid w:val="00F8619F"/>
    <w:rsid w:val="00F91775"/>
    <w:rsid w:val="00F9304A"/>
    <w:rsid w:val="00F95C77"/>
    <w:rsid w:val="00F96D16"/>
    <w:rsid w:val="00FA1A2E"/>
    <w:rsid w:val="00FA3637"/>
    <w:rsid w:val="00FA72CF"/>
    <w:rsid w:val="00FB2B76"/>
    <w:rsid w:val="00FB38EF"/>
    <w:rsid w:val="00FB50BE"/>
    <w:rsid w:val="00FC603F"/>
    <w:rsid w:val="00FE47B3"/>
    <w:rsid w:val="00FF1902"/>
    <w:rsid w:val="106F32E9"/>
    <w:rsid w:val="118875CA"/>
    <w:rsid w:val="179B3737"/>
    <w:rsid w:val="1B75256B"/>
    <w:rsid w:val="1FC819E7"/>
    <w:rsid w:val="216D5CE5"/>
    <w:rsid w:val="2B466DAA"/>
    <w:rsid w:val="2CFC1669"/>
    <w:rsid w:val="2D7C6506"/>
    <w:rsid w:val="2F0B4775"/>
    <w:rsid w:val="308C4640"/>
    <w:rsid w:val="31B37889"/>
    <w:rsid w:val="335F420D"/>
    <w:rsid w:val="3AAF4908"/>
    <w:rsid w:val="3DA21E49"/>
    <w:rsid w:val="403762FF"/>
    <w:rsid w:val="42393234"/>
    <w:rsid w:val="460761AC"/>
    <w:rsid w:val="48F73020"/>
    <w:rsid w:val="51320595"/>
    <w:rsid w:val="5318719B"/>
    <w:rsid w:val="57D748BB"/>
    <w:rsid w:val="5F54411B"/>
    <w:rsid w:val="6331334C"/>
    <w:rsid w:val="6B8A38B3"/>
    <w:rsid w:val="70F3607E"/>
    <w:rsid w:val="73AB6030"/>
    <w:rsid w:val="7AA3691F"/>
    <w:rsid w:val="7ED647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0" w:semiHidden="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1"/>
    <w:qFormat/>
    <w:uiPriority w:val="0"/>
    <w:pPr>
      <w:keepNext/>
      <w:keepLines/>
      <w:spacing w:before="340" w:after="330" w:line="576" w:lineRule="auto"/>
      <w:outlineLvl w:val="0"/>
    </w:pPr>
    <w:rPr>
      <w:rFonts w:ascii="Times New Roman" w:hAnsi="Times New Roman"/>
      <w:b/>
      <w:bCs/>
      <w:kern w:val="44"/>
      <w:sz w:val="44"/>
      <w:szCs w:val="44"/>
    </w:rPr>
  </w:style>
  <w:style w:type="paragraph" w:styleId="3">
    <w:name w:val="heading 2"/>
    <w:basedOn w:val="1"/>
    <w:next w:val="1"/>
    <w:link w:val="103"/>
    <w:unhideWhenUsed/>
    <w:qFormat/>
    <w:uiPriority w:val="0"/>
    <w:pPr>
      <w:keepNext/>
      <w:keepLines/>
      <w:spacing w:before="260" w:after="260" w:line="413" w:lineRule="auto"/>
      <w:outlineLvl w:val="1"/>
    </w:pPr>
    <w:rPr>
      <w:rFonts w:ascii="Arial" w:hAnsi="Arial" w:eastAsia="黑体"/>
      <w:b/>
      <w:bCs/>
      <w:kern w:val="0"/>
      <w:sz w:val="32"/>
      <w:szCs w:val="32"/>
    </w:rPr>
  </w:style>
  <w:style w:type="paragraph" w:styleId="4">
    <w:name w:val="heading 3"/>
    <w:basedOn w:val="1"/>
    <w:next w:val="1"/>
    <w:link w:val="109"/>
    <w:unhideWhenUsed/>
    <w:qFormat/>
    <w:uiPriority w:val="0"/>
    <w:pPr>
      <w:spacing w:line="440" w:lineRule="atLeast"/>
      <w:outlineLvl w:val="2"/>
    </w:pPr>
    <w:rPr>
      <w:rFonts w:ascii="Times New Roman" w:hAnsi="Times New Roman" w:eastAsia="楷体_GB2312"/>
      <w:kern w:val="0"/>
      <w:sz w:val="28"/>
      <w:szCs w:val="20"/>
    </w:rPr>
  </w:style>
  <w:style w:type="paragraph" w:styleId="5">
    <w:name w:val="heading 4"/>
    <w:basedOn w:val="1"/>
    <w:next w:val="1"/>
    <w:link w:val="140"/>
    <w:unhideWhenUsed/>
    <w:qFormat/>
    <w:uiPriority w:val="0"/>
    <w:pPr>
      <w:keepNext/>
      <w:keepLines/>
      <w:spacing w:before="280" w:after="290" w:line="372" w:lineRule="auto"/>
      <w:outlineLvl w:val="3"/>
    </w:pPr>
    <w:rPr>
      <w:rFonts w:ascii="Arial" w:hAnsi="Arial" w:eastAsia="黑体"/>
      <w:b/>
      <w:bCs/>
      <w:kern w:val="0"/>
      <w:sz w:val="28"/>
      <w:szCs w:val="28"/>
    </w:rPr>
  </w:style>
  <w:style w:type="paragraph" w:styleId="6">
    <w:name w:val="heading 5"/>
    <w:basedOn w:val="1"/>
    <w:next w:val="1"/>
    <w:link w:val="124"/>
    <w:unhideWhenUsed/>
    <w:qFormat/>
    <w:uiPriority w:val="0"/>
    <w:pPr>
      <w:keepNext/>
      <w:keepLines/>
      <w:spacing w:before="280" w:after="290" w:line="372" w:lineRule="auto"/>
      <w:outlineLvl w:val="4"/>
    </w:pPr>
    <w:rPr>
      <w:rFonts w:ascii="Times New Roman" w:hAnsi="Times New Roman"/>
      <w:b/>
      <w:bCs/>
      <w:kern w:val="0"/>
      <w:sz w:val="28"/>
      <w:szCs w:val="28"/>
    </w:rPr>
  </w:style>
  <w:style w:type="character" w:default="1" w:styleId="46">
    <w:name w:val="Default Paragraph Font"/>
    <w:semiHidden/>
    <w:uiPriority w:val="0"/>
  </w:style>
  <w:style w:type="table" w:default="1" w:styleId="53">
    <w:name w:val="Normal Table"/>
    <w:semiHidden/>
    <w:uiPriority w:val="0"/>
    <w:tblPr>
      <w:tblLayout w:type="fixed"/>
      <w:tblCellMar>
        <w:top w:w="0" w:type="dxa"/>
        <w:left w:w="108" w:type="dxa"/>
        <w:bottom w:w="0" w:type="dxa"/>
        <w:right w:w="108" w:type="dxa"/>
      </w:tblCellMar>
    </w:tblPr>
  </w:style>
  <w:style w:type="paragraph" w:styleId="7">
    <w:name w:val="List 3"/>
    <w:basedOn w:val="1"/>
    <w:uiPriority w:val="0"/>
    <w:pPr>
      <w:ind w:left="100" w:leftChars="400" w:hanging="200" w:hangingChars="200"/>
    </w:pPr>
    <w:rPr>
      <w:rFonts w:ascii="Times New Roman" w:hAnsi="Times New Roman"/>
      <w:szCs w:val="24"/>
    </w:rPr>
  </w:style>
  <w:style w:type="paragraph" w:styleId="8">
    <w:name w:val="annotation subject"/>
    <w:basedOn w:val="9"/>
    <w:next w:val="9"/>
    <w:link w:val="135"/>
    <w:uiPriority w:val="0"/>
    <w:rPr>
      <w:rFonts w:ascii="Times New Roman" w:hAnsi="Times New Roman"/>
      <w:b/>
      <w:bCs/>
      <w:szCs w:val="24"/>
    </w:rPr>
  </w:style>
  <w:style w:type="paragraph" w:styleId="9">
    <w:name w:val="annotation text"/>
    <w:basedOn w:val="1"/>
    <w:link w:val="128"/>
    <w:uiPriority w:val="0"/>
    <w:pPr>
      <w:jc w:val="left"/>
    </w:pPr>
  </w:style>
  <w:style w:type="paragraph" w:styleId="10">
    <w:name w:val="toc 7"/>
    <w:basedOn w:val="1"/>
    <w:next w:val="1"/>
    <w:uiPriority w:val="0"/>
    <w:pPr>
      <w:ind w:left="2520"/>
    </w:pPr>
    <w:rPr>
      <w:rFonts w:ascii="Times New Roman" w:hAnsi="Times New Roman"/>
      <w:szCs w:val="24"/>
    </w:rPr>
  </w:style>
  <w:style w:type="paragraph" w:styleId="11">
    <w:name w:val="Body Text First Indent"/>
    <w:basedOn w:val="12"/>
    <w:link w:val="104"/>
    <w:uiPriority w:val="0"/>
    <w:pPr>
      <w:ind w:firstLine="420" w:firstLineChars="100"/>
    </w:pPr>
    <w:rPr>
      <w:rFonts w:ascii="Times New Roman" w:hAnsi="Times New Roman"/>
      <w:szCs w:val="24"/>
    </w:rPr>
  </w:style>
  <w:style w:type="paragraph" w:styleId="12">
    <w:name w:val="Body Text"/>
    <w:basedOn w:val="1"/>
    <w:link w:val="118"/>
    <w:uiPriority w:val="0"/>
    <w:pPr>
      <w:spacing w:after="120"/>
    </w:pPr>
    <w:rPr>
      <w:kern w:val="0"/>
      <w:sz w:val="20"/>
      <w:szCs w:val="20"/>
    </w:rPr>
  </w:style>
  <w:style w:type="paragraph" w:styleId="13">
    <w:name w:val="Normal Indent"/>
    <w:basedOn w:val="1"/>
    <w:link w:val="129"/>
    <w:uiPriority w:val="0"/>
    <w:pPr>
      <w:autoSpaceDE w:val="0"/>
      <w:autoSpaceDN w:val="0"/>
      <w:adjustRightInd w:val="0"/>
      <w:ind w:firstLine="420"/>
      <w:jc w:val="left"/>
    </w:pPr>
    <w:rPr>
      <w:rFonts w:ascii="宋体" w:hAnsi="Times New Roman"/>
      <w:kern w:val="0"/>
      <w:sz w:val="34"/>
      <w:szCs w:val="20"/>
    </w:rPr>
  </w:style>
  <w:style w:type="paragraph" w:styleId="14">
    <w:name w:val="caption"/>
    <w:basedOn w:val="1"/>
    <w:next w:val="1"/>
    <w:unhideWhenUsed/>
    <w:qFormat/>
    <w:uiPriority w:val="0"/>
    <w:rPr>
      <w:rFonts w:ascii="Arial" w:hAnsi="Arial" w:eastAsia="黑体" w:cs="Arial"/>
      <w:sz w:val="20"/>
      <w:szCs w:val="20"/>
    </w:rPr>
  </w:style>
  <w:style w:type="paragraph" w:styleId="15">
    <w:name w:val="Document Map"/>
    <w:basedOn w:val="1"/>
    <w:link w:val="142"/>
    <w:uiPriority w:val="0"/>
    <w:pPr>
      <w:shd w:val="clear" w:color="auto" w:fill="000080"/>
    </w:pPr>
    <w:rPr>
      <w:rFonts w:ascii="Times New Roman" w:hAnsi="Times New Roman"/>
      <w:kern w:val="0"/>
      <w:sz w:val="20"/>
      <w:szCs w:val="24"/>
    </w:rPr>
  </w:style>
  <w:style w:type="paragraph" w:styleId="16">
    <w:name w:val="toa heading"/>
    <w:basedOn w:val="1"/>
    <w:next w:val="1"/>
    <w:uiPriority w:val="0"/>
    <w:pPr>
      <w:spacing w:before="120"/>
    </w:pPr>
    <w:rPr>
      <w:rFonts w:ascii="Arial" w:hAnsi="Arial" w:cs="Arial"/>
      <w:sz w:val="24"/>
      <w:szCs w:val="24"/>
    </w:rPr>
  </w:style>
  <w:style w:type="paragraph" w:styleId="17">
    <w:name w:val="Body Text Indent"/>
    <w:basedOn w:val="1"/>
    <w:link w:val="97"/>
    <w:uiPriority w:val="0"/>
    <w:pPr>
      <w:spacing w:after="120"/>
      <w:ind w:left="420" w:leftChars="200"/>
    </w:pPr>
    <w:rPr>
      <w:kern w:val="0"/>
      <w:sz w:val="20"/>
      <w:szCs w:val="20"/>
    </w:rPr>
  </w:style>
  <w:style w:type="paragraph" w:styleId="18">
    <w:name w:val="List 2"/>
    <w:basedOn w:val="1"/>
    <w:uiPriority w:val="0"/>
    <w:pPr>
      <w:ind w:left="100" w:leftChars="200" w:hanging="200" w:hangingChars="200"/>
    </w:pPr>
    <w:rPr>
      <w:rFonts w:ascii="Times New Roman" w:hAnsi="Times New Roman"/>
      <w:szCs w:val="24"/>
    </w:rPr>
  </w:style>
  <w:style w:type="paragraph" w:styleId="19">
    <w:name w:val="toc 5"/>
    <w:basedOn w:val="1"/>
    <w:next w:val="1"/>
    <w:uiPriority w:val="0"/>
    <w:pPr>
      <w:ind w:left="1680"/>
    </w:pPr>
    <w:rPr>
      <w:rFonts w:ascii="Times New Roman" w:hAnsi="Times New Roman"/>
      <w:szCs w:val="24"/>
    </w:rPr>
  </w:style>
  <w:style w:type="paragraph" w:styleId="20">
    <w:name w:val="toc 3"/>
    <w:basedOn w:val="1"/>
    <w:next w:val="1"/>
    <w:uiPriority w:val="0"/>
    <w:pPr>
      <w:spacing w:line="360" w:lineRule="auto"/>
      <w:ind w:left="400" w:leftChars="400"/>
    </w:pPr>
    <w:rPr>
      <w:rFonts w:ascii="Times New Roman" w:hAnsi="Times New Roman"/>
      <w:szCs w:val="24"/>
    </w:rPr>
  </w:style>
  <w:style w:type="paragraph" w:styleId="21">
    <w:name w:val="Plain Text"/>
    <w:basedOn w:val="1"/>
    <w:link w:val="123"/>
    <w:uiPriority w:val="0"/>
    <w:rPr>
      <w:rFonts w:ascii="宋体" w:hAnsi="Courier New"/>
      <w:kern w:val="0"/>
      <w:sz w:val="20"/>
      <w:szCs w:val="21"/>
    </w:rPr>
  </w:style>
  <w:style w:type="paragraph" w:styleId="22">
    <w:name w:val="toc 8"/>
    <w:basedOn w:val="1"/>
    <w:next w:val="1"/>
    <w:uiPriority w:val="0"/>
    <w:pPr>
      <w:ind w:left="2940"/>
    </w:pPr>
    <w:rPr>
      <w:rFonts w:ascii="Times New Roman" w:hAnsi="Times New Roman"/>
      <w:szCs w:val="24"/>
    </w:rPr>
  </w:style>
  <w:style w:type="paragraph" w:styleId="23">
    <w:name w:val="index 3"/>
    <w:basedOn w:val="1"/>
    <w:next w:val="1"/>
    <w:uiPriority w:val="0"/>
    <w:pPr>
      <w:ind w:left="400" w:leftChars="400"/>
    </w:pPr>
    <w:rPr>
      <w:rFonts w:ascii="Times New Roman" w:hAnsi="Times New Roman"/>
      <w:szCs w:val="24"/>
    </w:rPr>
  </w:style>
  <w:style w:type="paragraph" w:styleId="24">
    <w:name w:val="Date"/>
    <w:basedOn w:val="1"/>
    <w:next w:val="1"/>
    <w:link w:val="95"/>
    <w:uiPriority w:val="0"/>
    <w:pPr>
      <w:ind w:left="100" w:leftChars="2500"/>
    </w:pPr>
    <w:rPr>
      <w:rFonts w:ascii="Times New Roman" w:hAnsi="Times New Roman"/>
      <w:b/>
      <w:bCs/>
      <w:kern w:val="0"/>
      <w:sz w:val="36"/>
      <w:szCs w:val="24"/>
    </w:rPr>
  </w:style>
  <w:style w:type="paragraph" w:styleId="25">
    <w:name w:val="Body Text Indent 2"/>
    <w:basedOn w:val="1"/>
    <w:link w:val="137"/>
    <w:uiPriority w:val="0"/>
    <w:pPr>
      <w:spacing w:after="120" w:line="480" w:lineRule="auto"/>
      <w:ind w:left="420" w:leftChars="200"/>
    </w:pPr>
    <w:rPr>
      <w:rFonts w:ascii="Times New Roman" w:hAnsi="Times New Roman"/>
      <w:kern w:val="0"/>
      <w:sz w:val="20"/>
      <w:szCs w:val="24"/>
    </w:rPr>
  </w:style>
  <w:style w:type="paragraph" w:styleId="26">
    <w:name w:val="Balloon Text"/>
    <w:basedOn w:val="1"/>
    <w:link w:val="130"/>
    <w:uiPriority w:val="0"/>
    <w:rPr>
      <w:rFonts w:ascii="Times New Roman" w:hAnsi="Times New Roman"/>
      <w:kern w:val="0"/>
      <w:sz w:val="18"/>
      <w:szCs w:val="18"/>
    </w:rPr>
  </w:style>
  <w:style w:type="paragraph" w:styleId="27">
    <w:name w:val="footer"/>
    <w:basedOn w:val="1"/>
    <w:link w:val="121"/>
    <w:uiPriority w:val="0"/>
    <w:pPr>
      <w:tabs>
        <w:tab w:val="center" w:pos="4153"/>
        <w:tab w:val="right" w:pos="8306"/>
      </w:tabs>
      <w:snapToGrid w:val="0"/>
      <w:jc w:val="left"/>
    </w:pPr>
    <w:rPr>
      <w:rFonts w:ascii="Times New Roman" w:hAnsi="Times New Roman"/>
      <w:kern w:val="0"/>
      <w:sz w:val="18"/>
      <w:szCs w:val="18"/>
    </w:rPr>
  </w:style>
  <w:style w:type="paragraph" w:styleId="28">
    <w:name w:val="Body Text First Indent 2"/>
    <w:basedOn w:val="17"/>
    <w:link w:val="102"/>
    <w:uiPriority w:val="0"/>
    <w:pPr>
      <w:ind w:firstLine="420" w:firstLineChars="200"/>
    </w:pPr>
    <w:rPr>
      <w:rFonts w:ascii="Times New Roman" w:hAnsi="Times New Roman"/>
      <w:szCs w:val="24"/>
    </w:rPr>
  </w:style>
  <w:style w:type="paragraph" w:styleId="29">
    <w:name w:val="header"/>
    <w:basedOn w:val="1"/>
    <w:link w:val="136"/>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30">
    <w:name w:val="toc 1"/>
    <w:basedOn w:val="2"/>
    <w:next w:val="1"/>
    <w:uiPriority w:val="0"/>
    <w:pPr>
      <w:tabs>
        <w:tab w:val="right" w:leader="dot" w:pos="8659"/>
      </w:tabs>
      <w:spacing w:before="0" w:after="0" w:line="240" w:lineRule="auto"/>
      <w:jc w:val="center"/>
    </w:pPr>
    <w:rPr>
      <w:b w:val="0"/>
      <w:sz w:val="21"/>
    </w:rPr>
  </w:style>
  <w:style w:type="paragraph" w:styleId="31">
    <w:name w:val="toc 4"/>
    <w:basedOn w:val="1"/>
    <w:next w:val="1"/>
    <w:uiPriority w:val="0"/>
    <w:pPr>
      <w:ind w:left="1260"/>
    </w:pPr>
    <w:rPr>
      <w:rFonts w:ascii="Times New Roman" w:hAnsi="Times New Roman"/>
      <w:szCs w:val="24"/>
    </w:rPr>
  </w:style>
  <w:style w:type="paragraph" w:styleId="32">
    <w:name w:val="List"/>
    <w:basedOn w:val="1"/>
    <w:uiPriority w:val="0"/>
    <w:pPr>
      <w:ind w:left="200" w:hanging="200" w:hangingChars="200"/>
    </w:pPr>
    <w:rPr>
      <w:rFonts w:ascii="Times New Roman" w:hAnsi="Times New Roman"/>
      <w:szCs w:val="24"/>
    </w:rPr>
  </w:style>
  <w:style w:type="paragraph" w:styleId="33">
    <w:name w:val="footnote text"/>
    <w:basedOn w:val="1"/>
    <w:link w:val="98"/>
    <w:uiPriority w:val="0"/>
    <w:pPr>
      <w:snapToGrid w:val="0"/>
      <w:jc w:val="left"/>
    </w:pPr>
    <w:rPr>
      <w:rFonts w:ascii="Times New Roman" w:hAnsi="Times New Roman"/>
      <w:kern w:val="0"/>
      <w:sz w:val="18"/>
      <w:szCs w:val="18"/>
    </w:rPr>
  </w:style>
  <w:style w:type="paragraph" w:styleId="34">
    <w:name w:val="toc 6"/>
    <w:basedOn w:val="1"/>
    <w:next w:val="1"/>
    <w:uiPriority w:val="0"/>
    <w:pPr>
      <w:ind w:left="2100"/>
    </w:pPr>
    <w:rPr>
      <w:rFonts w:ascii="Times New Roman" w:hAnsi="Times New Roman"/>
      <w:szCs w:val="24"/>
    </w:rPr>
  </w:style>
  <w:style w:type="paragraph" w:styleId="35">
    <w:name w:val="Body Text Indent 3"/>
    <w:basedOn w:val="1"/>
    <w:link w:val="99"/>
    <w:uiPriority w:val="0"/>
    <w:pPr>
      <w:spacing w:line="540" w:lineRule="atLeast"/>
      <w:ind w:firstLine="480" w:firstLineChars="200"/>
    </w:pPr>
    <w:rPr>
      <w:rFonts w:ascii="Times New Roman" w:hAnsi="Times New Roman"/>
      <w:kern w:val="0"/>
      <w:sz w:val="24"/>
      <w:szCs w:val="24"/>
    </w:rPr>
  </w:style>
  <w:style w:type="paragraph" w:styleId="36">
    <w:name w:val="table of figures"/>
    <w:basedOn w:val="1"/>
    <w:next w:val="1"/>
    <w:uiPriority w:val="0"/>
    <w:pPr>
      <w:ind w:left="200" w:leftChars="200" w:hanging="200" w:hangingChars="200"/>
    </w:pPr>
    <w:rPr>
      <w:rFonts w:ascii="Times New Roman" w:hAnsi="Times New Roman"/>
      <w:szCs w:val="24"/>
    </w:rPr>
  </w:style>
  <w:style w:type="paragraph" w:styleId="37">
    <w:name w:val="toc 2"/>
    <w:basedOn w:val="1"/>
    <w:next w:val="1"/>
    <w:uiPriority w:val="0"/>
    <w:pPr>
      <w:spacing w:line="360" w:lineRule="auto"/>
      <w:ind w:left="200" w:leftChars="200"/>
    </w:pPr>
    <w:rPr>
      <w:rFonts w:ascii="Times New Roman" w:hAnsi="Times New Roman"/>
      <w:szCs w:val="24"/>
    </w:rPr>
  </w:style>
  <w:style w:type="paragraph" w:styleId="38">
    <w:name w:val="toc 9"/>
    <w:basedOn w:val="1"/>
    <w:next w:val="1"/>
    <w:uiPriority w:val="0"/>
    <w:pPr>
      <w:ind w:left="3360"/>
    </w:pPr>
    <w:rPr>
      <w:rFonts w:ascii="Times New Roman" w:hAnsi="Times New Roman"/>
      <w:szCs w:val="24"/>
    </w:rPr>
  </w:style>
  <w:style w:type="paragraph" w:styleId="39">
    <w:name w:val="Body Text 2"/>
    <w:basedOn w:val="1"/>
    <w:link w:val="143"/>
    <w:uiPriority w:val="0"/>
    <w:pPr>
      <w:spacing w:after="120" w:line="480" w:lineRule="auto"/>
    </w:pPr>
    <w:rPr>
      <w:rFonts w:ascii="Times New Roman" w:hAnsi="Times New Roman"/>
      <w:kern w:val="0"/>
      <w:sz w:val="20"/>
      <w:szCs w:val="24"/>
    </w:rPr>
  </w:style>
  <w:style w:type="paragraph" w:styleId="40">
    <w:name w:val="List 4"/>
    <w:basedOn w:val="1"/>
    <w:uiPriority w:val="0"/>
    <w:pPr>
      <w:ind w:left="100" w:leftChars="600" w:hanging="200" w:hangingChars="200"/>
    </w:pPr>
    <w:rPr>
      <w:rFonts w:ascii="Times New Roman" w:hAnsi="Times New Roman"/>
      <w:szCs w:val="24"/>
    </w:rPr>
  </w:style>
  <w:style w:type="paragraph" w:styleId="41">
    <w:name w:val="List Continue 2"/>
    <w:basedOn w:val="1"/>
    <w:uiPriority w:val="0"/>
    <w:pPr>
      <w:spacing w:after="120"/>
      <w:ind w:left="840" w:leftChars="400"/>
    </w:pPr>
    <w:rPr>
      <w:rFonts w:ascii="Times New Roman" w:hAnsi="Times New Roman"/>
      <w:szCs w:val="24"/>
    </w:rPr>
  </w:style>
  <w:style w:type="paragraph" w:styleId="4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43">
    <w:name w:val="index 1"/>
    <w:basedOn w:val="1"/>
    <w:next w:val="1"/>
    <w:uiPriority w:val="0"/>
    <w:pPr>
      <w:spacing w:line="320" w:lineRule="exact"/>
    </w:pPr>
    <w:rPr>
      <w:rFonts w:ascii="Times New Roman" w:hAnsi="Times New Roman"/>
      <w:snapToGrid w:val="0"/>
      <w:color w:val="FF6600"/>
      <w:kern w:val="0"/>
      <w:sz w:val="18"/>
      <w:szCs w:val="21"/>
    </w:rPr>
  </w:style>
  <w:style w:type="paragraph" w:styleId="44">
    <w:name w:val="index 2"/>
    <w:basedOn w:val="1"/>
    <w:next w:val="1"/>
    <w:uiPriority w:val="0"/>
    <w:pPr>
      <w:ind w:left="200" w:leftChars="200"/>
    </w:pPr>
    <w:rPr>
      <w:rFonts w:ascii="Times New Roman" w:hAnsi="Times New Roman"/>
      <w:szCs w:val="24"/>
    </w:rPr>
  </w:style>
  <w:style w:type="paragraph" w:styleId="45">
    <w:name w:val="Title"/>
    <w:basedOn w:val="1"/>
    <w:link w:val="131"/>
    <w:qFormat/>
    <w:uiPriority w:val="0"/>
    <w:pPr>
      <w:spacing w:before="240" w:after="60"/>
      <w:jc w:val="center"/>
      <w:outlineLvl w:val="0"/>
    </w:pPr>
    <w:rPr>
      <w:rFonts w:ascii="Arial" w:hAnsi="Arial"/>
      <w:b/>
      <w:bCs/>
      <w:kern w:val="0"/>
      <w:sz w:val="32"/>
      <w:szCs w:val="32"/>
    </w:rPr>
  </w:style>
  <w:style w:type="character" w:styleId="47">
    <w:name w:val="page number"/>
    <w:uiPriority w:val="0"/>
    <w:rPr>
      <w:rFonts w:ascii="Calibri" w:hAnsi="Calibri" w:eastAsia="宋体" w:cs="Times New Roman"/>
    </w:rPr>
  </w:style>
  <w:style w:type="character" w:styleId="48">
    <w:name w:val="FollowedHyperlink"/>
    <w:uiPriority w:val="0"/>
    <w:rPr>
      <w:rFonts w:ascii="Calibri" w:hAnsi="Calibri" w:eastAsia="宋体" w:cs="Times New Roman"/>
      <w:color w:val="800080"/>
      <w:u w:val="single"/>
    </w:rPr>
  </w:style>
  <w:style w:type="character" w:styleId="49">
    <w:name w:val="Emphasis"/>
    <w:qFormat/>
    <w:uiPriority w:val="0"/>
    <w:rPr>
      <w:rFonts w:ascii="Calibri" w:hAnsi="Calibri" w:eastAsia="宋体" w:cs="Times New Roman"/>
      <w:i/>
      <w:iCs/>
    </w:rPr>
  </w:style>
  <w:style w:type="character" w:styleId="50">
    <w:name w:val="Hyperlink"/>
    <w:uiPriority w:val="0"/>
    <w:rPr>
      <w:rFonts w:ascii="Calibri" w:hAnsi="Calibri" w:eastAsia="宋体" w:cs="Times New Roman"/>
      <w:color w:val="0000FF"/>
      <w:u w:val="single"/>
    </w:rPr>
  </w:style>
  <w:style w:type="character" w:styleId="51">
    <w:name w:val="annotation reference"/>
    <w:uiPriority w:val="0"/>
    <w:rPr>
      <w:rFonts w:ascii="Calibri" w:hAnsi="Calibri" w:eastAsia="宋体" w:cs="Times New Roman"/>
      <w:sz w:val="21"/>
      <w:szCs w:val="21"/>
    </w:rPr>
  </w:style>
  <w:style w:type="character" w:styleId="52">
    <w:name w:val="footnote reference"/>
    <w:uiPriority w:val="0"/>
    <w:rPr>
      <w:rFonts w:ascii="Calibri" w:hAnsi="Calibri" w:eastAsia="宋体" w:cs="Times New Roman"/>
      <w:vertAlign w:val="superscript"/>
    </w:rPr>
  </w:style>
  <w:style w:type="table" w:styleId="54">
    <w:name w:val="Table Grid"/>
    <w:basedOn w:val="53"/>
    <w:uiPriority w:val="0"/>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55">
    <w:name w:val="列出段落1"/>
    <w:basedOn w:val="1"/>
    <w:uiPriority w:val="0"/>
    <w:pPr>
      <w:ind w:firstLine="420" w:firstLineChars="200"/>
    </w:pPr>
  </w:style>
  <w:style w:type="paragraph" w:customStyle="1" w:styleId="56">
    <w:name w:val="样式1"/>
    <w:basedOn w:val="1"/>
    <w:uiPriority w:val="0"/>
    <w:pPr>
      <w:spacing w:line="360" w:lineRule="auto"/>
      <w:jc w:val="center"/>
    </w:pPr>
    <w:rPr>
      <w:rFonts w:ascii="宋体" w:hAnsi="宋体"/>
      <w:sz w:val="32"/>
      <w:szCs w:val="30"/>
    </w:rPr>
  </w:style>
  <w:style w:type="paragraph" w:customStyle="1" w:styleId="57">
    <w:name w:val="正文段"/>
    <w:basedOn w:val="1"/>
    <w:uiPriority w:val="0"/>
    <w:pPr>
      <w:spacing w:line="360" w:lineRule="auto"/>
      <w:ind w:firstLine="420"/>
    </w:pPr>
    <w:rPr>
      <w:rFonts w:ascii="宋体" w:hAnsi="Times New Roman"/>
      <w:sz w:val="24"/>
      <w:szCs w:val="24"/>
    </w:rPr>
  </w:style>
  <w:style w:type="paragraph" w:customStyle="1" w:styleId="58">
    <w:name w:val="表"/>
    <w:basedOn w:val="1"/>
    <w:uiPriority w:val="0"/>
    <w:pPr>
      <w:spacing w:line="360" w:lineRule="auto"/>
      <w:jc w:val="center"/>
    </w:pPr>
    <w:rPr>
      <w:rFonts w:ascii="Times New Roman" w:hAnsi="Times New Roman"/>
      <w:color w:val="000000"/>
      <w:szCs w:val="21"/>
    </w:rPr>
  </w:style>
  <w:style w:type="paragraph" w:customStyle="1" w:styleId="59">
    <w:name w:val="表1"/>
    <w:basedOn w:val="1"/>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kern w:val="0"/>
      <w:sz w:val="24"/>
      <w:szCs w:val="20"/>
    </w:rPr>
  </w:style>
  <w:style w:type="paragraph" w:customStyle="1" w:styleId="60">
    <w:name w:val="_Style 5"/>
    <w:basedOn w:val="1"/>
    <w:next w:val="1"/>
    <w:uiPriority w:val="0"/>
    <w:rPr>
      <w:rFonts w:ascii="Times New Roman" w:hAnsi="Times New Roman"/>
      <w:szCs w:val="20"/>
    </w:rPr>
  </w:style>
  <w:style w:type="paragraph" w:customStyle="1" w:styleId="61">
    <w:name w:val="Char Char Char Char"/>
    <w:basedOn w:val="1"/>
    <w:uiPriority w:val="0"/>
    <w:rPr>
      <w:rFonts w:ascii="仿宋_GB2312" w:hAnsi="Times New Roman" w:eastAsia="仿宋_GB2312"/>
      <w:b/>
      <w:sz w:val="32"/>
      <w:szCs w:val="32"/>
    </w:rPr>
  </w:style>
  <w:style w:type="paragraph" w:styleId="62">
    <w:name w:val=""/>
    <w:basedOn w:val="1"/>
    <w:next w:val="1"/>
    <w:link w:val="111"/>
    <w:uiPriority w:val="0"/>
    <w:pPr>
      <w:pBdr>
        <w:bottom w:val="single" w:color="auto" w:sz="6" w:space="1"/>
      </w:pBdr>
      <w:jc w:val="center"/>
    </w:pPr>
    <w:rPr>
      <w:rFonts w:ascii="Arial" w:hAnsi="Arial"/>
      <w:vanish/>
      <w:kern w:val="0"/>
      <w:sz w:val="16"/>
      <w:szCs w:val="16"/>
    </w:rPr>
  </w:style>
  <w:style w:type="paragraph" w:customStyle="1" w:styleId="63">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4">
    <w:name w:val="Char Char"/>
    <w:basedOn w:val="1"/>
    <w:uiPriority w:val="0"/>
    <w:rPr>
      <w:rFonts w:ascii="Tahoma" w:hAnsi="Tahoma"/>
      <w:sz w:val="24"/>
      <w:szCs w:val="20"/>
    </w:rPr>
  </w:style>
  <w:style w:type="paragraph" w:customStyle="1" w:styleId="65">
    <w:name w:val="Blockquote"/>
    <w:basedOn w:val="1"/>
    <w:uiPriority w:val="0"/>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66">
    <w:name w:val="Char 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67">
    <w:name w:val="样式 标题 1 + (符号) Arial 三号"/>
    <w:basedOn w:val="2"/>
    <w:uiPriority w:val="0"/>
    <w:pPr>
      <w:snapToGrid w:val="0"/>
      <w:spacing w:before="0" w:after="0" w:line="360" w:lineRule="auto"/>
    </w:pPr>
    <w:rPr>
      <w:sz w:val="32"/>
    </w:rPr>
  </w:style>
  <w:style w:type="paragraph" w:customStyle="1" w:styleId="68">
    <w:name w:val="1 Char Char Char"/>
    <w:basedOn w:val="1"/>
    <w:next w:val="4"/>
    <w:uiPriority w:val="0"/>
    <w:pPr>
      <w:spacing w:line="500" w:lineRule="exact"/>
      <w:ind w:firstLine="200"/>
      <w:jc w:val="center"/>
    </w:pPr>
    <w:rPr>
      <w:rFonts w:ascii="仿宋_GB2312" w:hAnsi="Arial" w:eastAsia="仿宋_GB2312" w:cs="Arial"/>
      <w:bCs/>
      <w:sz w:val="32"/>
      <w:szCs w:val="32"/>
    </w:rPr>
  </w:style>
  <w:style w:type="paragraph" w:customStyle="1" w:styleId="69">
    <w:name w:val="Char1"/>
    <w:basedOn w:val="1"/>
    <w:uiPriority w:val="0"/>
    <w:pPr>
      <w:widowControl/>
      <w:spacing w:after="160" w:line="240" w:lineRule="exact"/>
      <w:jc w:val="left"/>
    </w:pPr>
    <w:rPr>
      <w:rFonts w:ascii="Tahoma" w:hAnsi="Tahoma"/>
      <w:kern w:val="0"/>
      <w:sz w:val="24"/>
      <w:szCs w:val="24"/>
      <w:lang w:eastAsia="en-US"/>
    </w:rPr>
  </w:style>
  <w:style w:type="paragraph" w:customStyle="1" w:styleId="70">
    <w:name w:val="样式 正文文本"/>
    <w:basedOn w:val="1"/>
    <w:uiPriority w:val="0"/>
    <w:pPr>
      <w:adjustRightInd w:val="0"/>
      <w:snapToGrid w:val="0"/>
      <w:spacing w:line="400" w:lineRule="exact"/>
      <w:ind w:firstLine="200" w:firstLineChars="200"/>
    </w:pPr>
    <w:rPr>
      <w:rFonts w:ascii="Arial" w:hAnsi="Arial"/>
      <w:color w:val="000000"/>
      <w:szCs w:val="20"/>
    </w:rPr>
  </w:style>
  <w:style w:type="paragraph" w:customStyle="1" w:styleId="71">
    <w:name w:val="Char"/>
    <w:basedOn w:val="1"/>
    <w:uiPriority w:val="0"/>
    <w:pPr>
      <w:spacing w:line="360" w:lineRule="auto"/>
    </w:pPr>
    <w:rPr>
      <w:rFonts w:ascii="黑体" w:hAnsi="黑体"/>
      <w:sz w:val="24"/>
      <w:szCs w:val="24"/>
      <w:lang w:val="zh-CN"/>
    </w:rPr>
  </w:style>
  <w:style w:type="paragraph" w:customStyle="1" w:styleId="72">
    <w:name w:val="样式2"/>
    <w:basedOn w:val="36"/>
    <w:uiPriority w:val="0"/>
    <w:pPr>
      <w:ind w:firstLine="2720"/>
    </w:pPr>
    <w:rPr>
      <w:bCs/>
    </w:rPr>
  </w:style>
  <w:style w:type="paragraph" w:customStyle="1" w:styleId="73">
    <w:name w:val="默认段落字体 Para Char Char Char Char"/>
    <w:basedOn w:val="1"/>
    <w:uiPriority w:val="0"/>
    <w:pPr>
      <w:spacing w:line="360" w:lineRule="auto"/>
      <w:ind w:firstLine="200" w:firstLineChars="200"/>
    </w:pPr>
    <w:rPr>
      <w:rFonts w:ascii="宋体" w:hAnsi="宋体" w:cs="宋体"/>
      <w:sz w:val="24"/>
      <w:szCs w:val="24"/>
    </w:rPr>
  </w:style>
  <w:style w:type="paragraph" w:styleId="74">
    <w:name w:val=""/>
    <w:unhideWhenUsed/>
    <w:uiPriority w:val="99"/>
    <w:rPr>
      <w:rFonts w:ascii="Calibri" w:hAnsi="Calibri" w:eastAsia="宋体" w:cs="Times New Roman"/>
      <w:kern w:val="2"/>
      <w:sz w:val="21"/>
      <w:szCs w:val="22"/>
      <w:lang w:val="en-US" w:eastAsia="zh-CN" w:bidi="ar-SA"/>
    </w:rPr>
  </w:style>
  <w:style w:type="paragraph" w:customStyle="1" w:styleId="75">
    <w:name w:val="0"/>
    <w:basedOn w:val="1"/>
    <w:uiPriority w:val="0"/>
    <w:pPr>
      <w:widowControl/>
    </w:pPr>
    <w:rPr>
      <w:rFonts w:ascii="Times New Roman" w:hAnsi="Times New Roman"/>
      <w:kern w:val="0"/>
      <w:szCs w:val="20"/>
    </w:rPr>
  </w:style>
  <w:style w:type="paragraph" w:customStyle="1" w:styleId="76">
    <w:name w:val="Char Char Char Char Char Char Char"/>
    <w:basedOn w:val="1"/>
    <w:uiPriority w:val="0"/>
    <w:pPr>
      <w:widowControl/>
      <w:spacing w:after="160" w:line="240" w:lineRule="exact"/>
      <w:jc w:val="left"/>
    </w:pPr>
    <w:rPr>
      <w:rFonts w:ascii="Times New Roman" w:hAnsi="Times New Roman"/>
      <w:szCs w:val="20"/>
    </w:rPr>
  </w:style>
  <w:style w:type="paragraph" w:customStyle="1" w:styleId="77">
    <w:name w:val="_Style 10"/>
    <w:basedOn w:val="1"/>
    <w:next w:val="1"/>
    <w:uiPriority w:val="0"/>
    <w:rPr>
      <w:rFonts w:ascii="Times New Roman" w:hAnsi="Times New Roman"/>
      <w:szCs w:val="24"/>
    </w:rPr>
  </w:style>
  <w:style w:type="paragraph" w:customStyle="1" w:styleId="78">
    <w:name w:val="样式3"/>
    <w:basedOn w:val="4"/>
    <w:uiPriority w:val="0"/>
    <w:pPr>
      <w:keepNext/>
      <w:keepLines/>
      <w:spacing w:before="120" w:after="120" w:line="360" w:lineRule="auto"/>
    </w:pPr>
    <w:rPr>
      <w:rFonts w:eastAsia="宋体"/>
      <w:sz w:val="24"/>
      <w:szCs w:val="24"/>
    </w:rPr>
  </w:style>
  <w:style w:type="paragraph" w:customStyle="1" w:styleId="79">
    <w:name w:val="!机场正文"/>
    <w:basedOn w:val="1"/>
    <w:qFormat/>
    <w:uiPriority w:val="0"/>
    <w:pPr>
      <w:spacing w:line="560" w:lineRule="exact"/>
      <w:ind w:firstLine="200" w:firstLineChars="200"/>
    </w:pPr>
    <w:rPr>
      <w:rFonts w:ascii="仿宋_GB2312" w:hAnsi="仿宋_GB2312" w:eastAsia="仿宋_GB2312"/>
      <w:sz w:val="32"/>
    </w:rPr>
  </w:style>
  <w:style w:type="paragraph" w:customStyle="1" w:styleId="80">
    <w:name w:val="末级"/>
    <w:basedOn w:val="1"/>
    <w:uiPriority w:val="0"/>
    <w:pPr>
      <w:tabs>
        <w:tab w:val="left" w:pos="851"/>
      </w:tabs>
      <w:spacing w:line="360" w:lineRule="auto"/>
      <w:ind w:firstLine="510"/>
    </w:pPr>
    <w:rPr>
      <w:rFonts w:ascii="Times New Roman" w:hAnsi="Times New Roman"/>
      <w:sz w:val="24"/>
      <w:szCs w:val="24"/>
    </w:rPr>
  </w:style>
  <w:style w:type="paragraph" w:customStyle="1" w:styleId="81">
    <w:name w:val="Char Char Char Char Char Char Char Char Char"/>
    <w:basedOn w:val="1"/>
    <w:uiPriority w:val="0"/>
    <w:pPr>
      <w:widowControl/>
      <w:spacing w:after="160" w:line="240" w:lineRule="exact"/>
      <w:jc w:val="left"/>
    </w:pPr>
    <w:rPr>
      <w:rFonts w:ascii="Times New Roman" w:hAnsi="Times New Roman"/>
      <w:szCs w:val="20"/>
    </w:rPr>
  </w:style>
  <w:style w:type="paragraph" w:customStyle="1" w:styleId="82">
    <w:name w:val="19"/>
    <w:basedOn w:val="1"/>
    <w:uiPriority w:val="0"/>
    <w:pPr>
      <w:widowControl/>
      <w:snapToGrid w:val="0"/>
      <w:spacing w:before="100" w:beforeAutospacing="1" w:after="120" w:line="360" w:lineRule="atLeast"/>
      <w:jc w:val="left"/>
    </w:pPr>
    <w:rPr>
      <w:rFonts w:ascii="宋体" w:hAnsi="宋体"/>
      <w:kern w:val="0"/>
      <w:sz w:val="28"/>
      <w:szCs w:val="20"/>
    </w:rPr>
  </w:style>
  <w:style w:type="paragraph" w:customStyle="1" w:styleId="83">
    <w:name w:val="表格一"/>
    <w:basedOn w:val="1"/>
    <w:uiPriority w:val="0"/>
    <w:pPr>
      <w:spacing w:line="240" w:lineRule="exact"/>
      <w:ind w:left="105" w:leftChars="50"/>
    </w:pPr>
    <w:rPr>
      <w:rFonts w:ascii="Times New Roman" w:hAnsi="Times New Roman"/>
      <w:sz w:val="18"/>
      <w:szCs w:val="21"/>
    </w:rPr>
  </w:style>
  <w:style w:type="paragraph" w:customStyle="1" w:styleId="84">
    <w:name w:val="样式 一号 加粗 居中"/>
    <w:basedOn w:val="1"/>
    <w:uiPriority w:val="0"/>
    <w:pPr>
      <w:jc w:val="center"/>
    </w:pPr>
    <w:rPr>
      <w:rFonts w:ascii="Times New Roman" w:hAnsi="Times New Roman" w:cs="宋体"/>
      <w:bCs/>
      <w:sz w:val="52"/>
      <w:szCs w:val="20"/>
    </w:rPr>
  </w:style>
  <w:style w:type="paragraph" w:styleId="85">
    <w:name w:val=""/>
    <w:basedOn w:val="1"/>
    <w:next w:val="1"/>
    <w:link w:val="116"/>
    <w:uiPriority w:val="0"/>
    <w:pPr>
      <w:pBdr>
        <w:top w:val="single" w:color="auto" w:sz="6" w:space="1"/>
      </w:pBdr>
      <w:jc w:val="center"/>
    </w:pPr>
    <w:rPr>
      <w:rFonts w:ascii="Arial" w:hAnsi="Arial"/>
      <w:vanish/>
      <w:kern w:val="0"/>
      <w:sz w:val="16"/>
      <w:szCs w:val="16"/>
    </w:rPr>
  </w:style>
  <w:style w:type="paragraph" w:styleId="86">
    <w:name w:val=""/>
    <w:basedOn w:val="1"/>
    <w:qFormat/>
    <w:uiPriority w:val="0"/>
    <w:pPr>
      <w:spacing w:before="100" w:beforeAutospacing="1" w:after="100" w:afterAutospacing="1" w:line="300" w:lineRule="auto"/>
      <w:ind w:firstLine="420" w:firstLineChars="200"/>
    </w:pPr>
  </w:style>
  <w:style w:type="paragraph" w:customStyle="1" w:styleId="87">
    <w:name w:val="内文正文"/>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88">
    <w:name w:val="样式 样式1 + 首行缩进:  2 字符"/>
    <w:basedOn w:val="56"/>
    <w:link w:val="134"/>
    <w:uiPriority w:val="0"/>
    <w:pPr>
      <w:spacing w:line="360" w:lineRule="exact"/>
      <w:ind w:firstLine="420" w:firstLineChars="200"/>
      <w:jc w:val="both"/>
    </w:pPr>
    <w:rPr>
      <w:rFonts w:ascii="Arial" w:hAnsi="Arial"/>
      <w:kern w:val="0"/>
      <w:sz w:val="24"/>
      <w:szCs w:val="20"/>
    </w:rPr>
  </w:style>
  <w:style w:type="paragraph" w:customStyle="1" w:styleId="89">
    <w:name w:val="正文_7"/>
    <w:qFormat/>
    <w:uiPriority w:val="0"/>
    <w:pPr>
      <w:widowControl w:val="0"/>
      <w:jc w:val="both"/>
    </w:pPr>
    <w:rPr>
      <w:rFonts w:ascii="Calibri" w:hAnsi="Calibri" w:eastAsia="宋体" w:cs="Times New Roman"/>
      <w:kern w:val="2"/>
      <w:sz w:val="21"/>
      <w:szCs w:val="22"/>
      <w:lang w:val="en-US" w:eastAsia="zh-CN" w:bidi="ar-SA"/>
    </w:rPr>
  </w:style>
  <w:style w:type="character" w:customStyle="1" w:styleId="90">
    <w:name w:val="标题 3 字符"/>
    <w:semiHidden/>
    <w:uiPriority w:val="9"/>
    <w:rPr>
      <w:rFonts w:ascii="Calibri" w:hAnsi="Calibri" w:eastAsia="宋体" w:cs="Times New Roman"/>
      <w:b/>
      <w:bCs/>
      <w:sz w:val="32"/>
      <w:szCs w:val="32"/>
    </w:rPr>
  </w:style>
  <w:style w:type="character" w:customStyle="1" w:styleId="91">
    <w:name w:val="z-窗体底端 字符"/>
    <w:semiHidden/>
    <w:uiPriority w:val="99"/>
    <w:rPr>
      <w:rFonts w:ascii="Arial" w:hAnsi="Arial" w:eastAsia="宋体" w:cs="Arial"/>
      <w:vanish/>
      <w:sz w:val="16"/>
      <w:szCs w:val="16"/>
    </w:rPr>
  </w:style>
  <w:style w:type="character" w:customStyle="1" w:styleId="92">
    <w:name w:val="批注框文本 字符"/>
    <w:semiHidden/>
    <w:uiPriority w:val="99"/>
    <w:rPr>
      <w:rFonts w:ascii="Calibri" w:hAnsi="Calibri" w:eastAsia="宋体" w:cs="Times New Roman"/>
      <w:sz w:val="18"/>
      <w:szCs w:val="18"/>
    </w:rPr>
  </w:style>
  <w:style w:type="character" w:customStyle="1" w:styleId="93">
    <w:name w:val="文档结构图 字符"/>
    <w:semiHidden/>
    <w:uiPriority w:val="99"/>
    <w:rPr>
      <w:rFonts w:ascii="Microsoft YaHei UI" w:hAnsi="Calibri" w:eastAsia="Microsoft YaHei UI" w:cs="Times New Roman"/>
      <w:sz w:val="18"/>
      <w:szCs w:val="18"/>
    </w:rPr>
  </w:style>
  <w:style w:type="character" w:customStyle="1" w:styleId="94">
    <w:name w:val="日期 字符1"/>
    <w:uiPriority w:val="0"/>
    <w:rPr>
      <w:rFonts w:ascii="Times New Roman" w:hAnsi="Times New Roman" w:eastAsia="宋体" w:cs="Times New Roman"/>
      <w:b/>
      <w:bCs/>
      <w:kern w:val="0"/>
      <w:sz w:val="36"/>
      <w:szCs w:val="24"/>
    </w:rPr>
  </w:style>
  <w:style w:type="character" w:customStyle="1" w:styleId="95">
    <w:name w:val="日期 字符2"/>
    <w:link w:val="24"/>
    <w:uiPriority w:val="0"/>
    <w:rPr>
      <w:rFonts w:ascii="Times New Roman" w:hAnsi="Times New Roman" w:eastAsia="宋体" w:cs="Times New Roman"/>
      <w:b/>
      <w:bCs/>
      <w:sz w:val="36"/>
      <w:szCs w:val="24"/>
    </w:rPr>
  </w:style>
  <w:style w:type="character" w:customStyle="1" w:styleId="96">
    <w:name w:val="标题 2 字符"/>
    <w:semiHidden/>
    <w:uiPriority w:val="9"/>
    <w:rPr>
      <w:rFonts w:ascii="Calibri Light" w:hAnsi="Calibri Light" w:eastAsia="宋体" w:cs="Times New Roman"/>
      <w:b/>
      <w:bCs/>
      <w:sz w:val="32"/>
      <w:szCs w:val="32"/>
    </w:rPr>
  </w:style>
  <w:style w:type="character" w:customStyle="1" w:styleId="97">
    <w:name w:val="正文文本缩进 字符1"/>
    <w:link w:val="17"/>
    <w:uiPriority w:val="0"/>
    <w:rPr>
      <w:rFonts w:ascii="Calibri" w:hAnsi="Calibri" w:eastAsia="宋体" w:cs="Times New Roman"/>
    </w:rPr>
  </w:style>
  <w:style w:type="character" w:customStyle="1" w:styleId="98">
    <w:name w:val="脚注文本 字符1"/>
    <w:link w:val="33"/>
    <w:uiPriority w:val="0"/>
    <w:rPr>
      <w:rFonts w:ascii="Times New Roman" w:hAnsi="Times New Roman" w:eastAsia="宋体" w:cs="Times New Roman"/>
      <w:sz w:val="18"/>
      <w:szCs w:val="18"/>
    </w:rPr>
  </w:style>
  <w:style w:type="character" w:customStyle="1" w:styleId="99">
    <w:name w:val="正文文本缩进 3 字符1"/>
    <w:link w:val="35"/>
    <w:uiPriority w:val="0"/>
    <w:rPr>
      <w:rFonts w:ascii="Times New Roman" w:hAnsi="Times New Roman" w:eastAsia="宋体" w:cs="Times New Roman"/>
      <w:sz w:val="24"/>
      <w:szCs w:val="24"/>
    </w:rPr>
  </w:style>
  <w:style w:type="character" w:customStyle="1" w:styleId="100">
    <w:name w:val="标题 字符"/>
    <w:uiPriority w:val="10"/>
    <w:rPr>
      <w:rFonts w:ascii="Calibri Light" w:hAnsi="Calibri Light" w:eastAsia="宋体" w:cs="Times New Roman"/>
      <w:b/>
      <w:bCs/>
      <w:sz w:val="32"/>
      <w:szCs w:val="32"/>
    </w:rPr>
  </w:style>
  <w:style w:type="character" w:customStyle="1" w:styleId="101">
    <w:name w:val="页眉 字符"/>
    <w:semiHidden/>
    <w:uiPriority w:val="99"/>
    <w:rPr>
      <w:rFonts w:ascii="Calibri" w:hAnsi="Calibri" w:eastAsia="宋体" w:cs="Times New Roman"/>
      <w:sz w:val="18"/>
      <w:szCs w:val="18"/>
    </w:rPr>
  </w:style>
  <w:style w:type="character" w:customStyle="1" w:styleId="102">
    <w:name w:val="正文文本首行缩进 2 字符"/>
    <w:link w:val="28"/>
    <w:uiPriority w:val="0"/>
    <w:rPr>
      <w:rFonts w:ascii="Times New Roman" w:hAnsi="Times New Roman" w:eastAsia="宋体" w:cs="Times New Roman"/>
      <w:szCs w:val="24"/>
    </w:rPr>
  </w:style>
  <w:style w:type="character" w:customStyle="1" w:styleId="103">
    <w:name w:val="标题 2 字符1"/>
    <w:link w:val="3"/>
    <w:uiPriority w:val="0"/>
    <w:rPr>
      <w:rFonts w:ascii="Arial" w:hAnsi="Arial" w:eastAsia="黑体" w:cs="Times New Roman"/>
      <w:b/>
      <w:bCs/>
      <w:sz w:val="32"/>
      <w:szCs w:val="32"/>
    </w:rPr>
  </w:style>
  <w:style w:type="character" w:customStyle="1" w:styleId="104">
    <w:name w:val="正文文本首行缩进 字符"/>
    <w:link w:val="11"/>
    <w:uiPriority w:val="0"/>
    <w:rPr>
      <w:rFonts w:ascii="Times New Roman" w:hAnsi="Times New Roman" w:eastAsia="宋体" w:cs="Times New Roman"/>
      <w:szCs w:val="24"/>
    </w:rPr>
  </w:style>
  <w:style w:type="character" w:customStyle="1" w:styleId="105">
    <w:name w:val="正文首行缩进 2 字符"/>
    <w:semiHidden/>
    <w:uiPriority w:val="99"/>
    <w:rPr>
      <w:rFonts w:ascii="Calibri" w:hAnsi="Calibri" w:eastAsia="宋体" w:cs="Times New Roman"/>
    </w:rPr>
  </w:style>
  <w:style w:type="character" w:customStyle="1" w:styleId="106">
    <w:name w:val="纯文本 字符1"/>
    <w:aliases w:val="普通文字 Char 字符,纯文本 Char Char 字符,普通文字1 字符,普通文字2 字符,普通文字3 字符,普通文字4 字符,普通文字5 字符,普通文字6 字符,普通文字11 字符,普通文字21 字符,普通文字31 字符,普通文字41 字符,普通文字7 字符,正 文 1 字符"/>
    <w:uiPriority w:val="0"/>
    <w:rPr>
      <w:rFonts w:ascii="宋体" w:hAnsi="Courier New" w:eastAsia="宋体" w:cs="Times New Roman"/>
      <w:kern w:val="0"/>
      <w:sz w:val="20"/>
      <w:szCs w:val="21"/>
    </w:rPr>
  </w:style>
  <w:style w:type="character" w:customStyle="1" w:styleId="107">
    <w:name w:val="Char Char14"/>
    <w:uiPriority w:val="0"/>
    <w:rPr>
      <w:rFonts w:ascii="宋体" w:hAnsi="Courier New" w:eastAsia="宋体" w:cs="Courier New"/>
      <w:kern w:val="2"/>
      <w:sz w:val="21"/>
      <w:szCs w:val="21"/>
      <w:lang w:val="en-US" w:eastAsia="zh-CN" w:bidi="ar-SA"/>
    </w:rPr>
  </w:style>
  <w:style w:type="character" w:customStyle="1" w:styleId="108">
    <w:name w:val="批注主题 Char1"/>
    <w:semiHidden/>
    <w:uiPriority w:val="99"/>
    <w:rPr>
      <w:rFonts w:ascii="Calibri" w:hAnsi="Calibri" w:eastAsia="宋体" w:cs="Times New Roman"/>
      <w:b/>
      <w:bCs/>
      <w:kern w:val="2"/>
      <w:sz w:val="21"/>
      <w:szCs w:val="22"/>
    </w:rPr>
  </w:style>
  <w:style w:type="character" w:customStyle="1" w:styleId="109">
    <w:name w:val="标题 3 字符1"/>
    <w:link w:val="4"/>
    <w:uiPriority w:val="0"/>
    <w:rPr>
      <w:rFonts w:ascii="Times New Roman" w:hAnsi="Times New Roman" w:eastAsia="楷体_GB2312" w:cs="Times New Roman"/>
      <w:sz w:val="28"/>
    </w:rPr>
  </w:style>
  <w:style w:type="character" w:customStyle="1" w:styleId="110">
    <w:name w:val="纯文本 字符"/>
    <w:semiHidden/>
    <w:uiPriority w:val="99"/>
    <w:rPr>
      <w:rFonts w:ascii="宋体" w:hAnsi="Courier New" w:eastAsia="宋体" w:cs="Courier New"/>
    </w:rPr>
  </w:style>
  <w:style w:type="character" w:customStyle="1" w:styleId="111">
    <w:name w:val="z-窗体顶端 字符1"/>
    <w:link w:val="62"/>
    <w:uiPriority w:val="0"/>
    <w:rPr>
      <w:rFonts w:ascii="Arial" w:hAnsi="Arial" w:eastAsia="宋体" w:cs="Times New Roman"/>
      <w:vanish/>
      <w:sz w:val="16"/>
      <w:szCs w:val="16"/>
    </w:rPr>
  </w:style>
  <w:style w:type="character" w:customStyle="1" w:styleId="112">
    <w:name w:val="正文文本缩进 字符"/>
    <w:semiHidden/>
    <w:uiPriority w:val="99"/>
    <w:rPr>
      <w:rFonts w:ascii="Calibri" w:hAnsi="Calibri" w:eastAsia="宋体" w:cs="Times New Roman"/>
    </w:rPr>
  </w:style>
  <w:style w:type="character" w:customStyle="1" w:styleId="113">
    <w:name w:val="正文缩进 字符"/>
    <w:aliases w:val="正文（首行缩进两字）1 字符,ind:txt 字符,表正文 字符,正文非缩进 字符,特点 字符,段1 字符,Normal Indent Char 字符,四号 字符,正文不缩进 字符,特点 Char 字符,ALT+Z 字符,水上软件 字符,缩进 字符,正文非缩进 Char Char 字符,正文非缩进 Char 字符,标题4 字符,PI 字符,正文缩进1 字符,正文缩进 Char 字符,图号标注 字符,Normal Indent（正文缩进） 字符,Indent 1 字符,正文双线 字符"/>
    <w:uiPriority w:val="0"/>
    <w:rPr>
      <w:rFonts w:ascii="宋体" w:hAnsi="Times New Roman" w:eastAsia="宋体" w:cs="Times New Roman"/>
      <w:sz w:val="34"/>
    </w:rPr>
  </w:style>
  <w:style w:type="character" w:customStyle="1" w:styleId="114">
    <w:name w:val="zbggmain style9"/>
    <w:uiPriority w:val="0"/>
    <w:rPr>
      <w:rFonts w:ascii="Calibri" w:hAnsi="Calibri" w:eastAsia="宋体" w:cs="Times New Roman"/>
    </w:rPr>
  </w:style>
  <w:style w:type="character" w:customStyle="1" w:styleId="115">
    <w:name w:val="z-窗体顶端 字符"/>
    <w:semiHidden/>
    <w:uiPriority w:val="99"/>
    <w:rPr>
      <w:rFonts w:ascii="Arial" w:hAnsi="Arial" w:eastAsia="宋体" w:cs="Arial"/>
      <w:vanish/>
      <w:sz w:val="16"/>
      <w:szCs w:val="16"/>
    </w:rPr>
  </w:style>
  <w:style w:type="character" w:customStyle="1" w:styleId="116">
    <w:name w:val="z-窗体底端 字符1"/>
    <w:link w:val="85"/>
    <w:uiPriority w:val="0"/>
    <w:rPr>
      <w:rFonts w:ascii="Arial" w:hAnsi="Arial" w:eastAsia="宋体" w:cs="Times New Roman"/>
      <w:vanish/>
      <w:sz w:val="16"/>
      <w:szCs w:val="16"/>
    </w:rPr>
  </w:style>
  <w:style w:type="character" w:customStyle="1" w:styleId="117">
    <w:name w:val="正文首行缩进 字符"/>
    <w:semiHidden/>
    <w:uiPriority w:val="99"/>
    <w:rPr>
      <w:rFonts w:ascii="Calibri" w:hAnsi="Calibri" w:eastAsia="宋体" w:cs="Times New Roman"/>
    </w:rPr>
  </w:style>
  <w:style w:type="character" w:customStyle="1" w:styleId="118">
    <w:name w:val="正文文本 字符1"/>
    <w:link w:val="12"/>
    <w:uiPriority w:val="0"/>
    <w:rPr>
      <w:rFonts w:ascii="Calibri" w:hAnsi="Calibri" w:eastAsia="宋体" w:cs="Times New Roman"/>
    </w:rPr>
  </w:style>
  <w:style w:type="character" w:customStyle="1" w:styleId="119">
    <w:name w:val="标题 4 字符"/>
    <w:semiHidden/>
    <w:uiPriority w:val="9"/>
    <w:rPr>
      <w:rFonts w:ascii="Calibri Light" w:hAnsi="Calibri Light" w:eastAsia="宋体" w:cs="Times New Roman"/>
      <w:b/>
      <w:bCs/>
      <w:sz w:val="28"/>
      <w:szCs w:val="28"/>
    </w:rPr>
  </w:style>
  <w:style w:type="character" w:customStyle="1" w:styleId="120">
    <w:name w:val="正文文本 2 字符"/>
    <w:semiHidden/>
    <w:uiPriority w:val="99"/>
    <w:rPr>
      <w:rFonts w:ascii="Calibri" w:hAnsi="Calibri" w:eastAsia="宋体" w:cs="Times New Roman"/>
    </w:rPr>
  </w:style>
  <w:style w:type="character" w:customStyle="1" w:styleId="121">
    <w:name w:val="页脚 字符1"/>
    <w:link w:val="27"/>
    <w:uiPriority w:val="99"/>
    <w:rPr>
      <w:rFonts w:ascii="Times New Roman" w:hAnsi="Times New Roman" w:eastAsia="宋体" w:cs="Times New Roman"/>
      <w:sz w:val="18"/>
      <w:szCs w:val="18"/>
    </w:rPr>
  </w:style>
  <w:style w:type="character" w:customStyle="1" w:styleId="122">
    <w:name w:val="标题 5 字符"/>
    <w:semiHidden/>
    <w:uiPriority w:val="9"/>
    <w:rPr>
      <w:rFonts w:ascii="Calibri" w:hAnsi="Calibri" w:eastAsia="宋体" w:cs="Times New Roman"/>
      <w:b/>
      <w:bCs/>
      <w:sz w:val="28"/>
      <w:szCs w:val="28"/>
    </w:rPr>
  </w:style>
  <w:style w:type="character" w:customStyle="1" w:styleId="123">
    <w:name w:val="纯文本 字符2"/>
    <w:link w:val="21"/>
    <w:uiPriority w:val="0"/>
    <w:rPr>
      <w:rFonts w:ascii="宋体" w:hAnsi="Courier New" w:eastAsia="宋体" w:cs="Times New Roman"/>
      <w:szCs w:val="21"/>
    </w:rPr>
  </w:style>
  <w:style w:type="character" w:customStyle="1" w:styleId="124">
    <w:name w:val="标题 5 字符1"/>
    <w:link w:val="6"/>
    <w:uiPriority w:val="0"/>
    <w:rPr>
      <w:rFonts w:ascii="Times New Roman" w:hAnsi="Times New Roman" w:eastAsia="宋体" w:cs="Times New Roman"/>
      <w:b/>
      <w:bCs/>
      <w:sz w:val="28"/>
      <w:szCs w:val="28"/>
    </w:rPr>
  </w:style>
  <w:style w:type="character" w:customStyle="1" w:styleId="125">
    <w:name w:val="日期 字符"/>
    <w:semiHidden/>
    <w:uiPriority w:val="99"/>
    <w:rPr>
      <w:rFonts w:ascii="Calibri" w:hAnsi="Calibri" w:eastAsia="宋体" w:cs="Times New Roman"/>
    </w:rPr>
  </w:style>
  <w:style w:type="character" w:customStyle="1" w:styleId="126">
    <w:name w:val="脚注文本 字符"/>
    <w:semiHidden/>
    <w:uiPriority w:val="99"/>
    <w:rPr>
      <w:rFonts w:ascii="Calibri" w:hAnsi="Calibri" w:eastAsia="宋体" w:cs="Times New Roman"/>
      <w:sz w:val="18"/>
      <w:szCs w:val="18"/>
    </w:rPr>
  </w:style>
  <w:style w:type="character" w:customStyle="1" w:styleId="127">
    <w:name w:val="标题 1 字符"/>
    <w:uiPriority w:val="9"/>
    <w:rPr>
      <w:rFonts w:ascii="Calibri" w:hAnsi="Calibri" w:eastAsia="宋体" w:cs="Times New Roman"/>
      <w:b/>
      <w:bCs/>
      <w:kern w:val="44"/>
      <w:sz w:val="44"/>
      <w:szCs w:val="44"/>
    </w:rPr>
  </w:style>
  <w:style w:type="character" w:customStyle="1" w:styleId="128">
    <w:name w:val="批注文字 字符"/>
    <w:link w:val="9"/>
    <w:semiHidden/>
    <w:uiPriority w:val="99"/>
    <w:rPr>
      <w:rFonts w:ascii="Calibri" w:hAnsi="Calibri" w:eastAsia="宋体" w:cs="Times New Roman"/>
      <w:kern w:val="2"/>
      <w:sz w:val="21"/>
      <w:szCs w:val="22"/>
    </w:rPr>
  </w:style>
  <w:style w:type="character" w:customStyle="1" w:styleId="129">
    <w:name w:val="正文缩进 字符1"/>
    <w:link w:val="13"/>
    <w:uiPriority w:val="0"/>
    <w:rPr>
      <w:rFonts w:ascii="宋体" w:hAnsi="Times New Roman" w:eastAsia="宋体" w:cs="Times New Roman"/>
      <w:sz w:val="34"/>
    </w:rPr>
  </w:style>
  <w:style w:type="character" w:customStyle="1" w:styleId="130">
    <w:name w:val="批注框文本 字符1"/>
    <w:link w:val="26"/>
    <w:uiPriority w:val="0"/>
    <w:rPr>
      <w:rFonts w:ascii="Times New Roman" w:hAnsi="Times New Roman" w:eastAsia="宋体" w:cs="Times New Roman"/>
      <w:sz w:val="18"/>
      <w:szCs w:val="18"/>
    </w:rPr>
  </w:style>
  <w:style w:type="character" w:customStyle="1" w:styleId="131">
    <w:name w:val="标题 字符1"/>
    <w:link w:val="45"/>
    <w:uiPriority w:val="0"/>
    <w:rPr>
      <w:rFonts w:ascii="Arial" w:hAnsi="Arial" w:eastAsia="宋体" w:cs="Times New Roman"/>
      <w:b/>
      <w:bCs/>
      <w:sz w:val="32"/>
      <w:szCs w:val="32"/>
    </w:rPr>
  </w:style>
  <w:style w:type="character" w:customStyle="1" w:styleId="132">
    <w:name w:val="页脚 字符"/>
    <w:semiHidden/>
    <w:uiPriority w:val="99"/>
    <w:rPr>
      <w:rFonts w:ascii="Calibri" w:hAnsi="Calibri" w:eastAsia="宋体" w:cs="Times New Roman"/>
      <w:sz w:val="18"/>
      <w:szCs w:val="18"/>
    </w:rPr>
  </w:style>
  <w:style w:type="character" w:customStyle="1" w:styleId="133">
    <w:name w:val="正文文本缩进 3 字符"/>
    <w:semiHidden/>
    <w:uiPriority w:val="99"/>
    <w:rPr>
      <w:rFonts w:ascii="Calibri" w:hAnsi="Calibri" w:eastAsia="宋体" w:cs="Times New Roman"/>
      <w:sz w:val="16"/>
      <w:szCs w:val="16"/>
    </w:rPr>
  </w:style>
  <w:style w:type="character" w:customStyle="1" w:styleId="134">
    <w:name w:val="样式 样式1 + 首行缩进:  2 字符 Char"/>
    <w:link w:val="88"/>
    <w:uiPriority w:val="0"/>
    <w:rPr>
      <w:rFonts w:ascii="Arial" w:hAnsi="Arial" w:eastAsia="宋体" w:cs="Times New Roman"/>
      <w:sz w:val="24"/>
    </w:rPr>
  </w:style>
  <w:style w:type="character" w:customStyle="1" w:styleId="135">
    <w:name w:val="批注主题 字符"/>
    <w:link w:val="8"/>
    <w:semiHidden/>
    <w:uiPriority w:val="0"/>
    <w:rPr>
      <w:rFonts w:ascii="Times New Roman" w:hAnsi="Times New Roman" w:eastAsia="宋体" w:cs="Times New Roman"/>
      <w:b/>
      <w:bCs/>
      <w:kern w:val="2"/>
      <w:sz w:val="21"/>
      <w:szCs w:val="24"/>
    </w:rPr>
  </w:style>
  <w:style w:type="character" w:customStyle="1" w:styleId="136">
    <w:name w:val="页眉 字符1"/>
    <w:link w:val="29"/>
    <w:uiPriority w:val="99"/>
    <w:rPr>
      <w:rFonts w:ascii="Times New Roman" w:hAnsi="Times New Roman" w:eastAsia="宋体" w:cs="Times New Roman"/>
      <w:sz w:val="18"/>
      <w:szCs w:val="18"/>
    </w:rPr>
  </w:style>
  <w:style w:type="character" w:customStyle="1" w:styleId="137">
    <w:name w:val="正文文本缩进 2 字符1"/>
    <w:link w:val="25"/>
    <w:uiPriority w:val="0"/>
    <w:rPr>
      <w:rFonts w:ascii="Times New Roman" w:hAnsi="Times New Roman" w:eastAsia="宋体" w:cs="Times New Roman"/>
      <w:szCs w:val="24"/>
    </w:rPr>
  </w:style>
  <w:style w:type="character" w:customStyle="1" w:styleId="138">
    <w:name w:val="正文文本 字符"/>
    <w:semiHidden/>
    <w:uiPriority w:val="99"/>
    <w:rPr>
      <w:rFonts w:ascii="Calibri" w:hAnsi="Calibri" w:eastAsia="宋体" w:cs="Times New Roman"/>
    </w:rPr>
  </w:style>
  <w:style w:type="character" w:customStyle="1" w:styleId="139">
    <w:name w:val="正文文本缩进 2 字符"/>
    <w:semiHidden/>
    <w:uiPriority w:val="99"/>
    <w:rPr>
      <w:rFonts w:ascii="Calibri" w:hAnsi="Calibri" w:eastAsia="宋体" w:cs="Times New Roman"/>
    </w:rPr>
  </w:style>
  <w:style w:type="character" w:customStyle="1" w:styleId="140">
    <w:name w:val="标题 4 字符1"/>
    <w:link w:val="5"/>
    <w:uiPriority w:val="0"/>
    <w:rPr>
      <w:rFonts w:ascii="Arial" w:hAnsi="Arial" w:eastAsia="黑体" w:cs="Times New Roman"/>
      <w:b/>
      <w:bCs/>
      <w:sz w:val="28"/>
      <w:szCs w:val="28"/>
    </w:rPr>
  </w:style>
  <w:style w:type="character" w:customStyle="1" w:styleId="141">
    <w:name w:val="标题 1 字符1"/>
    <w:link w:val="2"/>
    <w:uiPriority w:val="0"/>
    <w:rPr>
      <w:rFonts w:ascii="Times New Roman" w:hAnsi="Times New Roman" w:eastAsia="宋体" w:cs="Times New Roman"/>
      <w:b/>
      <w:bCs/>
      <w:kern w:val="44"/>
      <w:sz w:val="44"/>
      <w:szCs w:val="44"/>
    </w:rPr>
  </w:style>
  <w:style w:type="character" w:customStyle="1" w:styleId="142">
    <w:name w:val="文档结构图 字符1"/>
    <w:link w:val="15"/>
    <w:uiPriority w:val="0"/>
    <w:rPr>
      <w:rFonts w:ascii="Times New Roman" w:hAnsi="Times New Roman" w:eastAsia="宋体" w:cs="Times New Roman"/>
      <w:szCs w:val="24"/>
      <w:shd w:val="clear" w:color="auto" w:fill="000080"/>
    </w:rPr>
  </w:style>
  <w:style w:type="character" w:customStyle="1" w:styleId="143">
    <w:name w:val="正文文本 2 字符1"/>
    <w:link w:val="39"/>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jsx</dc:creator>
  <cp:lastModifiedBy>贾思勰</cp:lastModifiedBy>
  <dcterms:modified xsi:type="dcterms:W3CDTF">2019-11-21T09:42:08Z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