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0"/>
        <w:jc w:val="center"/>
      </w:pPr>
    </w:p>
    <w:p>
      <w:pPr>
        <w:spacing w:line="360" w:lineRule="auto"/>
        <w:jc w:val="center"/>
      </w:pPr>
    </w:p>
    <w:p>
      <w:pPr>
        <w:spacing w:line="360" w:lineRule="auto"/>
        <w:jc w:val="center"/>
        <w:rPr>
          <w:rFonts w:hAnsiTheme="minorEastAsia" w:eastAsiaTheme="minorEastAsia"/>
          <w:b/>
          <w:sz w:val="52"/>
          <w:szCs w:val="52"/>
        </w:rPr>
      </w:pPr>
      <w:r>
        <w:rPr>
          <w:rFonts w:hint="eastAsia" w:hAnsiTheme="minorEastAsia" w:eastAsiaTheme="minorEastAsia"/>
          <w:b/>
          <w:sz w:val="52"/>
          <w:szCs w:val="52"/>
        </w:rPr>
        <w:t>杭州机场综合服务楼（酒店部分）委托管理服务项目</w:t>
      </w:r>
    </w:p>
    <w:p>
      <w:pPr>
        <w:spacing w:line="360" w:lineRule="auto"/>
        <w:jc w:val="center"/>
        <w:rPr>
          <w:rFonts w:hAnsiTheme="minorEastAsia" w:eastAsiaTheme="minorEastAsia"/>
          <w:b/>
          <w:sz w:val="72"/>
          <w:szCs w:val="52"/>
        </w:rPr>
      </w:pPr>
    </w:p>
    <w:p>
      <w:pPr>
        <w:spacing w:line="360" w:lineRule="auto"/>
        <w:jc w:val="center"/>
        <w:rPr>
          <w:rFonts w:eastAsiaTheme="minorEastAsia"/>
          <w:b/>
          <w:sz w:val="72"/>
          <w:szCs w:val="52"/>
        </w:rPr>
      </w:pPr>
      <w:r>
        <w:rPr>
          <w:rFonts w:hAnsiTheme="minorEastAsia" w:eastAsiaTheme="minorEastAsia"/>
          <w:b/>
          <w:sz w:val="72"/>
          <w:szCs w:val="52"/>
        </w:rPr>
        <w:t>竞争性</w:t>
      </w:r>
      <w:r>
        <w:rPr>
          <w:rFonts w:hint="eastAsia" w:hAnsiTheme="minorEastAsia" w:eastAsiaTheme="minorEastAsia"/>
          <w:b/>
          <w:sz w:val="72"/>
          <w:szCs w:val="52"/>
        </w:rPr>
        <w:t>谈判</w:t>
      </w:r>
      <w:r>
        <w:rPr>
          <w:rFonts w:hAnsiTheme="minorEastAsia" w:eastAsiaTheme="minorEastAsia"/>
          <w:b/>
          <w:sz w:val="72"/>
          <w:szCs w:val="52"/>
        </w:rPr>
        <w:t>文件</w:t>
      </w:r>
    </w:p>
    <w:p>
      <w:pPr>
        <w:spacing w:line="360" w:lineRule="auto"/>
        <w:rPr>
          <w:rFonts w:hAnsiTheme="minorEastAsia" w:eastAsiaTheme="minorEastAsia"/>
          <w:b/>
          <w:sz w:val="36"/>
          <w:szCs w:val="36"/>
          <w:highlight w:val="yellow"/>
        </w:rPr>
      </w:pPr>
    </w:p>
    <w:p>
      <w:pPr>
        <w:spacing w:line="360" w:lineRule="auto"/>
        <w:jc w:val="center"/>
        <w:rPr>
          <w:rFonts w:hAnsiTheme="minorEastAsia" w:eastAsiaTheme="minorEastAsia"/>
          <w:b/>
          <w:sz w:val="36"/>
          <w:szCs w:val="36"/>
        </w:rPr>
      </w:pPr>
    </w:p>
    <w:p>
      <w:pPr>
        <w:spacing w:line="360" w:lineRule="auto"/>
        <w:jc w:val="center"/>
        <w:rPr>
          <w:rFonts w:hAnsiTheme="minorEastAsia" w:eastAsiaTheme="minorEastAsia"/>
          <w:b/>
          <w:sz w:val="36"/>
          <w:szCs w:val="36"/>
        </w:rPr>
      </w:pPr>
    </w:p>
    <w:p>
      <w:pPr>
        <w:spacing w:line="360" w:lineRule="auto"/>
        <w:jc w:val="center"/>
        <w:rPr>
          <w:rFonts w:hAnsiTheme="minorEastAsia" w:eastAsiaTheme="minorEastAsia"/>
          <w:b/>
          <w:sz w:val="36"/>
          <w:szCs w:val="36"/>
        </w:rPr>
      </w:pPr>
    </w:p>
    <w:p>
      <w:pPr>
        <w:spacing w:line="360" w:lineRule="auto"/>
        <w:jc w:val="center"/>
        <w:rPr>
          <w:rFonts w:hAnsiTheme="minorEastAsia" w:eastAsiaTheme="minorEastAsia"/>
          <w:b/>
          <w:sz w:val="36"/>
          <w:szCs w:val="36"/>
        </w:rPr>
      </w:pPr>
    </w:p>
    <w:p>
      <w:pPr>
        <w:spacing w:line="360" w:lineRule="auto"/>
        <w:jc w:val="center"/>
        <w:rPr>
          <w:rFonts w:hAnsiTheme="minorEastAsia" w:eastAsiaTheme="minorEastAsia"/>
          <w:b/>
          <w:sz w:val="36"/>
          <w:szCs w:val="36"/>
        </w:rPr>
      </w:pPr>
    </w:p>
    <w:p>
      <w:pPr>
        <w:spacing w:line="360" w:lineRule="auto"/>
        <w:jc w:val="center"/>
        <w:rPr>
          <w:rFonts w:hAnsiTheme="minorEastAsia" w:eastAsiaTheme="minorEastAsia"/>
          <w:b/>
          <w:sz w:val="36"/>
          <w:szCs w:val="36"/>
        </w:rPr>
      </w:pPr>
    </w:p>
    <w:p>
      <w:pPr>
        <w:spacing w:line="360" w:lineRule="auto"/>
        <w:jc w:val="center"/>
        <w:rPr>
          <w:rFonts w:hAnsiTheme="minorEastAsia" w:eastAsiaTheme="minorEastAsia"/>
          <w:b/>
          <w:sz w:val="36"/>
          <w:szCs w:val="36"/>
        </w:rPr>
      </w:pPr>
    </w:p>
    <w:p>
      <w:pPr>
        <w:spacing w:line="360" w:lineRule="auto"/>
        <w:jc w:val="center"/>
        <w:rPr>
          <w:rFonts w:hAnsiTheme="minorEastAsia" w:eastAsiaTheme="minorEastAsia"/>
          <w:b/>
          <w:sz w:val="36"/>
          <w:szCs w:val="36"/>
        </w:rPr>
      </w:pPr>
    </w:p>
    <w:p>
      <w:pPr>
        <w:spacing w:line="360" w:lineRule="auto"/>
        <w:jc w:val="center"/>
        <w:rPr>
          <w:rFonts w:hAnsiTheme="minorEastAsia" w:eastAsiaTheme="minorEastAsia"/>
          <w:b/>
          <w:sz w:val="36"/>
          <w:szCs w:val="36"/>
        </w:rPr>
      </w:pPr>
    </w:p>
    <w:p>
      <w:pPr>
        <w:spacing w:line="360" w:lineRule="auto"/>
        <w:jc w:val="center"/>
        <w:rPr>
          <w:rFonts w:hAnsiTheme="minorEastAsia" w:eastAsiaTheme="minorEastAsia"/>
          <w:b/>
          <w:sz w:val="36"/>
          <w:szCs w:val="36"/>
        </w:rPr>
      </w:pPr>
      <w:r>
        <w:rPr>
          <w:rFonts w:hint="eastAsia" w:hAnsiTheme="minorEastAsia" w:eastAsiaTheme="minorEastAsia"/>
          <w:b/>
          <w:sz w:val="36"/>
          <w:szCs w:val="36"/>
        </w:rPr>
        <w:t>招标人</w:t>
      </w:r>
      <w:r>
        <w:rPr>
          <w:rFonts w:hAnsiTheme="minorEastAsia" w:eastAsiaTheme="minorEastAsia"/>
          <w:b/>
          <w:sz w:val="36"/>
          <w:szCs w:val="36"/>
        </w:rPr>
        <w:t>：</w:t>
      </w:r>
      <w:r>
        <w:rPr>
          <w:rFonts w:hint="eastAsia" w:hAnsiTheme="minorEastAsia" w:eastAsiaTheme="minorEastAsia"/>
          <w:b/>
          <w:sz w:val="36"/>
          <w:szCs w:val="36"/>
        </w:rPr>
        <w:t>浙江空港培训服务咨询有限公司</w:t>
      </w:r>
    </w:p>
    <w:p>
      <w:pPr>
        <w:spacing w:line="360" w:lineRule="auto"/>
        <w:jc w:val="center"/>
        <w:rPr>
          <w:rFonts w:hAnsiTheme="minorEastAsia" w:eastAsiaTheme="minorEastAsia"/>
          <w:b/>
          <w:sz w:val="36"/>
          <w:szCs w:val="36"/>
        </w:rPr>
      </w:pPr>
      <w:r>
        <w:rPr>
          <w:rFonts w:hAnsiTheme="minorEastAsia" w:eastAsiaTheme="minorEastAsia"/>
          <w:b/>
          <w:sz w:val="36"/>
          <w:szCs w:val="36"/>
        </w:rPr>
        <w:t>二〇一</w:t>
      </w:r>
      <w:r>
        <w:rPr>
          <w:rFonts w:hint="eastAsia" w:hAnsiTheme="minorEastAsia" w:eastAsiaTheme="minorEastAsia"/>
          <w:b/>
          <w:sz w:val="36"/>
          <w:szCs w:val="36"/>
        </w:rPr>
        <w:t>九</w:t>
      </w:r>
      <w:r>
        <w:rPr>
          <w:rFonts w:hAnsiTheme="minorEastAsia" w:eastAsiaTheme="minorEastAsia"/>
          <w:b/>
          <w:sz w:val="36"/>
          <w:szCs w:val="36"/>
        </w:rPr>
        <w:t>年</w:t>
      </w:r>
      <w:r>
        <w:rPr>
          <w:rFonts w:hint="eastAsia" w:hAnsiTheme="minorEastAsia" w:eastAsiaTheme="minorEastAsia"/>
          <w:b/>
          <w:sz w:val="36"/>
          <w:szCs w:val="36"/>
        </w:rPr>
        <w:t>十二</w:t>
      </w:r>
      <w:r>
        <w:rPr>
          <w:rFonts w:hAnsiTheme="minorEastAsia" w:eastAsiaTheme="minorEastAsia"/>
          <w:b/>
          <w:sz w:val="36"/>
          <w:szCs w:val="36"/>
        </w:rPr>
        <w:t>月</w:t>
      </w:r>
    </w:p>
    <w:p>
      <w:pPr>
        <w:spacing w:line="360" w:lineRule="auto"/>
        <w:ind w:firstLine="720"/>
        <w:jc w:val="center"/>
        <w:rPr>
          <w:rFonts w:eastAsiaTheme="minorEastAsia"/>
          <w:sz w:val="36"/>
          <w:szCs w:val="36"/>
        </w:rPr>
        <w:sectPr>
          <w:headerReference r:id="rId3" w:type="default"/>
          <w:footerReference r:id="rId4" w:type="default"/>
          <w:type w:val="nextColumn"/>
          <w:pgSz w:w="11906" w:h="16838"/>
          <w:pgMar w:top="1440" w:right="1080" w:bottom="1440" w:left="1080" w:header="851" w:footer="992" w:gutter="0"/>
          <w:cols w:space="720" w:num="1"/>
          <w:docGrid w:linePitch="312" w:charSpace="0"/>
        </w:sectPr>
      </w:pPr>
    </w:p>
    <w:p>
      <w:pPr>
        <w:spacing w:line="360" w:lineRule="auto"/>
        <w:ind w:firstLine="723"/>
        <w:jc w:val="center"/>
        <w:rPr>
          <w:rFonts w:eastAsiaTheme="minorEastAsia"/>
          <w:b/>
          <w:sz w:val="36"/>
          <w:szCs w:val="36"/>
        </w:rPr>
      </w:pPr>
      <w:r>
        <w:rPr>
          <w:rFonts w:hint="eastAsia" w:eastAsiaTheme="minorEastAsia"/>
          <w:b/>
          <w:sz w:val="36"/>
          <w:szCs w:val="36"/>
        </w:rPr>
        <w:t>目  录</w:t>
      </w:r>
    </w:p>
    <w:p>
      <w:pPr>
        <w:pStyle w:val="31"/>
        <w:tabs>
          <w:tab w:val="right" w:leader="dot" w:pos="9736"/>
        </w:tabs>
        <w:rPr>
          <w:rFonts w:asciiTheme="minorHAnsi" w:hAnsiTheme="minorHAnsi" w:eastAsiaTheme="minorEastAsia" w:cstheme="minorBidi"/>
          <w:szCs w:val="22"/>
        </w:rPr>
      </w:pPr>
      <w:r>
        <w:fldChar w:fldCharType="begin"/>
      </w:r>
      <w:r>
        <w:instrText xml:space="preserve"> TOC \o "1-2" \h \z \u </w:instrText>
      </w:r>
      <w:r>
        <w:fldChar w:fldCharType="separate"/>
      </w:r>
      <w:r>
        <w:fldChar w:fldCharType="begin"/>
      </w:r>
      <w:r>
        <w:instrText xml:space="preserve"> HYPERLINK \l "_Toc12951276" </w:instrText>
      </w:r>
      <w:r>
        <w:fldChar w:fldCharType="separate"/>
      </w:r>
      <w:r>
        <w:rPr>
          <w:rStyle w:val="49"/>
          <w:color w:val="auto"/>
        </w:rPr>
        <w:t>第一章 竞争性</w:t>
      </w:r>
      <w:r>
        <w:rPr>
          <w:rStyle w:val="49"/>
          <w:rFonts w:hint="eastAsia"/>
          <w:color w:val="auto"/>
        </w:rPr>
        <w:t>谈判</w:t>
      </w:r>
      <w:r>
        <w:rPr>
          <w:rStyle w:val="49"/>
          <w:color w:val="auto"/>
        </w:rPr>
        <w:t>公告</w:t>
      </w:r>
      <w:r>
        <w:tab/>
      </w:r>
      <w:r>
        <w:fldChar w:fldCharType="begin"/>
      </w:r>
      <w:r>
        <w:instrText xml:space="preserve"> PAGEREF _Toc12951276 \h </w:instrText>
      </w:r>
      <w:r>
        <w:fldChar w:fldCharType="separate"/>
      </w:r>
      <w:r>
        <w:t>2</w:t>
      </w:r>
      <w:r>
        <w:fldChar w:fldCharType="end"/>
      </w:r>
      <w:r>
        <w:fldChar w:fldCharType="end"/>
      </w:r>
    </w:p>
    <w:p>
      <w:pPr>
        <w:pStyle w:val="37"/>
        <w:tabs>
          <w:tab w:val="right" w:leader="dot" w:pos="9736"/>
        </w:tabs>
        <w:rPr>
          <w:rFonts w:asciiTheme="minorHAnsi" w:hAnsiTheme="minorHAnsi" w:eastAsiaTheme="minorEastAsia" w:cstheme="minorBidi"/>
          <w:szCs w:val="22"/>
        </w:rPr>
      </w:pPr>
      <w:r>
        <w:fldChar w:fldCharType="begin"/>
      </w:r>
      <w:r>
        <w:instrText xml:space="preserve"> HYPERLINK \l "_Toc12951277" </w:instrText>
      </w:r>
      <w:r>
        <w:fldChar w:fldCharType="separate"/>
      </w:r>
      <w:r>
        <w:rPr>
          <w:rStyle w:val="49"/>
          <w:rFonts w:ascii="宋体"/>
          <w:snapToGrid w:val="0"/>
          <w:color w:val="auto"/>
        </w:rPr>
        <w:t>1. 招标条件</w:t>
      </w:r>
      <w:r>
        <w:tab/>
      </w:r>
      <w:r>
        <w:fldChar w:fldCharType="begin"/>
      </w:r>
      <w:r>
        <w:instrText xml:space="preserve"> PAGEREF _Toc12951277 \h </w:instrText>
      </w:r>
      <w:r>
        <w:fldChar w:fldCharType="separate"/>
      </w:r>
      <w:r>
        <w:t>2</w:t>
      </w:r>
      <w:r>
        <w:fldChar w:fldCharType="end"/>
      </w:r>
      <w:r>
        <w:fldChar w:fldCharType="end"/>
      </w:r>
    </w:p>
    <w:p>
      <w:pPr>
        <w:pStyle w:val="37"/>
        <w:tabs>
          <w:tab w:val="right" w:leader="dot" w:pos="9736"/>
        </w:tabs>
        <w:rPr>
          <w:rFonts w:asciiTheme="minorHAnsi" w:hAnsiTheme="minorHAnsi" w:eastAsiaTheme="minorEastAsia" w:cstheme="minorBidi"/>
          <w:szCs w:val="22"/>
        </w:rPr>
      </w:pPr>
      <w:r>
        <w:fldChar w:fldCharType="begin"/>
      </w:r>
      <w:r>
        <w:instrText xml:space="preserve"> HYPERLINK \l "_Toc12951278" </w:instrText>
      </w:r>
      <w:r>
        <w:fldChar w:fldCharType="separate"/>
      </w:r>
      <w:r>
        <w:rPr>
          <w:rStyle w:val="49"/>
          <w:rFonts w:ascii="宋体"/>
          <w:snapToGrid w:val="0"/>
          <w:color w:val="auto"/>
        </w:rPr>
        <w:t>2. 项目概况与招标范围</w:t>
      </w:r>
      <w:r>
        <w:tab/>
      </w:r>
      <w:r>
        <w:fldChar w:fldCharType="begin"/>
      </w:r>
      <w:r>
        <w:instrText xml:space="preserve"> PAGEREF _Toc12951278 \h </w:instrText>
      </w:r>
      <w:r>
        <w:fldChar w:fldCharType="separate"/>
      </w:r>
      <w:r>
        <w:t>3</w:t>
      </w:r>
      <w:r>
        <w:fldChar w:fldCharType="end"/>
      </w:r>
      <w:r>
        <w:fldChar w:fldCharType="end"/>
      </w:r>
    </w:p>
    <w:p>
      <w:pPr>
        <w:pStyle w:val="37"/>
        <w:tabs>
          <w:tab w:val="right" w:leader="dot" w:pos="9736"/>
        </w:tabs>
        <w:rPr>
          <w:rFonts w:asciiTheme="minorHAnsi" w:hAnsiTheme="minorHAnsi" w:eastAsiaTheme="minorEastAsia" w:cstheme="minorBidi"/>
          <w:szCs w:val="22"/>
        </w:rPr>
      </w:pPr>
      <w:r>
        <w:fldChar w:fldCharType="begin"/>
      </w:r>
      <w:r>
        <w:instrText xml:space="preserve"> HYPERLINK \l "_Toc12951279" </w:instrText>
      </w:r>
      <w:r>
        <w:fldChar w:fldCharType="separate"/>
      </w:r>
      <w:r>
        <w:rPr>
          <w:rStyle w:val="49"/>
          <w:rFonts w:ascii="宋体"/>
          <w:snapToGrid w:val="0"/>
          <w:color w:val="auto"/>
        </w:rPr>
        <w:t xml:space="preserve">3. </w:t>
      </w:r>
      <w:r>
        <w:rPr>
          <w:rStyle w:val="49"/>
          <w:rFonts w:hint="eastAsia" w:ascii="宋体"/>
          <w:snapToGrid w:val="0"/>
          <w:color w:val="auto"/>
        </w:rPr>
        <w:t>谈判</w:t>
      </w:r>
      <w:r>
        <w:rPr>
          <w:rStyle w:val="49"/>
          <w:rFonts w:ascii="宋体"/>
          <w:snapToGrid w:val="0"/>
          <w:color w:val="auto"/>
        </w:rPr>
        <w:t>响应方资格要求</w:t>
      </w:r>
      <w:r>
        <w:tab/>
      </w:r>
      <w:r>
        <w:fldChar w:fldCharType="begin"/>
      </w:r>
      <w:r>
        <w:instrText xml:space="preserve"> PAGEREF _Toc12951279 \h </w:instrText>
      </w:r>
      <w:r>
        <w:fldChar w:fldCharType="separate"/>
      </w:r>
      <w:r>
        <w:t>3</w:t>
      </w:r>
      <w:r>
        <w:fldChar w:fldCharType="end"/>
      </w:r>
      <w:r>
        <w:fldChar w:fldCharType="end"/>
      </w:r>
    </w:p>
    <w:p>
      <w:pPr>
        <w:pStyle w:val="37"/>
        <w:tabs>
          <w:tab w:val="right" w:leader="dot" w:pos="9736"/>
        </w:tabs>
        <w:rPr>
          <w:rFonts w:asciiTheme="minorHAnsi" w:hAnsiTheme="minorHAnsi" w:eastAsiaTheme="minorEastAsia" w:cstheme="minorBidi"/>
          <w:szCs w:val="22"/>
        </w:rPr>
      </w:pPr>
      <w:r>
        <w:fldChar w:fldCharType="begin"/>
      </w:r>
      <w:r>
        <w:instrText xml:space="preserve"> HYPERLINK \l "_Toc12951280" </w:instrText>
      </w:r>
      <w:r>
        <w:fldChar w:fldCharType="separate"/>
      </w:r>
      <w:r>
        <w:rPr>
          <w:rStyle w:val="49"/>
          <w:rFonts w:ascii="宋体"/>
          <w:snapToGrid w:val="0"/>
          <w:color w:val="auto"/>
        </w:rPr>
        <w:t xml:space="preserve">4. </w:t>
      </w:r>
      <w:r>
        <w:rPr>
          <w:rStyle w:val="49"/>
          <w:rFonts w:hint="eastAsia" w:ascii="宋体"/>
          <w:snapToGrid w:val="0"/>
          <w:color w:val="auto"/>
        </w:rPr>
        <w:t>谈判</w:t>
      </w:r>
      <w:r>
        <w:rPr>
          <w:rStyle w:val="49"/>
          <w:rFonts w:ascii="宋体"/>
          <w:snapToGrid w:val="0"/>
          <w:color w:val="auto"/>
        </w:rPr>
        <w:t>文件的获取</w:t>
      </w:r>
      <w:r>
        <w:tab/>
      </w:r>
      <w:r>
        <w:fldChar w:fldCharType="begin"/>
      </w:r>
      <w:r>
        <w:instrText xml:space="preserve"> PAGEREF _Toc12951280 \h </w:instrText>
      </w:r>
      <w:r>
        <w:fldChar w:fldCharType="separate"/>
      </w:r>
      <w:r>
        <w:t>3</w:t>
      </w:r>
      <w:r>
        <w:fldChar w:fldCharType="end"/>
      </w:r>
      <w:r>
        <w:fldChar w:fldCharType="end"/>
      </w:r>
    </w:p>
    <w:p>
      <w:pPr>
        <w:pStyle w:val="37"/>
        <w:tabs>
          <w:tab w:val="right" w:leader="dot" w:pos="9736"/>
        </w:tabs>
        <w:rPr>
          <w:rFonts w:asciiTheme="minorHAnsi" w:hAnsiTheme="minorHAnsi" w:eastAsiaTheme="minorEastAsia" w:cstheme="minorBidi"/>
          <w:szCs w:val="22"/>
        </w:rPr>
      </w:pPr>
      <w:r>
        <w:fldChar w:fldCharType="begin"/>
      </w:r>
      <w:r>
        <w:instrText xml:space="preserve"> HYPERLINK \l "_Toc12951281" </w:instrText>
      </w:r>
      <w:r>
        <w:fldChar w:fldCharType="separate"/>
      </w:r>
      <w:r>
        <w:rPr>
          <w:rStyle w:val="49"/>
          <w:rFonts w:ascii="宋体"/>
          <w:snapToGrid w:val="0"/>
          <w:color w:val="auto"/>
        </w:rPr>
        <w:t>5. 响应文件的递交</w:t>
      </w:r>
      <w:r>
        <w:tab/>
      </w:r>
      <w:r>
        <w:fldChar w:fldCharType="begin"/>
      </w:r>
      <w:r>
        <w:instrText xml:space="preserve"> PAGEREF _Toc12951281 \h </w:instrText>
      </w:r>
      <w:r>
        <w:fldChar w:fldCharType="separate"/>
      </w:r>
      <w:r>
        <w:t>3</w:t>
      </w:r>
      <w:r>
        <w:fldChar w:fldCharType="end"/>
      </w:r>
      <w:r>
        <w:fldChar w:fldCharType="end"/>
      </w:r>
    </w:p>
    <w:p>
      <w:pPr>
        <w:pStyle w:val="37"/>
        <w:tabs>
          <w:tab w:val="right" w:leader="dot" w:pos="9736"/>
        </w:tabs>
        <w:rPr>
          <w:rFonts w:asciiTheme="minorHAnsi" w:hAnsiTheme="minorHAnsi" w:eastAsiaTheme="minorEastAsia" w:cstheme="minorBidi"/>
          <w:szCs w:val="22"/>
        </w:rPr>
      </w:pPr>
      <w:r>
        <w:fldChar w:fldCharType="begin"/>
      </w:r>
      <w:r>
        <w:instrText xml:space="preserve"> HYPERLINK \l "_Toc12951282" </w:instrText>
      </w:r>
      <w:r>
        <w:fldChar w:fldCharType="separate"/>
      </w:r>
      <w:r>
        <w:rPr>
          <w:rStyle w:val="49"/>
          <w:rFonts w:ascii="宋体"/>
          <w:snapToGrid w:val="0"/>
          <w:color w:val="auto"/>
        </w:rPr>
        <w:t>6. 发布公告的媒介</w:t>
      </w:r>
      <w:r>
        <w:tab/>
      </w:r>
      <w:r>
        <w:fldChar w:fldCharType="begin"/>
      </w:r>
      <w:r>
        <w:instrText xml:space="preserve"> PAGEREF _Toc12951282 \h </w:instrText>
      </w:r>
      <w:r>
        <w:fldChar w:fldCharType="separate"/>
      </w:r>
      <w:r>
        <w:t>4</w:t>
      </w:r>
      <w:r>
        <w:fldChar w:fldCharType="end"/>
      </w:r>
      <w:r>
        <w:fldChar w:fldCharType="end"/>
      </w:r>
    </w:p>
    <w:p>
      <w:pPr>
        <w:pStyle w:val="37"/>
        <w:tabs>
          <w:tab w:val="right" w:leader="dot" w:pos="9736"/>
        </w:tabs>
        <w:rPr>
          <w:rFonts w:asciiTheme="minorHAnsi" w:hAnsiTheme="minorHAnsi" w:eastAsiaTheme="minorEastAsia" w:cstheme="minorBidi"/>
          <w:szCs w:val="22"/>
        </w:rPr>
      </w:pPr>
      <w:r>
        <w:fldChar w:fldCharType="begin"/>
      </w:r>
      <w:r>
        <w:instrText xml:space="preserve"> HYPERLINK \l "_Toc12951283" </w:instrText>
      </w:r>
      <w:r>
        <w:fldChar w:fldCharType="separate"/>
      </w:r>
      <w:r>
        <w:rPr>
          <w:rStyle w:val="49"/>
          <w:rFonts w:ascii="宋体"/>
          <w:snapToGrid w:val="0"/>
          <w:color w:val="auto"/>
        </w:rPr>
        <w:t>7. 联系方式</w:t>
      </w:r>
      <w:r>
        <w:tab/>
      </w:r>
      <w:r>
        <w:fldChar w:fldCharType="begin"/>
      </w:r>
      <w:r>
        <w:instrText xml:space="preserve"> PAGEREF _Toc12951283 \h </w:instrText>
      </w:r>
      <w:r>
        <w:fldChar w:fldCharType="separate"/>
      </w:r>
      <w:r>
        <w:t>4</w:t>
      </w:r>
      <w:r>
        <w:fldChar w:fldCharType="end"/>
      </w:r>
      <w:r>
        <w:fldChar w:fldCharType="end"/>
      </w:r>
    </w:p>
    <w:p>
      <w:pPr>
        <w:pStyle w:val="31"/>
        <w:tabs>
          <w:tab w:val="right" w:leader="dot" w:pos="9736"/>
        </w:tabs>
        <w:rPr>
          <w:rFonts w:asciiTheme="minorHAnsi" w:hAnsiTheme="minorHAnsi" w:eastAsiaTheme="minorEastAsia" w:cstheme="minorBidi"/>
          <w:szCs w:val="22"/>
        </w:rPr>
      </w:pPr>
      <w:r>
        <w:fldChar w:fldCharType="begin"/>
      </w:r>
      <w:r>
        <w:instrText xml:space="preserve"> HYPERLINK \l "_Toc12951284" </w:instrText>
      </w:r>
      <w:r>
        <w:fldChar w:fldCharType="separate"/>
      </w:r>
      <w:r>
        <w:rPr>
          <w:rStyle w:val="49"/>
          <w:color w:val="auto"/>
        </w:rPr>
        <w:t>第二章 项目需求</w:t>
      </w:r>
      <w:r>
        <w:tab/>
      </w:r>
      <w:r>
        <w:fldChar w:fldCharType="begin"/>
      </w:r>
      <w:r>
        <w:instrText xml:space="preserve"> PAGEREF _Toc12951284 \h </w:instrText>
      </w:r>
      <w:r>
        <w:fldChar w:fldCharType="separate"/>
      </w:r>
      <w:r>
        <w:t>5</w:t>
      </w:r>
      <w:r>
        <w:fldChar w:fldCharType="end"/>
      </w:r>
      <w:r>
        <w:fldChar w:fldCharType="end"/>
      </w:r>
    </w:p>
    <w:p>
      <w:pPr>
        <w:pStyle w:val="31"/>
        <w:tabs>
          <w:tab w:val="right" w:leader="dot" w:pos="9736"/>
        </w:tabs>
        <w:rPr>
          <w:rFonts w:asciiTheme="minorHAnsi" w:hAnsiTheme="minorHAnsi" w:eastAsiaTheme="minorEastAsia" w:cstheme="minorBidi"/>
          <w:szCs w:val="22"/>
        </w:rPr>
      </w:pPr>
      <w:r>
        <w:fldChar w:fldCharType="begin"/>
      </w:r>
      <w:r>
        <w:instrText xml:space="preserve"> HYPERLINK \l "_Toc12951285" </w:instrText>
      </w:r>
      <w:r>
        <w:fldChar w:fldCharType="separate"/>
      </w:r>
      <w:r>
        <w:rPr>
          <w:rStyle w:val="49"/>
          <w:color w:val="auto"/>
        </w:rPr>
        <w:t>第三章 响应方须知</w:t>
      </w:r>
      <w:r>
        <w:tab/>
      </w:r>
      <w:r>
        <w:fldChar w:fldCharType="begin"/>
      </w:r>
      <w:r>
        <w:instrText xml:space="preserve"> PAGEREF _Toc12951285 \h </w:instrText>
      </w:r>
      <w:r>
        <w:fldChar w:fldCharType="separate"/>
      </w:r>
      <w:r>
        <w:t>15</w:t>
      </w:r>
      <w:r>
        <w:fldChar w:fldCharType="end"/>
      </w:r>
      <w:r>
        <w:fldChar w:fldCharType="end"/>
      </w:r>
    </w:p>
    <w:p>
      <w:pPr>
        <w:pStyle w:val="37"/>
        <w:tabs>
          <w:tab w:val="right" w:leader="dot" w:pos="9736"/>
        </w:tabs>
        <w:rPr>
          <w:rFonts w:asciiTheme="minorHAnsi" w:hAnsiTheme="minorHAnsi" w:eastAsiaTheme="minorEastAsia" w:cstheme="minorBidi"/>
          <w:szCs w:val="22"/>
        </w:rPr>
      </w:pPr>
      <w:r>
        <w:fldChar w:fldCharType="begin"/>
      </w:r>
      <w:r>
        <w:instrText xml:space="preserve"> HYPERLINK \l "_Toc12951286" </w:instrText>
      </w:r>
      <w:r>
        <w:fldChar w:fldCharType="separate"/>
      </w:r>
      <w:r>
        <w:rPr>
          <w:rStyle w:val="49"/>
          <w:color w:val="auto"/>
        </w:rPr>
        <w:t>响应方须知前附表</w:t>
      </w:r>
      <w:r>
        <w:tab/>
      </w:r>
      <w:r>
        <w:fldChar w:fldCharType="begin"/>
      </w:r>
      <w:r>
        <w:instrText xml:space="preserve"> PAGEREF _Toc12951286 \h </w:instrText>
      </w:r>
      <w:r>
        <w:fldChar w:fldCharType="separate"/>
      </w:r>
      <w:r>
        <w:t>15</w:t>
      </w:r>
      <w:r>
        <w:fldChar w:fldCharType="end"/>
      </w:r>
      <w:r>
        <w:fldChar w:fldCharType="end"/>
      </w:r>
    </w:p>
    <w:p>
      <w:pPr>
        <w:pStyle w:val="37"/>
        <w:tabs>
          <w:tab w:val="right" w:leader="dot" w:pos="9736"/>
        </w:tabs>
        <w:rPr>
          <w:rFonts w:asciiTheme="minorHAnsi" w:hAnsiTheme="minorHAnsi" w:eastAsiaTheme="minorEastAsia" w:cstheme="minorBidi"/>
          <w:szCs w:val="22"/>
        </w:rPr>
      </w:pPr>
      <w:r>
        <w:fldChar w:fldCharType="begin"/>
      </w:r>
      <w:r>
        <w:instrText xml:space="preserve"> HYPERLINK \l "_Toc12951287" </w:instrText>
      </w:r>
      <w:r>
        <w:fldChar w:fldCharType="separate"/>
      </w:r>
      <w:r>
        <w:rPr>
          <w:rStyle w:val="49"/>
          <w:color w:val="auto"/>
        </w:rPr>
        <w:t>1.总    则</w:t>
      </w:r>
      <w:r>
        <w:tab/>
      </w:r>
      <w:r>
        <w:fldChar w:fldCharType="begin"/>
      </w:r>
      <w:r>
        <w:instrText xml:space="preserve"> PAGEREF _Toc12951287 \h </w:instrText>
      </w:r>
      <w:r>
        <w:fldChar w:fldCharType="separate"/>
      </w:r>
      <w:r>
        <w:t>17</w:t>
      </w:r>
      <w:r>
        <w:fldChar w:fldCharType="end"/>
      </w:r>
      <w:r>
        <w:fldChar w:fldCharType="end"/>
      </w:r>
    </w:p>
    <w:p>
      <w:pPr>
        <w:pStyle w:val="37"/>
        <w:tabs>
          <w:tab w:val="right" w:leader="dot" w:pos="9736"/>
        </w:tabs>
        <w:rPr>
          <w:rFonts w:asciiTheme="minorHAnsi" w:hAnsiTheme="minorHAnsi" w:eastAsiaTheme="minorEastAsia" w:cstheme="minorBidi"/>
          <w:szCs w:val="22"/>
        </w:rPr>
      </w:pPr>
      <w:r>
        <w:fldChar w:fldCharType="begin"/>
      </w:r>
      <w:r>
        <w:instrText xml:space="preserve"> HYPERLINK \l "_Toc12951288" </w:instrText>
      </w:r>
      <w:r>
        <w:fldChar w:fldCharType="separate"/>
      </w:r>
      <w:r>
        <w:rPr>
          <w:rStyle w:val="49"/>
          <w:color w:val="auto"/>
        </w:rPr>
        <w:t xml:space="preserve">2. </w:t>
      </w:r>
      <w:r>
        <w:rPr>
          <w:rStyle w:val="49"/>
          <w:rFonts w:hint="eastAsia"/>
          <w:color w:val="auto"/>
        </w:rPr>
        <w:t>谈判</w:t>
      </w:r>
      <w:r>
        <w:rPr>
          <w:rStyle w:val="49"/>
          <w:color w:val="auto"/>
        </w:rPr>
        <w:t>文件</w:t>
      </w:r>
      <w:r>
        <w:tab/>
      </w:r>
      <w:r>
        <w:fldChar w:fldCharType="begin"/>
      </w:r>
      <w:r>
        <w:instrText xml:space="preserve"> PAGEREF _Toc12951288 \h </w:instrText>
      </w:r>
      <w:r>
        <w:fldChar w:fldCharType="separate"/>
      </w:r>
      <w:r>
        <w:t>17</w:t>
      </w:r>
      <w:r>
        <w:fldChar w:fldCharType="end"/>
      </w:r>
      <w:r>
        <w:fldChar w:fldCharType="end"/>
      </w:r>
    </w:p>
    <w:p>
      <w:pPr>
        <w:pStyle w:val="37"/>
        <w:tabs>
          <w:tab w:val="right" w:leader="dot" w:pos="9736"/>
        </w:tabs>
        <w:rPr>
          <w:rFonts w:asciiTheme="minorHAnsi" w:hAnsiTheme="minorHAnsi" w:eastAsiaTheme="minorEastAsia" w:cstheme="minorBidi"/>
          <w:szCs w:val="22"/>
        </w:rPr>
      </w:pPr>
      <w:r>
        <w:fldChar w:fldCharType="begin"/>
      </w:r>
      <w:r>
        <w:instrText xml:space="preserve"> HYPERLINK \l "_Toc12951289" </w:instrText>
      </w:r>
      <w:r>
        <w:fldChar w:fldCharType="separate"/>
      </w:r>
      <w:r>
        <w:rPr>
          <w:rStyle w:val="49"/>
          <w:color w:val="auto"/>
        </w:rPr>
        <w:t>3.响应文件</w:t>
      </w:r>
      <w:r>
        <w:tab/>
      </w:r>
      <w:r>
        <w:fldChar w:fldCharType="begin"/>
      </w:r>
      <w:r>
        <w:instrText xml:space="preserve"> PAGEREF _Toc12951289 \h </w:instrText>
      </w:r>
      <w:r>
        <w:fldChar w:fldCharType="separate"/>
      </w:r>
      <w:r>
        <w:t>18</w:t>
      </w:r>
      <w:r>
        <w:fldChar w:fldCharType="end"/>
      </w:r>
      <w:r>
        <w:fldChar w:fldCharType="end"/>
      </w:r>
    </w:p>
    <w:p>
      <w:pPr>
        <w:pStyle w:val="37"/>
        <w:tabs>
          <w:tab w:val="right" w:leader="dot" w:pos="9736"/>
        </w:tabs>
        <w:rPr>
          <w:rFonts w:asciiTheme="minorHAnsi" w:hAnsiTheme="minorHAnsi" w:eastAsiaTheme="minorEastAsia" w:cstheme="minorBidi"/>
          <w:szCs w:val="22"/>
        </w:rPr>
      </w:pPr>
      <w:r>
        <w:fldChar w:fldCharType="begin"/>
      </w:r>
      <w:r>
        <w:instrText xml:space="preserve"> HYPERLINK \l "_Toc12951290" </w:instrText>
      </w:r>
      <w:r>
        <w:fldChar w:fldCharType="separate"/>
      </w:r>
      <w:r>
        <w:rPr>
          <w:rStyle w:val="49"/>
          <w:color w:val="auto"/>
        </w:rPr>
        <w:t>4.投    标</w:t>
      </w:r>
      <w:r>
        <w:tab/>
      </w:r>
      <w:r>
        <w:fldChar w:fldCharType="begin"/>
      </w:r>
      <w:r>
        <w:instrText xml:space="preserve"> PAGEREF _Toc12951290 \h </w:instrText>
      </w:r>
      <w:r>
        <w:fldChar w:fldCharType="separate"/>
      </w:r>
      <w:r>
        <w:t>20</w:t>
      </w:r>
      <w:r>
        <w:fldChar w:fldCharType="end"/>
      </w:r>
      <w:r>
        <w:fldChar w:fldCharType="end"/>
      </w:r>
    </w:p>
    <w:p>
      <w:pPr>
        <w:pStyle w:val="37"/>
        <w:tabs>
          <w:tab w:val="right" w:leader="dot" w:pos="9736"/>
        </w:tabs>
        <w:rPr>
          <w:rFonts w:asciiTheme="minorHAnsi" w:hAnsiTheme="minorHAnsi" w:eastAsiaTheme="minorEastAsia" w:cstheme="minorBidi"/>
          <w:szCs w:val="22"/>
        </w:rPr>
      </w:pPr>
      <w:r>
        <w:fldChar w:fldCharType="begin"/>
      </w:r>
      <w:r>
        <w:instrText xml:space="preserve"> HYPERLINK \l "_Toc12951291" </w:instrText>
      </w:r>
      <w:r>
        <w:fldChar w:fldCharType="separate"/>
      </w:r>
      <w:r>
        <w:rPr>
          <w:rStyle w:val="49"/>
          <w:color w:val="auto"/>
        </w:rPr>
        <w:t>5.开    标</w:t>
      </w:r>
      <w:r>
        <w:tab/>
      </w:r>
      <w:r>
        <w:fldChar w:fldCharType="begin"/>
      </w:r>
      <w:r>
        <w:instrText xml:space="preserve"> PAGEREF _Toc12951291 \h </w:instrText>
      </w:r>
      <w:r>
        <w:fldChar w:fldCharType="separate"/>
      </w:r>
      <w:r>
        <w:t>20</w:t>
      </w:r>
      <w:r>
        <w:fldChar w:fldCharType="end"/>
      </w:r>
      <w:r>
        <w:fldChar w:fldCharType="end"/>
      </w:r>
    </w:p>
    <w:p>
      <w:pPr>
        <w:pStyle w:val="37"/>
        <w:tabs>
          <w:tab w:val="right" w:leader="dot" w:pos="9736"/>
        </w:tabs>
        <w:rPr>
          <w:rFonts w:asciiTheme="minorHAnsi" w:hAnsiTheme="minorHAnsi" w:eastAsiaTheme="minorEastAsia" w:cstheme="minorBidi"/>
          <w:szCs w:val="22"/>
        </w:rPr>
      </w:pPr>
      <w:r>
        <w:fldChar w:fldCharType="begin"/>
      </w:r>
      <w:r>
        <w:instrText xml:space="preserve"> HYPERLINK \l "_Toc12951292" </w:instrText>
      </w:r>
      <w:r>
        <w:fldChar w:fldCharType="separate"/>
      </w:r>
      <w:r>
        <w:rPr>
          <w:rStyle w:val="49"/>
          <w:color w:val="auto"/>
        </w:rPr>
        <w:t>6.评    标</w:t>
      </w:r>
      <w:r>
        <w:tab/>
      </w:r>
      <w:r>
        <w:fldChar w:fldCharType="begin"/>
      </w:r>
      <w:r>
        <w:instrText xml:space="preserve"> PAGEREF _Toc12951292 \h </w:instrText>
      </w:r>
      <w:r>
        <w:fldChar w:fldCharType="separate"/>
      </w:r>
      <w:r>
        <w:t>21</w:t>
      </w:r>
      <w:r>
        <w:fldChar w:fldCharType="end"/>
      </w:r>
      <w:r>
        <w:fldChar w:fldCharType="end"/>
      </w:r>
    </w:p>
    <w:p>
      <w:pPr>
        <w:pStyle w:val="37"/>
        <w:tabs>
          <w:tab w:val="right" w:leader="dot" w:pos="9736"/>
        </w:tabs>
        <w:rPr>
          <w:rFonts w:asciiTheme="minorHAnsi" w:hAnsiTheme="minorHAnsi" w:eastAsiaTheme="minorEastAsia" w:cstheme="minorBidi"/>
          <w:szCs w:val="22"/>
        </w:rPr>
      </w:pPr>
      <w:r>
        <w:fldChar w:fldCharType="begin"/>
      </w:r>
      <w:r>
        <w:instrText xml:space="preserve"> HYPERLINK \l "_Toc12951293" </w:instrText>
      </w:r>
      <w:r>
        <w:fldChar w:fldCharType="separate"/>
      </w:r>
      <w:r>
        <w:rPr>
          <w:rStyle w:val="49"/>
          <w:color w:val="auto"/>
        </w:rPr>
        <w:t>7.合同授予</w:t>
      </w:r>
      <w:r>
        <w:tab/>
      </w:r>
      <w:r>
        <w:fldChar w:fldCharType="begin"/>
      </w:r>
      <w:r>
        <w:instrText xml:space="preserve"> PAGEREF _Toc12951293 \h </w:instrText>
      </w:r>
      <w:r>
        <w:fldChar w:fldCharType="separate"/>
      </w:r>
      <w:r>
        <w:t>24</w:t>
      </w:r>
      <w:r>
        <w:fldChar w:fldCharType="end"/>
      </w:r>
      <w:r>
        <w:fldChar w:fldCharType="end"/>
      </w:r>
    </w:p>
    <w:p>
      <w:pPr>
        <w:pStyle w:val="31"/>
        <w:tabs>
          <w:tab w:val="right" w:leader="dot" w:pos="9736"/>
        </w:tabs>
        <w:rPr>
          <w:rFonts w:asciiTheme="minorHAnsi" w:hAnsiTheme="minorHAnsi" w:eastAsiaTheme="minorEastAsia" w:cstheme="minorBidi"/>
          <w:szCs w:val="22"/>
        </w:rPr>
      </w:pPr>
      <w:r>
        <w:fldChar w:fldCharType="begin"/>
      </w:r>
      <w:r>
        <w:instrText xml:space="preserve"> HYPERLINK \l "_Toc12951294" </w:instrText>
      </w:r>
      <w:r>
        <w:fldChar w:fldCharType="separate"/>
      </w:r>
      <w:r>
        <w:rPr>
          <w:rStyle w:val="49"/>
          <w:rFonts w:asciiTheme="majorHAnsi" w:hAnsiTheme="majorHAnsi" w:cstheme="majorBidi"/>
          <w:color w:val="auto"/>
        </w:rPr>
        <w:t>第四章 评标办法及评分标准</w:t>
      </w:r>
      <w:r>
        <w:tab/>
      </w:r>
      <w:r>
        <w:fldChar w:fldCharType="begin"/>
      </w:r>
      <w:r>
        <w:instrText xml:space="preserve"> PAGEREF _Toc12951294 \h </w:instrText>
      </w:r>
      <w:r>
        <w:fldChar w:fldCharType="separate"/>
      </w:r>
      <w:r>
        <w:t>25</w:t>
      </w:r>
      <w:r>
        <w:fldChar w:fldCharType="end"/>
      </w:r>
      <w:r>
        <w:fldChar w:fldCharType="end"/>
      </w:r>
    </w:p>
    <w:p>
      <w:pPr>
        <w:pStyle w:val="37"/>
        <w:tabs>
          <w:tab w:val="right" w:leader="dot" w:pos="9736"/>
        </w:tabs>
        <w:rPr>
          <w:rFonts w:asciiTheme="minorHAnsi" w:hAnsiTheme="minorHAnsi" w:eastAsiaTheme="minorEastAsia" w:cstheme="minorBidi"/>
          <w:szCs w:val="22"/>
        </w:rPr>
      </w:pPr>
      <w:r>
        <w:fldChar w:fldCharType="begin"/>
      </w:r>
      <w:r>
        <w:instrText xml:space="preserve"> HYPERLINK \l "_Toc12951295" </w:instrText>
      </w:r>
      <w:r>
        <w:fldChar w:fldCharType="separate"/>
      </w:r>
      <w:r>
        <w:rPr>
          <w:rStyle w:val="49"/>
          <w:color w:val="auto"/>
        </w:rPr>
        <w:t>1.总则</w:t>
      </w:r>
      <w:r>
        <w:tab/>
      </w:r>
      <w:r>
        <w:fldChar w:fldCharType="begin"/>
      </w:r>
      <w:r>
        <w:instrText xml:space="preserve"> PAGEREF _Toc12951295 \h </w:instrText>
      </w:r>
      <w:r>
        <w:fldChar w:fldCharType="separate"/>
      </w:r>
      <w:r>
        <w:t>25</w:t>
      </w:r>
      <w:r>
        <w:fldChar w:fldCharType="end"/>
      </w:r>
      <w:r>
        <w:fldChar w:fldCharType="end"/>
      </w:r>
    </w:p>
    <w:p>
      <w:pPr>
        <w:pStyle w:val="37"/>
        <w:tabs>
          <w:tab w:val="right" w:leader="dot" w:pos="9736"/>
        </w:tabs>
        <w:rPr>
          <w:rFonts w:asciiTheme="minorHAnsi" w:hAnsiTheme="minorHAnsi" w:eastAsiaTheme="minorEastAsia" w:cstheme="minorBidi"/>
          <w:szCs w:val="22"/>
        </w:rPr>
      </w:pPr>
      <w:r>
        <w:fldChar w:fldCharType="begin"/>
      </w:r>
      <w:r>
        <w:instrText xml:space="preserve"> HYPERLINK \l "_Toc12951296" </w:instrText>
      </w:r>
      <w:r>
        <w:fldChar w:fldCharType="separate"/>
      </w:r>
      <w:r>
        <w:rPr>
          <w:rStyle w:val="49"/>
          <w:color w:val="auto"/>
        </w:rPr>
        <w:t>2.分值的计算</w:t>
      </w:r>
      <w:r>
        <w:tab/>
      </w:r>
      <w:r>
        <w:fldChar w:fldCharType="begin"/>
      </w:r>
      <w:r>
        <w:instrText xml:space="preserve"> PAGEREF _Toc12951296 \h </w:instrText>
      </w:r>
      <w:r>
        <w:fldChar w:fldCharType="separate"/>
      </w:r>
      <w:r>
        <w:t>25</w:t>
      </w:r>
      <w:r>
        <w:fldChar w:fldCharType="end"/>
      </w:r>
      <w:r>
        <w:fldChar w:fldCharType="end"/>
      </w:r>
    </w:p>
    <w:p>
      <w:pPr>
        <w:pStyle w:val="37"/>
        <w:tabs>
          <w:tab w:val="left" w:pos="840"/>
          <w:tab w:val="right" w:leader="dot" w:pos="9736"/>
        </w:tabs>
        <w:rPr>
          <w:rFonts w:asciiTheme="minorHAnsi" w:hAnsiTheme="minorHAnsi" w:eastAsiaTheme="minorEastAsia" w:cstheme="minorBidi"/>
          <w:szCs w:val="22"/>
        </w:rPr>
      </w:pPr>
      <w:r>
        <w:fldChar w:fldCharType="begin"/>
      </w:r>
      <w:r>
        <w:instrText xml:space="preserve"> HYPERLINK \l "_Toc12951297" </w:instrText>
      </w:r>
      <w:r>
        <w:fldChar w:fldCharType="separate"/>
      </w:r>
      <w:r>
        <w:rPr>
          <w:rStyle w:val="49"/>
          <w:color w:val="auto"/>
        </w:rPr>
        <w:t>3.</w:t>
      </w:r>
      <w:r>
        <w:rPr>
          <w:rFonts w:asciiTheme="minorHAnsi" w:hAnsiTheme="minorHAnsi" w:eastAsiaTheme="minorEastAsia" w:cstheme="minorBidi"/>
          <w:szCs w:val="22"/>
        </w:rPr>
        <w:tab/>
      </w:r>
      <w:r>
        <w:rPr>
          <w:rStyle w:val="49"/>
          <w:color w:val="auto"/>
        </w:rPr>
        <w:t>评审内容及标准</w:t>
      </w:r>
      <w:r>
        <w:tab/>
      </w:r>
      <w:r>
        <w:fldChar w:fldCharType="begin"/>
      </w:r>
      <w:r>
        <w:instrText xml:space="preserve"> PAGEREF _Toc12951297 \h </w:instrText>
      </w:r>
      <w:r>
        <w:fldChar w:fldCharType="separate"/>
      </w:r>
      <w:r>
        <w:t>25</w:t>
      </w:r>
      <w:r>
        <w:fldChar w:fldCharType="end"/>
      </w:r>
      <w:r>
        <w:fldChar w:fldCharType="end"/>
      </w:r>
    </w:p>
    <w:p>
      <w:pPr>
        <w:pStyle w:val="31"/>
        <w:tabs>
          <w:tab w:val="right" w:leader="dot" w:pos="9736"/>
        </w:tabs>
        <w:rPr>
          <w:rFonts w:asciiTheme="minorHAnsi" w:hAnsiTheme="minorHAnsi" w:eastAsiaTheme="minorEastAsia" w:cstheme="minorBidi"/>
          <w:szCs w:val="22"/>
        </w:rPr>
      </w:pPr>
      <w:r>
        <w:fldChar w:fldCharType="begin"/>
      </w:r>
      <w:r>
        <w:instrText xml:space="preserve"> HYPERLINK \l "_Toc12951299" </w:instrText>
      </w:r>
      <w:r>
        <w:fldChar w:fldCharType="separate"/>
      </w:r>
      <w:r>
        <w:rPr>
          <w:rStyle w:val="49"/>
          <w:color w:val="auto"/>
        </w:rPr>
        <w:t>第</w:t>
      </w:r>
      <w:r>
        <w:rPr>
          <w:rStyle w:val="49"/>
          <w:rFonts w:hint="eastAsia"/>
          <w:color w:val="auto"/>
        </w:rPr>
        <w:t>五</w:t>
      </w:r>
      <w:r>
        <w:rPr>
          <w:rStyle w:val="49"/>
          <w:color w:val="auto"/>
        </w:rPr>
        <w:t>章 响应文件格式</w:t>
      </w:r>
      <w:r>
        <w:tab/>
      </w:r>
      <w:r>
        <w:fldChar w:fldCharType="end"/>
      </w:r>
      <w:r>
        <w:rPr>
          <w:rFonts w:hint="eastAsia"/>
        </w:rPr>
        <w:t>27</w:t>
      </w:r>
    </w:p>
    <w:p>
      <w:pPr>
        <w:ind w:firstLine="420"/>
      </w:pPr>
      <w:r>
        <w:fldChar w:fldCharType="end"/>
      </w:r>
    </w:p>
    <w:p>
      <w:pPr>
        <w:ind w:firstLine="420"/>
      </w:pPr>
    </w:p>
    <w:p>
      <w:pPr>
        <w:widowControl/>
        <w:spacing w:line="240" w:lineRule="auto"/>
        <w:jc w:val="left"/>
        <w:rPr>
          <w:rFonts w:asciiTheme="majorHAnsi" w:hAnsiTheme="majorHAnsi" w:cstheme="majorBidi"/>
          <w:b/>
          <w:bCs/>
          <w:sz w:val="36"/>
          <w:szCs w:val="32"/>
        </w:rPr>
      </w:pPr>
      <w:bookmarkStart w:id="0" w:name="_Toc3993762"/>
      <w:bookmarkStart w:id="1" w:name="_Toc12951276"/>
      <w:r>
        <w:br w:type="page"/>
      </w:r>
    </w:p>
    <w:p>
      <w:pPr>
        <w:pStyle w:val="42"/>
        <w:spacing w:before="120" w:after="120"/>
      </w:pPr>
      <w:r>
        <w:t xml:space="preserve">第一章 </w:t>
      </w:r>
      <w:r>
        <w:rPr>
          <w:rFonts w:hint="eastAsia"/>
        </w:rPr>
        <w:t>竞争性谈判</w:t>
      </w:r>
      <w:r>
        <w:t>公告</w:t>
      </w:r>
      <w:bookmarkEnd w:id="0"/>
      <w:bookmarkEnd w:id="1"/>
    </w:p>
    <w:p>
      <w:pPr>
        <w:pStyle w:val="3"/>
        <w:spacing w:before="120" w:after="120"/>
        <w:rPr>
          <w:rFonts w:ascii="宋体"/>
          <w:snapToGrid w:val="0"/>
          <w:sz w:val="24"/>
          <w:szCs w:val="24"/>
        </w:rPr>
      </w:pPr>
      <w:bookmarkStart w:id="2" w:name="_Toc277082536"/>
      <w:bookmarkStart w:id="3" w:name="_Toc287607728"/>
      <w:bookmarkStart w:id="4" w:name="_Toc480460952"/>
      <w:bookmarkStart w:id="5" w:name="_Toc200359427"/>
      <w:bookmarkStart w:id="6" w:name="_Toc200359238"/>
      <w:bookmarkStart w:id="7" w:name="_Toc224103299"/>
      <w:bookmarkStart w:id="8" w:name="_Toc525810895"/>
      <w:bookmarkStart w:id="9" w:name="_Toc12951277"/>
      <w:bookmarkStart w:id="10" w:name="_Toc287620667"/>
      <w:r>
        <w:rPr>
          <w:rFonts w:hint="eastAsia" w:ascii="宋体"/>
          <w:snapToGrid w:val="0"/>
          <w:sz w:val="24"/>
          <w:szCs w:val="24"/>
        </w:rPr>
        <w:t>1. 招标条件</w:t>
      </w:r>
      <w:bookmarkEnd w:id="2"/>
      <w:bookmarkEnd w:id="3"/>
      <w:bookmarkEnd w:id="4"/>
      <w:bookmarkEnd w:id="5"/>
      <w:bookmarkEnd w:id="6"/>
      <w:bookmarkEnd w:id="7"/>
      <w:bookmarkEnd w:id="8"/>
      <w:bookmarkEnd w:id="9"/>
      <w:bookmarkEnd w:id="10"/>
    </w:p>
    <w:p>
      <w:pPr>
        <w:autoSpaceDE w:val="0"/>
        <w:autoSpaceDN w:val="0"/>
        <w:adjustRightInd w:val="0"/>
        <w:snapToGrid w:val="0"/>
        <w:spacing w:line="360" w:lineRule="auto"/>
        <w:jc w:val="left"/>
        <w:rPr>
          <w:rFonts w:ascii="宋体"/>
          <w:b/>
          <w:sz w:val="28"/>
          <w:szCs w:val="28"/>
        </w:rPr>
      </w:pPr>
      <w:bookmarkStart w:id="11" w:name="_Toc200359428"/>
      <w:bookmarkStart w:id="12" w:name="_Toc287607729"/>
      <w:bookmarkStart w:id="13" w:name="_Toc287620668"/>
      <w:bookmarkStart w:id="14" w:name="_Toc224103300"/>
      <w:bookmarkStart w:id="15" w:name="_Toc200359239"/>
      <w:bookmarkStart w:id="16" w:name="_Toc277082537"/>
      <w:r>
        <w:rPr>
          <w:rFonts w:hint="eastAsia" w:ascii="宋体" w:cs="MingLiU"/>
          <w:snapToGrid w:val="0"/>
          <w:kern w:val="0"/>
          <w:szCs w:val="21"/>
        </w:rPr>
        <w:t xml:space="preserve">    本招标项目</w:t>
      </w:r>
      <w:r>
        <w:rPr>
          <w:rFonts w:hint="eastAsia" w:ascii="宋体"/>
          <w:u w:val="single"/>
        </w:rPr>
        <w:t>杭州机场综合服务楼（酒店部分）委托管理服务项目</w:t>
      </w:r>
      <w:r>
        <w:rPr>
          <w:rFonts w:hint="eastAsia" w:ascii="宋体" w:cs="MingLiU"/>
          <w:snapToGrid w:val="0"/>
          <w:kern w:val="0"/>
          <w:position w:val="-2"/>
          <w:szCs w:val="21"/>
        </w:rPr>
        <w:t>，</w:t>
      </w:r>
      <w:r>
        <w:rPr>
          <w:rFonts w:hint="eastAsia" w:ascii="宋体" w:cs="MingLiU"/>
          <w:snapToGrid w:val="0"/>
          <w:kern w:val="0"/>
          <w:szCs w:val="21"/>
        </w:rPr>
        <w:t>招标人为</w:t>
      </w:r>
      <w:r>
        <w:rPr>
          <w:rFonts w:hint="eastAsia" w:ascii="宋体"/>
          <w:u w:val="single"/>
        </w:rPr>
        <w:t>浙江空港培训服务咨询有限公司</w:t>
      </w:r>
      <w:r>
        <w:rPr>
          <w:rFonts w:hint="eastAsia" w:ascii="宋体"/>
        </w:rPr>
        <w:t>，</w:t>
      </w:r>
      <w:r>
        <w:rPr>
          <w:rFonts w:hint="eastAsia" w:ascii="宋体" w:cs="MingLiU"/>
          <w:snapToGrid w:val="0"/>
          <w:kern w:val="0"/>
          <w:szCs w:val="21"/>
        </w:rPr>
        <w:t>资金来自</w:t>
      </w:r>
      <w:r>
        <w:rPr>
          <w:rFonts w:hint="eastAsia" w:ascii="宋体" w:cs="MingLiU"/>
          <w:snapToGrid w:val="0"/>
          <w:kern w:val="0"/>
          <w:szCs w:val="21"/>
          <w:u w:val="single"/>
        </w:rPr>
        <w:t>国有资金</w:t>
      </w:r>
      <w:r>
        <w:rPr>
          <w:rFonts w:hint="eastAsia" w:ascii="宋体" w:cs="MingLiU"/>
          <w:snapToGrid w:val="0"/>
          <w:kern w:val="0"/>
          <w:position w:val="-2"/>
          <w:szCs w:val="21"/>
        </w:rPr>
        <w:t>。项目已具备招标条件，现该项目进行竞争性谈判方式招标，特邀请有兴趣的潜在谈判响应方参与谈判。</w:t>
      </w:r>
    </w:p>
    <w:p>
      <w:pPr>
        <w:pStyle w:val="3"/>
        <w:spacing w:before="120" w:after="120"/>
        <w:rPr>
          <w:rFonts w:ascii="宋体"/>
          <w:snapToGrid w:val="0"/>
          <w:sz w:val="24"/>
          <w:szCs w:val="24"/>
        </w:rPr>
      </w:pPr>
      <w:bookmarkStart w:id="17" w:name="_Toc525810896"/>
      <w:bookmarkStart w:id="18" w:name="_Toc12951278"/>
      <w:bookmarkStart w:id="19" w:name="_Toc480460953"/>
      <w:r>
        <w:rPr>
          <w:rFonts w:hint="eastAsia" w:ascii="宋体"/>
          <w:snapToGrid w:val="0"/>
          <w:sz w:val="24"/>
          <w:szCs w:val="24"/>
        </w:rPr>
        <w:t>2. 项目概况与招标范围</w:t>
      </w:r>
      <w:bookmarkEnd w:id="11"/>
      <w:bookmarkEnd w:id="12"/>
      <w:bookmarkEnd w:id="13"/>
      <w:bookmarkEnd w:id="14"/>
      <w:bookmarkEnd w:id="15"/>
      <w:bookmarkEnd w:id="16"/>
      <w:bookmarkEnd w:id="17"/>
      <w:bookmarkEnd w:id="18"/>
      <w:bookmarkEnd w:id="19"/>
    </w:p>
    <w:p>
      <w:pPr>
        <w:snapToGrid w:val="0"/>
        <w:spacing w:line="360" w:lineRule="auto"/>
        <w:ind w:firstLine="420" w:firstLineChars="200"/>
        <w:rPr>
          <w:rFonts w:ascii="宋体" w:cs="MingLiU"/>
          <w:snapToGrid w:val="0"/>
          <w:kern w:val="0"/>
          <w:szCs w:val="21"/>
        </w:rPr>
      </w:pPr>
      <w:bookmarkStart w:id="20" w:name="_Toc200359240"/>
      <w:bookmarkStart w:id="21" w:name="_Toc277082538"/>
      <w:bookmarkStart w:id="22" w:name="_Toc200359429"/>
      <w:bookmarkStart w:id="23" w:name="_Toc224103301"/>
      <w:bookmarkStart w:id="24" w:name="_Toc287620669"/>
      <w:bookmarkStart w:id="25" w:name="_Toc287607730"/>
      <w:r>
        <w:rPr>
          <w:rFonts w:hint="eastAsia" w:ascii="宋体" w:cs="MingLiU"/>
          <w:snapToGrid w:val="0"/>
          <w:kern w:val="0"/>
          <w:szCs w:val="21"/>
        </w:rPr>
        <w:t>2.1项目概况</w:t>
      </w:r>
    </w:p>
    <w:p>
      <w:pPr>
        <w:snapToGrid w:val="0"/>
        <w:spacing w:line="360" w:lineRule="auto"/>
        <w:ind w:firstLine="420" w:firstLineChars="200"/>
        <w:rPr>
          <w:rFonts w:ascii="宋体" w:cs="MingLiU"/>
          <w:snapToGrid w:val="0"/>
          <w:kern w:val="0"/>
          <w:szCs w:val="21"/>
        </w:rPr>
      </w:pPr>
      <w:r>
        <w:rPr>
          <w:rFonts w:hint="eastAsia" w:ascii="宋体"/>
        </w:rPr>
        <w:t>杭州机场综合服务楼</w:t>
      </w:r>
      <w:r>
        <w:rPr>
          <w:rFonts w:hint="eastAsia" w:ascii="宋体" w:cs="MingLiU"/>
          <w:snapToGrid w:val="0"/>
          <w:kern w:val="0"/>
          <w:szCs w:val="21"/>
        </w:rPr>
        <w:t>位于杭州萧山国际机场航景路与翔越路交叉口，属于杭州萧山国际机场综合服务配套设施，距现有T3航站楼900米，5分钟车程即达候机楼，地理位置优越。酒店设在</w:t>
      </w:r>
      <w:r>
        <w:rPr>
          <w:rFonts w:hint="eastAsia" w:ascii="宋体"/>
        </w:rPr>
        <w:t>综合服务楼</w:t>
      </w:r>
      <w:r>
        <w:rPr>
          <w:rFonts w:hint="eastAsia" w:ascii="宋体" w:cs="MingLiU"/>
          <w:snapToGrid w:val="0"/>
          <w:kern w:val="0"/>
          <w:szCs w:val="21"/>
        </w:rPr>
        <w:t>6—8层，建筑面积约为6700平方米，包括各类客房105间、早餐厅、厨房等，一楼设有接待大厅，主要提供培训住宿餐饮、商务住宿等服务，计划2020年2月开业。</w:t>
      </w:r>
    </w:p>
    <w:p>
      <w:pPr>
        <w:snapToGrid w:val="0"/>
        <w:spacing w:line="360" w:lineRule="auto"/>
        <w:ind w:firstLine="420" w:firstLineChars="200"/>
        <w:rPr>
          <w:rFonts w:ascii="宋体" w:cs="MingLiU"/>
          <w:snapToGrid w:val="0"/>
          <w:kern w:val="0"/>
          <w:szCs w:val="21"/>
        </w:rPr>
      </w:pPr>
      <w:r>
        <w:rPr>
          <w:rFonts w:hint="eastAsia" w:ascii="宋体" w:cs="MingLiU"/>
          <w:snapToGrid w:val="0"/>
          <w:kern w:val="0"/>
          <w:szCs w:val="21"/>
        </w:rPr>
        <w:t>客房房型如下:</w:t>
      </w:r>
    </w:p>
    <w:tbl>
      <w:tblPr>
        <w:tblStyle w:val="55"/>
        <w:tblW w:w="9736" w:type="dxa"/>
        <w:tblInd w:w="0" w:type="dxa"/>
        <w:tblLayout w:type="fixed"/>
        <w:tblCellMar>
          <w:top w:w="0" w:type="dxa"/>
          <w:left w:w="0" w:type="dxa"/>
          <w:bottom w:w="0" w:type="dxa"/>
          <w:right w:w="0" w:type="dxa"/>
        </w:tblCellMar>
      </w:tblPr>
      <w:tblGrid>
        <w:gridCol w:w="952"/>
        <w:gridCol w:w="1811"/>
        <w:gridCol w:w="952"/>
        <w:gridCol w:w="952"/>
        <w:gridCol w:w="952"/>
        <w:gridCol w:w="861"/>
        <w:gridCol w:w="3256"/>
      </w:tblGrid>
      <w:tr>
        <w:tblPrEx>
          <w:tblLayout w:type="fixed"/>
          <w:tblCellMar>
            <w:top w:w="0" w:type="dxa"/>
            <w:left w:w="0" w:type="dxa"/>
            <w:bottom w:w="0" w:type="dxa"/>
            <w:right w:w="0" w:type="dxa"/>
          </w:tblCellMar>
        </w:tblPrEx>
        <w:trPr>
          <w:trHeight w:val="39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序号</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房型</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6楼</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7楼</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8楼</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合计</w:t>
            </w:r>
          </w:p>
        </w:tc>
        <w:tc>
          <w:tcPr>
            <w:tcW w:w="3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面积</w:t>
            </w:r>
          </w:p>
        </w:tc>
      </w:tr>
      <w:tr>
        <w:tblPrEx>
          <w:tblLayout w:type="fixed"/>
          <w:tblCellMar>
            <w:top w:w="0" w:type="dxa"/>
            <w:left w:w="0" w:type="dxa"/>
            <w:bottom w:w="0" w:type="dxa"/>
            <w:right w:w="0" w:type="dxa"/>
          </w:tblCellMar>
        </w:tblPrEx>
        <w:trPr>
          <w:trHeight w:val="39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特价标准间</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0</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0</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w:t>
            </w:r>
          </w:p>
        </w:tc>
        <w:tc>
          <w:tcPr>
            <w:tcW w:w="3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35㎡</w:t>
            </w:r>
          </w:p>
        </w:tc>
      </w:tr>
      <w:tr>
        <w:tblPrEx>
          <w:tblLayout w:type="fixed"/>
          <w:tblCellMar>
            <w:top w:w="0" w:type="dxa"/>
            <w:left w:w="0" w:type="dxa"/>
            <w:bottom w:w="0" w:type="dxa"/>
            <w:right w:w="0" w:type="dxa"/>
          </w:tblCellMar>
        </w:tblPrEx>
        <w:trPr>
          <w:trHeight w:val="39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特价大床房</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0</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3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20㎡，有走廊</w:t>
            </w:r>
          </w:p>
        </w:tc>
      </w:tr>
      <w:tr>
        <w:tblPrEx>
          <w:tblLayout w:type="fixed"/>
          <w:tblCellMar>
            <w:top w:w="0" w:type="dxa"/>
            <w:left w:w="0" w:type="dxa"/>
            <w:bottom w:w="0" w:type="dxa"/>
            <w:right w:w="0" w:type="dxa"/>
          </w:tblCellMar>
        </w:tblPrEx>
        <w:trPr>
          <w:trHeight w:val="39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高级标准间</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34</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0</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0</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34</w:t>
            </w:r>
          </w:p>
        </w:tc>
        <w:tc>
          <w:tcPr>
            <w:tcW w:w="3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35㎡</w:t>
            </w:r>
          </w:p>
        </w:tc>
      </w:tr>
      <w:tr>
        <w:tblPrEx>
          <w:tblLayout w:type="fixed"/>
          <w:tblCellMar>
            <w:top w:w="0" w:type="dxa"/>
            <w:left w:w="0" w:type="dxa"/>
            <w:bottom w:w="0" w:type="dxa"/>
            <w:right w:w="0" w:type="dxa"/>
          </w:tblCellMar>
        </w:tblPrEx>
        <w:trPr>
          <w:trHeight w:val="39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高级大床房</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0</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0</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3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26㎡</w:t>
            </w:r>
          </w:p>
        </w:tc>
      </w:tr>
      <w:tr>
        <w:tblPrEx>
          <w:tblLayout w:type="fixed"/>
          <w:tblCellMar>
            <w:top w:w="0" w:type="dxa"/>
            <w:left w:w="0" w:type="dxa"/>
            <w:bottom w:w="0" w:type="dxa"/>
            <w:right w:w="0" w:type="dxa"/>
          </w:tblCellMar>
        </w:tblPrEx>
        <w:trPr>
          <w:trHeight w:val="39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商务标准间</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0</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24</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18</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42</w:t>
            </w:r>
          </w:p>
        </w:tc>
        <w:tc>
          <w:tcPr>
            <w:tcW w:w="3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35㎡，走廊采光</w:t>
            </w:r>
          </w:p>
        </w:tc>
      </w:tr>
      <w:tr>
        <w:tblPrEx>
          <w:tblLayout w:type="fixed"/>
          <w:tblCellMar>
            <w:top w:w="0" w:type="dxa"/>
            <w:left w:w="0" w:type="dxa"/>
            <w:bottom w:w="0" w:type="dxa"/>
            <w:right w:w="0" w:type="dxa"/>
          </w:tblCellMar>
        </w:tblPrEx>
        <w:trPr>
          <w:trHeight w:val="39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商务大床房</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0</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9</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14</w:t>
            </w:r>
          </w:p>
        </w:tc>
        <w:tc>
          <w:tcPr>
            <w:tcW w:w="3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26㎡，走廊采光</w:t>
            </w:r>
          </w:p>
        </w:tc>
      </w:tr>
      <w:tr>
        <w:tblPrEx>
          <w:tblLayout w:type="fixed"/>
          <w:tblCellMar>
            <w:top w:w="0" w:type="dxa"/>
            <w:left w:w="0" w:type="dxa"/>
            <w:bottom w:w="0" w:type="dxa"/>
            <w:right w:w="0" w:type="dxa"/>
          </w:tblCellMar>
        </w:tblPrEx>
        <w:trPr>
          <w:trHeight w:val="39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7</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亲子套房</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0</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3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45㎡</w:t>
            </w:r>
          </w:p>
        </w:tc>
      </w:tr>
      <w:tr>
        <w:tblPrEx>
          <w:tblLayout w:type="fixed"/>
          <w:tblCellMar>
            <w:top w:w="0" w:type="dxa"/>
            <w:left w:w="0" w:type="dxa"/>
            <w:bottom w:w="0" w:type="dxa"/>
            <w:right w:w="0" w:type="dxa"/>
          </w:tblCellMar>
        </w:tblPrEx>
        <w:trPr>
          <w:trHeight w:val="408"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豪华家庭亲子套房</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0</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3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60㎡</w:t>
            </w:r>
          </w:p>
        </w:tc>
      </w:tr>
      <w:tr>
        <w:tblPrEx>
          <w:tblLayout w:type="fixed"/>
          <w:tblCellMar>
            <w:top w:w="0" w:type="dxa"/>
            <w:left w:w="0" w:type="dxa"/>
            <w:bottom w:w="0" w:type="dxa"/>
            <w:right w:w="0" w:type="dxa"/>
          </w:tblCellMar>
        </w:tblPrEx>
        <w:trPr>
          <w:trHeight w:val="408" w:hRule="atLeast"/>
        </w:trPr>
        <w:tc>
          <w:tcPr>
            <w:tcW w:w="27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总计</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37</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31</w:t>
            </w:r>
          </w:p>
        </w:tc>
        <w:tc>
          <w:tcPr>
            <w:tcW w:w="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37</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105</w:t>
            </w:r>
          </w:p>
        </w:tc>
        <w:tc>
          <w:tcPr>
            <w:tcW w:w="3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rPr>
            </w:pPr>
          </w:p>
        </w:tc>
      </w:tr>
    </w:tbl>
    <w:p>
      <w:pPr>
        <w:snapToGrid w:val="0"/>
        <w:spacing w:line="360" w:lineRule="auto"/>
        <w:ind w:firstLine="420" w:firstLineChars="200"/>
        <w:rPr>
          <w:rFonts w:ascii="宋体" w:cs="MingLiU"/>
          <w:snapToGrid w:val="0"/>
          <w:kern w:val="0"/>
          <w:szCs w:val="21"/>
        </w:rPr>
      </w:pPr>
    </w:p>
    <w:p>
      <w:pPr>
        <w:snapToGrid w:val="0"/>
        <w:spacing w:line="360" w:lineRule="auto"/>
        <w:ind w:firstLine="422" w:firstLineChars="200"/>
        <w:rPr>
          <w:rFonts w:ascii="宋体" w:hAnsi="宋体" w:cs="宋体"/>
          <w:b/>
          <w:bCs/>
          <w:szCs w:val="21"/>
        </w:rPr>
      </w:pPr>
      <w:r>
        <w:rPr>
          <w:rFonts w:hint="eastAsia" w:ascii="宋体" w:hAnsi="宋体" w:cs="宋体"/>
          <w:b/>
          <w:bCs/>
          <w:szCs w:val="21"/>
        </w:rPr>
        <w:t>2.2 服务范围</w:t>
      </w:r>
    </w:p>
    <w:p>
      <w:pPr>
        <w:snapToGrid w:val="0"/>
        <w:spacing w:line="360" w:lineRule="auto"/>
        <w:ind w:firstLine="420" w:firstLineChars="200"/>
        <w:rPr>
          <w:rFonts w:ascii="宋体" w:hAnsi="宋体" w:cs="宋体"/>
          <w:szCs w:val="21"/>
        </w:rPr>
      </w:pPr>
      <w:r>
        <w:rPr>
          <w:rFonts w:hint="eastAsia" w:ascii="宋体" w:hAnsi="宋体" w:cs="宋体"/>
          <w:szCs w:val="21"/>
        </w:rPr>
        <w:t>本次招标包括但不限于酒店筹开期筹开支持、酒店运营期的委托运营管理服务</w:t>
      </w:r>
      <w:r>
        <w:rPr>
          <w:rFonts w:hint="eastAsia" w:ascii="宋体" w:hAnsi="宋体" w:cs="MingLiU"/>
          <w:snapToGrid w:val="0"/>
          <w:kern w:val="0"/>
          <w:position w:val="-2"/>
          <w:szCs w:val="21"/>
        </w:rPr>
        <w:t>（具体详见竞争性谈判文件第二章）</w:t>
      </w:r>
      <w:r>
        <w:rPr>
          <w:rFonts w:hint="eastAsia" w:ascii="宋体" w:hAnsi="宋体" w:cs="宋体"/>
          <w:szCs w:val="21"/>
        </w:rPr>
        <w:t>。</w:t>
      </w:r>
    </w:p>
    <w:p>
      <w:pPr>
        <w:snapToGrid w:val="0"/>
        <w:spacing w:line="360" w:lineRule="auto"/>
        <w:ind w:firstLine="422" w:firstLineChars="200"/>
        <w:rPr>
          <w:rFonts w:ascii="宋体" w:cs="MingLiU"/>
          <w:b/>
          <w:bCs/>
          <w:snapToGrid w:val="0"/>
          <w:color w:val="FF0000"/>
          <w:kern w:val="0"/>
          <w:szCs w:val="21"/>
        </w:rPr>
      </w:pPr>
      <w:r>
        <w:rPr>
          <w:rFonts w:ascii="Arial" w:hAnsi="宋体" w:cs="Arial"/>
          <w:b/>
          <w:snapToGrid w:val="0"/>
          <w:kern w:val="0"/>
          <w:szCs w:val="21"/>
        </w:rPr>
        <w:t>服务</w:t>
      </w:r>
      <w:r>
        <w:rPr>
          <w:rFonts w:hint="eastAsia" w:ascii="Arial" w:hAnsi="宋体" w:cs="Arial"/>
          <w:b/>
          <w:snapToGrid w:val="0"/>
          <w:kern w:val="0"/>
          <w:szCs w:val="21"/>
        </w:rPr>
        <w:t>质量</w:t>
      </w:r>
      <w:r>
        <w:rPr>
          <w:rFonts w:ascii="Arial" w:hAnsi="宋体" w:cs="Arial"/>
          <w:b/>
          <w:snapToGrid w:val="0"/>
          <w:kern w:val="0"/>
          <w:szCs w:val="21"/>
        </w:rPr>
        <w:t>目标：</w:t>
      </w:r>
      <w:r>
        <w:rPr>
          <w:rFonts w:hint="eastAsia" w:ascii="宋体" w:hAnsi="宋体" w:cs="宋体"/>
          <w:szCs w:val="21"/>
        </w:rPr>
        <w:t>酒店客房、前厅接待及部分餐饮（含早餐、培训餐饮）的服务标准达到旅游饭店三星及以上标准</w:t>
      </w:r>
      <w:r>
        <w:rPr>
          <w:rFonts w:hint="eastAsia" w:ascii="Arial" w:hAnsi="宋体" w:cs="Arial"/>
          <w:snapToGrid w:val="0"/>
          <w:kern w:val="0"/>
          <w:szCs w:val="21"/>
        </w:rPr>
        <w:t>。</w:t>
      </w:r>
    </w:p>
    <w:p>
      <w:pPr>
        <w:spacing w:line="360" w:lineRule="auto"/>
        <w:ind w:firstLine="422" w:firstLineChars="200"/>
        <w:rPr>
          <w:rFonts w:ascii="宋体" w:cs="MingLiU"/>
          <w:snapToGrid w:val="0"/>
          <w:kern w:val="0"/>
          <w:position w:val="-2"/>
          <w:szCs w:val="21"/>
        </w:rPr>
      </w:pPr>
      <w:r>
        <w:rPr>
          <w:rFonts w:hint="eastAsia" w:ascii="宋体" w:cs="MingLiU"/>
          <w:b/>
          <w:bCs/>
          <w:snapToGrid w:val="0"/>
          <w:kern w:val="0"/>
          <w:position w:val="-2"/>
          <w:szCs w:val="21"/>
        </w:rPr>
        <w:t>服务期：</w:t>
      </w:r>
      <w:r>
        <w:rPr>
          <w:rFonts w:hint="eastAsia"/>
        </w:rPr>
        <w:t>10年</w:t>
      </w:r>
      <w:r>
        <w:rPr>
          <w:rFonts w:hint="eastAsia" w:ascii="宋体" w:cs="MingLiU"/>
          <w:snapToGrid w:val="0"/>
          <w:kern w:val="0"/>
          <w:position w:val="-2"/>
          <w:szCs w:val="21"/>
        </w:rPr>
        <w:t>。</w:t>
      </w:r>
    </w:p>
    <w:p>
      <w:pPr>
        <w:pStyle w:val="3"/>
        <w:spacing w:before="120" w:after="120"/>
        <w:rPr>
          <w:rFonts w:ascii="宋体"/>
          <w:snapToGrid w:val="0"/>
          <w:sz w:val="24"/>
          <w:szCs w:val="24"/>
        </w:rPr>
      </w:pPr>
      <w:bookmarkStart w:id="26" w:name="_Toc480460954"/>
      <w:bookmarkStart w:id="27" w:name="_Toc525810897"/>
      <w:bookmarkStart w:id="28" w:name="_Toc12951279"/>
      <w:r>
        <w:rPr>
          <w:rFonts w:hint="eastAsia" w:ascii="宋体"/>
          <w:snapToGrid w:val="0"/>
          <w:sz w:val="24"/>
          <w:szCs w:val="24"/>
        </w:rPr>
        <w:t>3. 谈判响应方资格要求</w:t>
      </w:r>
      <w:bookmarkEnd w:id="20"/>
      <w:bookmarkEnd w:id="21"/>
      <w:bookmarkEnd w:id="22"/>
      <w:bookmarkEnd w:id="23"/>
      <w:bookmarkEnd w:id="24"/>
      <w:bookmarkEnd w:id="25"/>
      <w:bookmarkEnd w:id="26"/>
      <w:bookmarkEnd w:id="27"/>
      <w:bookmarkEnd w:id="28"/>
    </w:p>
    <w:p>
      <w:pPr>
        <w:spacing w:line="360" w:lineRule="auto"/>
        <w:rPr>
          <w:rFonts w:ascii="宋体"/>
        </w:rPr>
      </w:pPr>
      <w:r>
        <w:rPr>
          <w:rFonts w:hint="eastAsia" w:ascii="宋体"/>
          <w:snapToGrid w:val="0"/>
          <w:kern w:val="0"/>
          <w:szCs w:val="21"/>
        </w:rPr>
        <w:t xml:space="preserve">    3.</w:t>
      </w:r>
      <w:r>
        <w:rPr>
          <w:rFonts w:hint="eastAsia" w:ascii="宋体" w:cs="MingLiU"/>
          <w:snapToGrid w:val="0"/>
          <w:kern w:val="0"/>
          <w:position w:val="-2"/>
          <w:szCs w:val="21"/>
        </w:rPr>
        <w:t>1</w:t>
      </w:r>
      <w:r>
        <w:rPr>
          <w:rFonts w:hint="eastAsia" w:ascii="宋体"/>
        </w:rPr>
        <w:t>本次谈判实行资格后审，谈判响应方必须满足如下资格条件要求：</w:t>
      </w:r>
    </w:p>
    <w:p>
      <w:pPr>
        <w:numPr>
          <w:ilvl w:val="0"/>
          <w:numId w:val="1"/>
        </w:numPr>
        <w:snapToGrid w:val="0"/>
        <w:spacing w:line="360" w:lineRule="auto"/>
        <w:rPr>
          <w:rFonts w:ascii="宋体" w:cs="MingLiU"/>
          <w:snapToGrid w:val="0"/>
          <w:kern w:val="0"/>
          <w:position w:val="-2"/>
          <w:szCs w:val="21"/>
        </w:rPr>
      </w:pPr>
      <w:r>
        <w:rPr>
          <w:rFonts w:hint="eastAsia" w:ascii="宋体" w:cs="MingLiU"/>
          <w:snapToGrid w:val="0"/>
          <w:kern w:val="0"/>
          <w:position w:val="-2"/>
          <w:szCs w:val="21"/>
        </w:rPr>
        <w:t>须为具有独立法人资格的三星级旅游饭店及以上或为具有三星级及以上旅游饭店管理经验的饭店服务管理公司；</w:t>
      </w:r>
      <w:r>
        <w:rPr>
          <w:rStyle w:val="51"/>
          <w:rFonts w:hint="eastAsia" w:ascii="Calibri" w:hAnsi="Calibri"/>
        </w:rPr>
        <w:t>（提供相关证书）</w:t>
      </w:r>
    </w:p>
    <w:p>
      <w:pPr>
        <w:numPr>
          <w:ilvl w:val="0"/>
          <w:numId w:val="1"/>
        </w:numPr>
        <w:snapToGrid w:val="0"/>
        <w:spacing w:line="360" w:lineRule="auto"/>
        <w:rPr>
          <w:rFonts w:ascii="宋体" w:cs="MingLiU"/>
          <w:snapToGrid w:val="0"/>
          <w:kern w:val="0"/>
          <w:position w:val="-2"/>
          <w:szCs w:val="21"/>
        </w:rPr>
      </w:pPr>
      <w:r>
        <w:rPr>
          <w:rFonts w:hint="eastAsia" w:ascii="宋体" w:cs="MingLiU"/>
          <w:snapToGrid w:val="0"/>
          <w:kern w:val="0"/>
          <w:position w:val="-2"/>
          <w:szCs w:val="21"/>
        </w:rPr>
        <w:t>在中国大陆地区至少具有1个三星级及以上酒店委托管理业绩（须提供业绩的合同协议书复印件并加盖投标人公章作为证明材料，原件备查）；</w:t>
      </w:r>
    </w:p>
    <w:p>
      <w:pPr>
        <w:numPr>
          <w:ilvl w:val="0"/>
          <w:numId w:val="1"/>
        </w:numPr>
        <w:snapToGrid w:val="0"/>
        <w:spacing w:line="360" w:lineRule="auto"/>
        <w:rPr>
          <w:rFonts w:ascii="宋体" w:cs="MingLiU"/>
          <w:snapToGrid w:val="0"/>
          <w:kern w:val="0"/>
          <w:position w:val="-2"/>
          <w:szCs w:val="21"/>
        </w:rPr>
      </w:pPr>
      <w:r>
        <w:rPr>
          <w:rFonts w:hint="eastAsia" w:ascii="宋体" w:cs="MingLiU"/>
          <w:snapToGrid w:val="0"/>
          <w:kern w:val="0"/>
          <w:position w:val="-2"/>
          <w:szCs w:val="21"/>
        </w:rPr>
        <w:t>无违法违规行为，未处于财产被接管、冻结、破产状态，未处于行政处罚和谈判禁入期；</w:t>
      </w:r>
    </w:p>
    <w:p>
      <w:pPr>
        <w:numPr>
          <w:ilvl w:val="0"/>
          <w:numId w:val="1"/>
        </w:numPr>
        <w:snapToGrid w:val="0"/>
        <w:spacing w:line="360" w:lineRule="auto"/>
        <w:rPr>
          <w:rFonts w:ascii="宋体" w:cs="MingLiU"/>
          <w:snapToGrid w:val="0"/>
          <w:kern w:val="0"/>
          <w:position w:val="-2"/>
          <w:szCs w:val="21"/>
        </w:rPr>
      </w:pPr>
      <w:r>
        <w:rPr>
          <w:rFonts w:hint="eastAsia" w:ascii="宋体" w:cs="MingLiU"/>
          <w:snapToGrid w:val="0"/>
          <w:kern w:val="0"/>
          <w:position w:val="-2"/>
          <w:szCs w:val="21"/>
        </w:rPr>
        <w:t>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numPr>
          <w:ilvl w:val="0"/>
          <w:numId w:val="1"/>
        </w:numPr>
        <w:snapToGrid w:val="0"/>
        <w:spacing w:line="360" w:lineRule="auto"/>
        <w:rPr>
          <w:rFonts w:ascii="宋体" w:cs="MingLiU"/>
          <w:snapToGrid w:val="0"/>
          <w:kern w:val="0"/>
          <w:position w:val="-2"/>
          <w:szCs w:val="21"/>
        </w:rPr>
      </w:pPr>
      <w:r>
        <w:rPr>
          <w:rFonts w:hint="eastAsia" w:cs="宋体"/>
        </w:rPr>
        <w:t>无行贿犯罪记录</w:t>
      </w:r>
      <w:r>
        <w:rPr>
          <w:rFonts w:hint="eastAsia" w:eastAsia="Times New Roman"/>
        </w:rPr>
        <w:t>(</w:t>
      </w:r>
      <w:r>
        <w:rPr>
          <w:rFonts w:hint="eastAsia" w:cs="宋体"/>
        </w:rPr>
        <w:t>通过中国裁判文书网</w:t>
      </w:r>
      <w:r>
        <w:rPr>
          <w:rFonts w:hint="eastAsia" w:eastAsia="Times New Roman"/>
        </w:rPr>
        <w:t>http://wenshu.court.gov.cn</w:t>
      </w:r>
      <w:r>
        <w:rPr>
          <w:rFonts w:hint="eastAsia" w:cs="宋体"/>
        </w:rPr>
        <w:t>查询，查询结果以网站页面显示内容为准，投标时需提供查询结果并加盖投标人公章作为证明材料</w:t>
      </w:r>
      <w:r>
        <w:rPr>
          <w:rFonts w:hint="eastAsia" w:eastAsia="Times New Roman"/>
        </w:rPr>
        <w:t>)</w:t>
      </w:r>
      <w:r>
        <w:rPr>
          <w:rFonts w:hint="eastAsia" w:cs="宋体"/>
        </w:rPr>
        <w:t>。若在中标公示期间发现中标候选人在投标截止日前存在行贿犯罪记录的，招标人将依法取消其中标资格。</w:t>
      </w:r>
    </w:p>
    <w:p>
      <w:pPr>
        <w:numPr>
          <w:ilvl w:val="0"/>
          <w:numId w:val="1"/>
        </w:numPr>
        <w:snapToGrid w:val="0"/>
        <w:spacing w:line="360" w:lineRule="auto"/>
        <w:rPr>
          <w:rFonts w:cs="宋体"/>
        </w:rPr>
      </w:pPr>
      <w:r>
        <w:rPr>
          <w:rFonts w:hint="eastAsia" w:cs="宋体"/>
        </w:rPr>
        <w:t>优先考虑具有自身独立知识产权的酒店品牌的响应方；</w:t>
      </w:r>
    </w:p>
    <w:p>
      <w:pPr>
        <w:numPr>
          <w:ilvl w:val="0"/>
          <w:numId w:val="1"/>
        </w:numPr>
        <w:snapToGrid w:val="0"/>
        <w:spacing w:line="360" w:lineRule="auto"/>
        <w:rPr>
          <w:rFonts w:ascii="宋体" w:cs="MingLiU"/>
          <w:snapToGrid w:val="0"/>
          <w:kern w:val="0"/>
          <w:position w:val="-2"/>
          <w:szCs w:val="21"/>
        </w:rPr>
      </w:pPr>
      <w:r>
        <w:rPr>
          <w:rFonts w:hint="eastAsia" w:ascii="宋体" w:cs="MingLiU"/>
          <w:snapToGrid w:val="0"/>
          <w:kern w:val="0"/>
          <w:position w:val="-2"/>
          <w:szCs w:val="21"/>
        </w:rPr>
        <w:t>本项目不接受联合投标。</w:t>
      </w:r>
    </w:p>
    <w:p>
      <w:pPr>
        <w:pStyle w:val="3"/>
        <w:spacing w:before="120" w:after="120"/>
        <w:rPr>
          <w:rFonts w:ascii="宋体"/>
          <w:snapToGrid w:val="0"/>
          <w:sz w:val="24"/>
          <w:szCs w:val="24"/>
        </w:rPr>
      </w:pPr>
      <w:bookmarkStart w:id="29" w:name="_Toc480460955"/>
      <w:bookmarkStart w:id="30" w:name="_Toc277082539"/>
      <w:bookmarkStart w:id="31" w:name="_Toc12951280"/>
      <w:bookmarkStart w:id="32" w:name="_Toc525810898"/>
      <w:bookmarkStart w:id="33" w:name="_Toc200359430"/>
      <w:bookmarkStart w:id="34" w:name="_Toc287620670"/>
      <w:bookmarkStart w:id="35" w:name="_Toc224103302"/>
      <w:bookmarkStart w:id="36" w:name="_Toc287607731"/>
      <w:bookmarkStart w:id="37" w:name="_Toc200359241"/>
      <w:r>
        <w:rPr>
          <w:rFonts w:hint="eastAsia" w:ascii="宋体"/>
          <w:snapToGrid w:val="0"/>
          <w:sz w:val="24"/>
          <w:szCs w:val="24"/>
        </w:rPr>
        <w:t>4. 谈判文件的获取</w:t>
      </w:r>
      <w:bookmarkEnd w:id="29"/>
      <w:bookmarkEnd w:id="30"/>
      <w:bookmarkEnd w:id="31"/>
      <w:bookmarkEnd w:id="32"/>
      <w:bookmarkEnd w:id="33"/>
      <w:bookmarkEnd w:id="34"/>
      <w:bookmarkEnd w:id="35"/>
      <w:bookmarkEnd w:id="36"/>
      <w:bookmarkEnd w:id="37"/>
    </w:p>
    <w:p>
      <w:pPr>
        <w:widowControl/>
        <w:adjustRightInd w:val="0"/>
        <w:snapToGrid w:val="0"/>
        <w:spacing w:line="340" w:lineRule="exact"/>
        <w:ind w:firstLine="440" w:firstLineChars="200"/>
        <w:rPr>
          <w:rFonts w:ascii="宋体" w:hAnsi="宋体" w:cs="Arial"/>
          <w:kern w:val="0"/>
          <w:sz w:val="22"/>
        </w:rPr>
      </w:pPr>
      <w:bookmarkStart w:id="38" w:name="_Toc200359242"/>
      <w:bookmarkStart w:id="39" w:name="_Toc287620671"/>
      <w:bookmarkStart w:id="40" w:name="_Toc224103303"/>
      <w:bookmarkStart w:id="41" w:name="_Toc287607732"/>
      <w:bookmarkStart w:id="42" w:name="_Toc480460956"/>
      <w:bookmarkStart w:id="43" w:name="_Toc277082540"/>
      <w:bookmarkStart w:id="44" w:name="_Toc200359431"/>
      <w:r>
        <w:rPr>
          <w:rFonts w:hint="eastAsia" w:ascii="宋体" w:hAnsi="宋体" w:cs="Arial"/>
          <w:kern w:val="0"/>
          <w:sz w:val="22"/>
        </w:rPr>
        <w:t>凡符合资格条件并有投标意向的潜在投标人，请通过浙江省机场有限公司</w:t>
      </w:r>
      <w:r>
        <w:t xml:space="preserve">http://www.zjsairport.com/ </w:t>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pStyle w:val="3"/>
        <w:spacing w:before="120" w:after="120"/>
        <w:rPr>
          <w:rFonts w:ascii="宋体"/>
          <w:snapToGrid w:val="0"/>
          <w:sz w:val="24"/>
          <w:szCs w:val="24"/>
        </w:rPr>
      </w:pPr>
      <w:bookmarkStart w:id="45" w:name="_Toc12951281"/>
      <w:bookmarkStart w:id="46" w:name="_Toc525810899"/>
      <w:r>
        <w:rPr>
          <w:rFonts w:hint="eastAsia" w:ascii="宋体"/>
          <w:snapToGrid w:val="0"/>
          <w:sz w:val="24"/>
          <w:szCs w:val="24"/>
        </w:rPr>
        <w:t>5. 响应文件的递交</w:t>
      </w:r>
      <w:bookmarkEnd w:id="38"/>
      <w:bookmarkEnd w:id="39"/>
      <w:bookmarkEnd w:id="40"/>
      <w:bookmarkEnd w:id="41"/>
      <w:bookmarkEnd w:id="42"/>
      <w:bookmarkEnd w:id="43"/>
      <w:bookmarkEnd w:id="44"/>
      <w:bookmarkEnd w:id="45"/>
      <w:bookmarkEnd w:id="46"/>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w:t>
      </w:r>
      <w:r>
        <w:rPr>
          <w:rFonts w:hint="eastAsia" w:ascii="宋体" w:hAnsi="宋体" w:cs="Arial"/>
          <w:kern w:val="0"/>
          <w:sz w:val="22"/>
        </w:rPr>
        <w:t>2020年 1 月 8  日上午9时00分</w:t>
      </w:r>
      <w:r>
        <w:rPr>
          <w:rFonts w:hint="eastAsia" w:ascii="宋体" w:hAnsi="宋体" w:cs="Arial"/>
          <w:kern w:val="0"/>
          <w:sz w:val="22"/>
        </w:rPr>
        <w:t>（北京时间）。投标文件在封口处加盖公章，并派专人于2020年 1 月 8  日上午9时00分（北京时间）前送至杭州萧山国际机场翔越路综合服务楼园区招标中心，逾期无效；若采用投递方式的，请于</w:t>
      </w:r>
      <w:r>
        <w:rPr>
          <w:rFonts w:hint="eastAsia" w:ascii="宋体" w:hAnsi="宋体" w:cs="Arial"/>
          <w:kern w:val="0"/>
          <w:sz w:val="22"/>
        </w:rPr>
        <w:t>2020年 1 月 8  日上午9时00分</w:t>
      </w:r>
      <w:r>
        <w:rPr>
          <w:rFonts w:hint="eastAsia" w:ascii="宋体" w:hAnsi="宋体" w:cs="Arial"/>
          <w:kern w:val="0"/>
          <w:sz w:val="22"/>
        </w:rPr>
        <w:t>（北京时间）前投递至杭州萧山国际机场综合楼213室，逾期无效。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pStyle w:val="3"/>
        <w:spacing w:before="120" w:after="120"/>
        <w:rPr>
          <w:rFonts w:ascii="宋体"/>
          <w:snapToGrid w:val="0"/>
          <w:sz w:val="24"/>
          <w:szCs w:val="24"/>
        </w:rPr>
      </w:pPr>
      <w:bookmarkStart w:id="47" w:name="_Toc287620672"/>
      <w:bookmarkStart w:id="48" w:name="_Toc287607733"/>
      <w:bookmarkStart w:id="49" w:name="_Toc525810900"/>
      <w:bookmarkStart w:id="50" w:name="_Toc200359243"/>
      <w:bookmarkStart w:id="51" w:name="_Toc480460957"/>
      <w:bookmarkStart w:id="52" w:name="_Toc200359432"/>
      <w:bookmarkStart w:id="53" w:name="_Toc224103304"/>
      <w:bookmarkStart w:id="54" w:name="_Toc277082541"/>
      <w:bookmarkStart w:id="55" w:name="_Toc12951282"/>
      <w:r>
        <w:rPr>
          <w:rFonts w:hint="eastAsia" w:ascii="宋体"/>
          <w:snapToGrid w:val="0"/>
          <w:sz w:val="24"/>
          <w:szCs w:val="24"/>
        </w:rPr>
        <w:t>6. 发布公告的媒介</w:t>
      </w:r>
      <w:bookmarkEnd w:id="47"/>
      <w:bookmarkEnd w:id="48"/>
      <w:bookmarkEnd w:id="49"/>
      <w:bookmarkEnd w:id="50"/>
      <w:bookmarkEnd w:id="51"/>
      <w:bookmarkEnd w:id="52"/>
      <w:bookmarkEnd w:id="53"/>
      <w:bookmarkEnd w:id="54"/>
      <w:bookmarkEnd w:id="55"/>
    </w:p>
    <w:p>
      <w:pPr>
        <w:spacing w:line="360" w:lineRule="auto"/>
        <w:ind w:firstLine="420" w:firstLineChars="200"/>
        <w:rPr>
          <w:rFonts w:ascii="宋体" w:cs="MingLiU"/>
          <w:snapToGrid w:val="0"/>
          <w:kern w:val="0"/>
          <w:szCs w:val="21"/>
        </w:rPr>
      </w:pPr>
      <w:r>
        <w:rPr>
          <w:rFonts w:hint="eastAsia" w:ascii="宋体"/>
          <w:szCs w:val="21"/>
        </w:rPr>
        <w:t>本次竞争性谈判公告在</w:t>
      </w:r>
      <w:r>
        <w:rPr>
          <w:rFonts w:hint="eastAsia" w:ascii="宋体"/>
          <w:snapToGrid w:val="0"/>
          <w:kern w:val="0"/>
          <w:szCs w:val="21"/>
          <w:u w:val="single"/>
        </w:rPr>
        <w:t>浙江省</w:t>
      </w:r>
      <w:r>
        <w:rPr>
          <w:rFonts w:ascii="宋体"/>
          <w:snapToGrid w:val="0"/>
          <w:kern w:val="0"/>
          <w:szCs w:val="21"/>
          <w:u w:val="single"/>
        </w:rPr>
        <w:t>机场集团有限</w:t>
      </w:r>
      <w:r>
        <w:rPr>
          <w:rFonts w:hint="eastAsia" w:ascii="宋体"/>
          <w:snapToGrid w:val="0"/>
          <w:kern w:val="0"/>
          <w:szCs w:val="21"/>
          <w:u w:val="single"/>
        </w:rPr>
        <w:t>公司主页</w:t>
      </w:r>
      <w:r>
        <w:rPr>
          <w:rFonts w:hint="eastAsia" w:ascii="宋体"/>
          <w:szCs w:val="21"/>
        </w:rPr>
        <w:t>上发布。</w:t>
      </w:r>
    </w:p>
    <w:p>
      <w:pPr>
        <w:pStyle w:val="3"/>
        <w:spacing w:before="120" w:after="120"/>
        <w:rPr>
          <w:rFonts w:ascii="宋体"/>
          <w:snapToGrid w:val="0"/>
          <w:sz w:val="24"/>
          <w:szCs w:val="24"/>
        </w:rPr>
      </w:pPr>
      <w:bookmarkStart w:id="56" w:name="_Toc12951283"/>
      <w:bookmarkStart w:id="57" w:name="_Toc224103305"/>
      <w:bookmarkStart w:id="58" w:name="_Toc525810901"/>
      <w:bookmarkStart w:id="59" w:name="_Toc287607734"/>
      <w:bookmarkStart w:id="60" w:name="_Toc277082542"/>
      <w:bookmarkStart w:id="61" w:name="_Toc480460958"/>
      <w:bookmarkStart w:id="62" w:name="_Toc287620673"/>
      <w:r>
        <w:rPr>
          <w:rFonts w:hint="eastAsia" w:ascii="宋体"/>
          <w:snapToGrid w:val="0"/>
          <w:sz w:val="24"/>
          <w:szCs w:val="24"/>
        </w:rPr>
        <w:t>7. 联系方式</w:t>
      </w:r>
      <w:bookmarkEnd w:id="56"/>
      <w:bookmarkEnd w:id="57"/>
      <w:bookmarkEnd w:id="58"/>
      <w:bookmarkEnd w:id="59"/>
      <w:bookmarkEnd w:id="60"/>
      <w:bookmarkEnd w:id="61"/>
      <w:bookmarkEnd w:id="62"/>
    </w:p>
    <w:tbl>
      <w:tblPr>
        <w:tblStyle w:val="55"/>
        <w:tblW w:w="9660" w:type="dxa"/>
        <w:tblInd w:w="0" w:type="dxa"/>
        <w:tblLayout w:type="fixed"/>
        <w:tblCellMar>
          <w:top w:w="0" w:type="dxa"/>
          <w:left w:w="108" w:type="dxa"/>
          <w:bottom w:w="0" w:type="dxa"/>
          <w:right w:w="108" w:type="dxa"/>
        </w:tblCellMar>
      </w:tblPr>
      <w:tblGrid>
        <w:gridCol w:w="1264"/>
        <w:gridCol w:w="3255"/>
        <w:gridCol w:w="1679"/>
        <w:gridCol w:w="3462"/>
      </w:tblGrid>
      <w:tr>
        <w:tblPrEx>
          <w:tblLayout w:type="fixed"/>
          <w:tblCellMar>
            <w:top w:w="0" w:type="dxa"/>
            <w:left w:w="108" w:type="dxa"/>
            <w:bottom w:w="0" w:type="dxa"/>
            <w:right w:w="108" w:type="dxa"/>
          </w:tblCellMar>
        </w:tblPrEx>
        <w:tc>
          <w:tcPr>
            <w:tcW w:w="1264" w:type="dxa"/>
            <w:tcBorders>
              <w:top w:val="nil"/>
              <w:left w:val="nil"/>
              <w:bottom w:val="nil"/>
              <w:right w:val="nil"/>
            </w:tcBorders>
            <w:vAlign w:val="center"/>
          </w:tcPr>
          <w:p>
            <w:pPr>
              <w:jc w:val="left"/>
              <w:rPr>
                <w:rFonts w:ascii="宋体"/>
                <w:szCs w:val="21"/>
              </w:rPr>
            </w:pPr>
            <w:r>
              <w:rPr>
                <w:rFonts w:hint="eastAsia" w:ascii="宋体"/>
                <w:szCs w:val="21"/>
              </w:rPr>
              <w:t>招 标 人：</w:t>
            </w:r>
          </w:p>
        </w:tc>
        <w:tc>
          <w:tcPr>
            <w:tcW w:w="3255" w:type="dxa"/>
            <w:tcBorders>
              <w:top w:val="nil"/>
              <w:left w:val="nil"/>
              <w:bottom w:val="nil"/>
              <w:right w:val="nil"/>
            </w:tcBorders>
            <w:vAlign w:val="center"/>
          </w:tcPr>
          <w:p>
            <w:pPr>
              <w:jc w:val="left"/>
              <w:rPr>
                <w:rFonts w:ascii="宋体"/>
                <w:szCs w:val="21"/>
              </w:rPr>
            </w:pPr>
            <w:bookmarkStart w:id="102" w:name="_GoBack"/>
            <w:r>
              <w:rPr>
                <w:rFonts w:hint="eastAsia" w:ascii="宋体"/>
                <w:szCs w:val="21"/>
                <w:u w:val="single"/>
              </w:rPr>
              <w:t>浙江空港培训服务咨询有限公司</w:t>
            </w:r>
            <w:bookmarkEnd w:id="102"/>
            <w:r>
              <w:rPr>
                <w:rFonts w:hint="eastAsia" w:ascii="宋体"/>
                <w:szCs w:val="21"/>
                <w:u w:val="single"/>
              </w:rPr>
              <w:t xml:space="preserve"> </w:t>
            </w:r>
          </w:p>
        </w:tc>
        <w:tc>
          <w:tcPr>
            <w:tcW w:w="1679" w:type="dxa"/>
            <w:tcBorders>
              <w:top w:val="nil"/>
              <w:left w:val="nil"/>
              <w:bottom w:val="nil"/>
              <w:right w:val="nil"/>
            </w:tcBorders>
            <w:vAlign w:val="center"/>
          </w:tcPr>
          <w:p>
            <w:pPr>
              <w:jc w:val="left"/>
              <w:rPr>
                <w:rFonts w:ascii="宋体"/>
                <w:szCs w:val="21"/>
              </w:rPr>
            </w:pPr>
          </w:p>
        </w:tc>
        <w:tc>
          <w:tcPr>
            <w:tcW w:w="3462" w:type="dxa"/>
            <w:tcBorders>
              <w:top w:val="nil"/>
              <w:left w:val="nil"/>
              <w:bottom w:val="nil"/>
              <w:right w:val="nil"/>
            </w:tcBorders>
            <w:vAlign w:val="center"/>
          </w:tcPr>
          <w:p>
            <w:pPr>
              <w:jc w:val="left"/>
              <w:rPr>
                <w:rFonts w:ascii="宋体"/>
                <w:szCs w:val="21"/>
              </w:rPr>
            </w:pPr>
          </w:p>
        </w:tc>
      </w:tr>
      <w:tr>
        <w:tblPrEx>
          <w:tblLayout w:type="fixed"/>
          <w:tblCellMar>
            <w:top w:w="0" w:type="dxa"/>
            <w:left w:w="108" w:type="dxa"/>
            <w:bottom w:w="0" w:type="dxa"/>
            <w:right w:w="108" w:type="dxa"/>
          </w:tblCellMar>
        </w:tblPrEx>
        <w:tc>
          <w:tcPr>
            <w:tcW w:w="1264" w:type="dxa"/>
            <w:tcBorders>
              <w:top w:val="nil"/>
              <w:left w:val="nil"/>
              <w:bottom w:val="nil"/>
              <w:right w:val="nil"/>
            </w:tcBorders>
            <w:vAlign w:val="center"/>
          </w:tcPr>
          <w:p>
            <w:pPr>
              <w:jc w:val="left"/>
              <w:rPr>
                <w:rFonts w:ascii="宋体"/>
                <w:szCs w:val="21"/>
              </w:rPr>
            </w:pPr>
            <w:r>
              <w:rPr>
                <w:rFonts w:hint="eastAsia" w:ascii="宋体"/>
                <w:szCs w:val="21"/>
              </w:rPr>
              <w:t>地    址：</w:t>
            </w:r>
          </w:p>
        </w:tc>
        <w:tc>
          <w:tcPr>
            <w:tcW w:w="3255" w:type="dxa"/>
            <w:tcBorders>
              <w:top w:val="nil"/>
              <w:left w:val="nil"/>
              <w:bottom w:val="nil"/>
              <w:right w:val="nil"/>
            </w:tcBorders>
            <w:vAlign w:val="center"/>
          </w:tcPr>
          <w:p>
            <w:pPr>
              <w:jc w:val="left"/>
              <w:rPr>
                <w:rFonts w:ascii="宋体"/>
                <w:szCs w:val="21"/>
              </w:rPr>
            </w:pPr>
            <w:r>
              <w:rPr>
                <w:rFonts w:hint="eastAsia" w:ascii="宋体"/>
                <w:szCs w:val="21"/>
                <w:u w:val="single"/>
              </w:rPr>
              <w:t>杭州萧山国际机场公司内</w:t>
            </w:r>
          </w:p>
        </w:tc>
        <w:tc>
          <w:tcPr>
            <w:tcW w:w="1679" w:type="dxa"/>
            <w:tcBorders>
              <w:top w:val="nil"/>
              <w:left w:val="nil"/>
              <w:bottom w:val="nil"/>
              <w:right w:val="nil"/>
            </w:tcBorders>
            <w:vAlign w:val="center"/>
          </w:tcPr>
          <w:p>
            <w:pPr>
              <w:jc w:val="left"/>
              <w:rPr>
                <w:rFonts w:ascii="宋体"/>
                <w:szCs w:val="21"/>
              </w:rPr>
            </w:pPr>
          </w:p>
        </w:tc>
        <w:tc>
          <w:tcPr>
            <w:tcW w:w="3462" w:type="dxa"/>
            <w:tcBorders>
              <w:top w:val="nil"/>
              <w:left w:val="nil"/>
              <w:bottom w:val="nil"/>
              <w:right w:val="nil"/>
            </w:tcBorders>
            <w:vAlign w:val="center"/>
          </w:tcPr>
          <w:p>
            <w:pPr>
              <w:jc w:val="left"/>
              <w:rPr>
                <w:rFonts w:ascii="宋体"/>
                <w:szCs w:val="21"/>
              </w:rPr>
            </w:pPr>
          </w:p>
        </w:tc>
      </w:tr>
      <w:tr>
        <w:tblPrEx>
          <w:tblLayout w:type="fixed"/>
          <w:tblCellMar>
            <w:top w:w="0" w:type="dxa"/>
            <w:left w:w="108" w:type="dxa"/>
            <w:bottom w:w="0" w:type="dxa"/>
            <w:right w:w="108" w:type="dxa"/>
          </w:tblCellMar>
        </w:tblPrEx>
        <w:tc>
          <w:tcPr>
            <w:tcW w:w="1264" w:type="dxa"/>
            <w:tcBorders>
              <w:top w:val="nil"/>
              <w:left w:val="nil"/>
              <w:bottom w:val="nil"/>
              <w:right w:val="nil"/>
            </w:tcBorders>
            <w:vAlign w:val="center"/>
          </w:tcPr>
          <w:p>
            <w:pPr>
              <w:jc w:val="left"/>
              <w:rPr>
                <w:rFonts w:ascii="宋体"/>
                <w:szCs w:val="21"/>
              </w:rPr>
            </w:pPr>
            <w:r>
              <w:rPr>
                <w:rFonts w:hint="eastAsia" w:ascii="宋体"/>
                <w:szCs w:val="21"/>
              </w:rPr>
              <w:t>联 系 人：</w:t>
            </w:r>
          </w:p>
        </w:tc>
        <w:tc>
          <w:tcPr>
            <w:tcW w:w="3255" w:type="dxa"/>
            <w:tcBorders>
              <w:top w:val="nil"/>
              <w:left w:val="nil"/>
              <w:bottom w:val="nil"/>
              <w:right w:val="nil"/>
            </w:tcBorders>
            <w:vAlign w:val="center"/>
          </w:tcPr>
          <w:p>
            <w:pPr>
              <w:jc w:val="left"/>
              <w:rPr>
                <w:rFonts w:ascii="宋体"/>
                <w:szCs w:val="21"/>
              </w:rPr>
            </w:pPr>
            <w:r>
              <w:rPr>
                <w:rFonts w:hint="eastAsia" w:ascii="宋体"/>
                <w:szCs w:val="21"/>
                <w:u w:val="single"/>
              </w:rPr>
              <w:t>林天辉</w:t>
            </w:r>
          </w:p>
        </w:tc>
        <w:tc>
          <w:tcPr>
            <w:tcW w:w="1679" w:type="dxa"/>
            <w:tcBorders>
              <w:top w:val="nil"/>
              <w:left w:val="nil"/>
              <w:bottom w:val="nil"/>
              <w:right w:val="nil"/>
            </w:tcBorders>
            <w:vAlign w:val="center"/>
          </w:tcPr>
          <w:p>
            <w:pPr>
              <w:jc w:val="left"/>
              <w:rPr>
                <w:rFonts w:ascii="宋体"/>
                <w:szCs w:val="21"/>
              </w:rPr>
            </w:pPr>
          </w:p>
        </w:tc>
        <w:tc>
          <w:tcPr>
            <w:tcW w:w="3462" w:type="dxa"/>
            <w:tcBorders>
              <w:top w:val="nil"/>
              <w:left w:val="nil"/>
              <w:bottom w:val="nil"/>
              <w:right w:val="nil"/>
            </w:tcBorders>
            <w:vAlign w:val="center"/>
          </w:tcPr>
          <w:p>
            <w:pPr>
              <w:jc w:val="left"/>
              <w:rPr>
                <w:rFonts w:ascii="宋体"/>
                <w:szCs w:val="21"/>
              </w:rPr>
            </w:pPr>
          </w:p>
        </w:tc>
      </w:tr>
      <w:tr>
        <w:tblPrEx>
          <w:tblLayout w:type="fixed"/>
          <w:tblCellMar>
            <w:top w:w="0" w:type="dxa"/>
            <w:left w:w="108" w:type="dxa"/>
            <w:bottom w:w="0" w:type="dxa"/>
            <w:right w:w="108" w:type="dxa"/>
          </w:tblCellMar>
        </w:tblPrEx>
        <w:tc>
          <w:tcPr>
            <w:tcW w:w="1264" w:type="dxa"/>
            <w:tcBorders>
              <w:top w:val="nil"/>
              <w:left w:val="nil"/>
              <w:bottom w:val="nil"/>
              <w:right w:val="nil"/>
            </w:tcBorders>
            <w:vAlign w:val="center"/>
          </w:tcPr>
          <w:p>
            <w:pPr>
              <w:jc w:val="left"/>
              <w:rPr>
                <w:rFonts w:ascii="宋体"/>
                <w:szCs w:val="21"/>
              </w:rPr>
            </w:pPr>
            <w:r>
              <w:rPr>
                <w:rFonts w:hint="eastAsia" w:ascii="宋体"/>
                <w:szCs w:val="21"/>
              </w:rPr>
              <w:t>电    话：</w:t>
            </w:r>
          </w:p>
        </w:tc>
        <w:tc>
          <w:tcPr>
            <w:tcW w:w="3255" w:type="dxa"/>
            <w:tcBorders>
              <w:top w:val="nil"/>
              <w:left w:val="nil"/>
              <w:bottom w:val="nil"/>
              <w:right w:val="nil"/>
            </w:tcBorders>
            <w:vAlign w:val="center"/>
          </w:tcPr>
          <w:p>
            <w:pPr>
              <w:jc w:val="left"/>
              <w:rPr>
                <w:rFonts w:ascii="宋体"/>
                <w:szCs w:val="21"/>
              </w:rPr>
            </w:pPr>
            <w:r>
              <w:rPr>
                <w:rFonts w:hint="eastAsia" w:ascii="宋体"/>
                <w:szCs w:val="21"/>
                <w:u w:val="single"/>
              </w:rPr>
              <w:t>0571-8383010</w:t>
            </w:r>
          </w:p>
        </w:tc>
        <w:tc>
          <w:tcPr>
            <w:tcW w:w="1679" w:type="dxa"/>
            <w:tcBorders>
              <w:top w:val="nil"/>
              <w:left w:val="nil"/>
              <w:bottom w:val="nil"/>
              <w:right w:val="nil"/>
            </w:tcBorders>
            <w:vAlign w:val="center"/>
          </w:tcPr>
          <w:p>
            <w:pPr>
              <w:jc w:val="left"/>
              <w:rPr>
                <w:rFonts w:ascii="宋体"/>
                <w:szCs w:val="21"/>
              </w:rPr>
            </w:pPr>
          </w:p>
        </w:tc>
        <w:tc>
          <w:tcPr>
            <w:tcW w:w="3462" w:type="dxa"/>
            <w:tcBorders>
              <w:top w:val="nil"/>
              <w:left w:val="nil"/>
              <w:bottom w:val="nil"/>
              <w:right w:val="nil"/>
            </w:tcBorders>
            <w:vAlign w:val="center"/>
          </w:tcPr>
          <w:p>
            <w:pPr>
              <w:jc w:val="left"/>
              <w:rPr>
                <w:rFonts w:ascii="宋体"/>
                <w:szCs w:val="21"/>
              </w:rPr>
            </w:pPr>
          </w:p>
        </w:tc>
      </w:tr>
      <w:tr>
        <w:tblPrEx>
          <w:tblLayout w:type="fixed"/>
          <w:tblCellMar>
            <w:top w:w="0" w:type="dxa"/>
            <w:left w:w="108" w:type="dxa"/>
            <w:bottom w:w="0" w:type="dxa"/>
            <w:right w:w="108" w:type="dxa"/>
          </w:tblCellMar>
        </w:tblPrEx>
        <w:tc>
          <w:tcPr>
            <w:tcW w:w="1264" w:type="dxa"/>
            <w:tcBorders>
              <w:top w:val="nil"/>
              <w:left w:val="nil"/>
              <w:bottom w:val="nil"/>
              <w:right w:val="nil"/>
            </w:tcBorders>
            <w:vAlign w:val="center"/>
          </w:tcPr>
          <w:p>
            <w:pPr>
              <w:jc w:val="left"/>
              <w:rPr>
                <w:rFonts w:ascii="宋体"/>
                <w:szCs w:val="21"/>
              </w:rPr>
            </w:pPr>
            <w:r>
              <w:rPr>
                <w:rFonts w:hint="eastAsia" w:ascii="宋体"/>
                <w:szCs w:val="21"/>
              </w:rPr>
              <w:t>传    真：</w:t>
            </w:r>
          </w:p>
        </w:tc>
        <w:tc>
          <w:tcPr>
            <w:tcW w:w="3255" w:type="dxa"/>
            <w:tcBorders>
              <w:top w:val="nil"/>
              <w:left w:val="nil"/>
              <w:bottom w:val="nil"/>
              <w:right w:val="nil"/>
            </w:tcBorders>
            <w:vAlign w:val="center"/>
          </w:tcPr>
          <w:p>
            <w:pPr>
              <w:jc w:val="left"/>
              <w:rPr>
                <w:rFonts w:ascii="宋体"/>
                <w:szCs w:val="21"/>
                <w:u w:val="single"/>
              </w:rPr>
            </w:pPr>
            <w:r>
              <w:rPr>
                <w:rFonts w:hint="eastAsia" w:ascii="宋体"/>
                <w:szCs w:val="21"/>
                <w:u w:val="single"/>
              </w:rPr>
              <w:t xml:space="preserve"> </w:t>
            </w:r>
          </w:p>
        </w:tc>
        <w:tc>
          <w:tcPr>
            <w:tcW w:w="1679" w:type="dxa"/>
            <w:tcBorders>
              <w:top w:val="nil"/>
              <w:left w:val="nil"/>
              <w:bottom w:val="nil"/>
              <w:right w:val="nil"/>
            </w:tcBorders>
            <w:vAlign w:val="center"/>
          </w:tcPr>
          <w:p>
            <w:pPr>
              <w:jc w:val="left"/>
              <w:rPr>
                <w:rFonts w:ascii="宋体"/>
                <w:szCs w:val="21"/>
              </w:rPr>
            </w:pPr>
          </w:p>
        </w:tc>
        <w:tc>
          <w:tcPr>
            <w:tcW w:w="3462" w:type="dxa"/>
            <w:tcBorders>
              <w:top w:val="nil"/>
              <w:left w:val="nil"/>
              <w:bottom w:val="nil"/>
              <w:right w:val="nil"/>
            </w:tcBorders>
            <w:vAlign w:val="center"/>
          </w:tcPr>
          <w:p>
            <w:pPr>
              <w:topLinePunct/>
              <w:rPr>
                <w:rFonts w:ascii="宋体"/>
                <w:szCs w:val="21"/>
              </w:rPr>
            </w:pPr>
          </w:p>
        </w:tc>
      </w:tr>
    </w:tbl>
    <w:p>
      <w:pPr>
        <w:ind w:firstLine="420" w:firstLineChars="200"/>
        <w:rPr>
          <w:rFonts w:eastAsiaTheme="minorEastAsia"/>
          <w:szCs w:val="21"/>
        </w:rPr>
      </w:pPr>
    </w:p>
    <w:p>
      <w:pPr>
        <w:ind w:firstLine="420"/>
        <w:sectPr>
          <w:headerReference r:id="rId5" w:type="default"/>
          <w:footerReference r:id="rId6" w:type="default"/>
          <w:type w:val="nextColumn"/>
          <w:pgSz w:w="11906" w:h="16838"/>
          <w:pgMar w:top="1440" w:right="1080" w:bottom="1440" w:left="1080" w:header="624" w:footer="624" w:gutter="0"/>
          <w:cols w:space="425" w:num="1"/>
          <w:docGrid w:linePitch="312" w:charSpace="0"/>
        </w:sectPr>
      </w:pPr>
    </w:p>
    <w:p>
      <w:pPr>
        <w:pStyle w:val="42"/>
        <w:spacing w:before="120" w:after="120"/>
      </w:pPr>
      <w:bookmarkStart w:id="63" w:name="_Toc12951284"/>
      <w:r>
        <w:rPr>
          <w:rFonts w:hint="eastAsia"/>
        </w:rPr>
        <w:t>第二章 项目需求</w:t>
      </w:r>
      <w:bookmarkEnd w:id="63"/>
    </w:p>
    <w:p>
      <w:pPr>
        <w:pStyle w:val="264"/>
        <w:spacing w:line="360" w:lineRule="auto"/>
        <w:ind w:firstLine="482"/>
        <w:rPr>
          <w:rFonts w:ascii="宋体" w:hAnsi="宋体" w:cs="宋体"/>
          <w:b/>
          <w:bCs/>
          <w:sz w:val="24"/>
        </w:rPr>
      </w:pPr>
      <w:bookmarkStart w:id="64" w:name="_Toc443909082"/>
      <w:bookmarkStart w:id="65" w:name="_Toc443563801"/>
      <w:bookmarkStart w:id="66" w:name="_Toc443578241"/>
      <w:bookmarkStart w:id="67" w:name="_Toc443569531"/>
      <w:bookmarkStart w:id="68" w:name="_Toc519498004"/>
      <w:bookmarkStart w:id="69" w:name="_Toc519498006"/>
      <w:r>
        <w:rPr>
          <w:rFonts w:hint="eastAsia" w:ascii="宋体" w:hAnsi="宋体" w:cs="宋体"/>
          <w:b/>
          <w:bCs/>
          <w:sz w:val="24"/>
        </w:rPr>
        <w:t>1.服务范围</w:t>
      </w:r>
      <w:bookmarkEnd w:id="64"/>
      <w:bookmarkEnd w:id="65"/>
      <w:bookmarkEnd w:id="66"/>
      <w:bookmarkEnd w:id="67"/>
      <w:r>
        <w:rPr>
          <w:rFonts w:hint="eastAsia" w:ascii="宋体" w:hAnsi="宋体" w:cs="宋体"/>
          <w:b/>
          <w:bCs/>
          <w:sz w:val="24"/>
        </w:rPr>
        <w:t>及内容</w:t>
      </w:r>
      <w:bookmarkEnd w:id="68"/>
    </w:p>
    <w:p>
      <w:pPr>
        <w:pStyle w:val="264"/>
        <w:spacing w:line="360" w:lineRule="auto"/>
        <w:rPr>
          <w:rFonts w:ascii="宋体" w:hAnsi="宋体" w:cs="宋体"/>
          <w:szCs w:val="21"/>
          <w:highlight w:val="yellow"/>
        </w:rPr>
      </w:pPr>
      <w:r>
        <w:rPr>
          <w:rFonts w:hint="eastAsia" w:ascii="宋体" w:hAnsi="宋体" w:cs="宋体"/>
          <w:szCs w:val="21"/>
        </w:rPr>
        <w:t>服务内容：酒店筹开期筹开支持+酒店运营期的委托运营管理服务。</w:t>
      </w:r>
    </w:p>
    <w:bookmarkEnd w:id="69"/>
    <w:p>
      <w:pPr>
        <w:pStyle w:val="264"/>
        <w:spacing w:line="360" w:lineRule="auto"/>
        <w:ind w:firstLine="422"/>
        <w:rPr>
          <w:rFonts w:ascii="宋体" w:hAnsi="宋体" w:cs="宋体"/>
          <w:b/>
          <w:bCs/>
          <w:szCs w:val="21"/>
        </w:rPr>
      </w:pPr>
      <w:r>
        <w:rPr>
          <w:rFonts w:hint="eastAsia" w:ascii="宋体" w:hAnsi="宋体" w:cs="宋体"/>
          <w:b/>
          <w:bCs/>
          <w:szCs w:val="21"/>
        </w:rPr>
        <w:t>1.1 服务范围总体原则</w:t>
      </w:r>
    </w:p>
    <w:p>
      <w:pPr>
        <w:pStyle w:val="264"/>
        <w:spacing w:line="360" w:lineRule="auto"/>
        <w:rPr>
          <w:rFonts w:ascii="宋体" w:hAnsi="宋体" w:cs="宋体"/>
          <w:szCs w:val="21"/>
        </w:rPr>
      </w:pPr>
      <w:r>
        <w:rPr>
          <w:rFonts w:hint="eastAsia" w:ascii="宋体" w:hAnsi="宋体" w:cs="宋体"/>
          <w:szCs w:val="21"/>
        </w:rPr>
        <w:t>在委托人的领导、协调和监督下，完成本项目的服务工作，所有关键事项均需按照合同约定报委托人签批后执行。具体包含以下几方面：</w:t>
      </w:r>
    </w:p>
    <w:p>
      <w:pPr>
        <w:pStyle w:val="264"/>
        <w:spacing w:line="360" w:lineRule="auto"/>
        <w:rPr>
          <w:rFonts w:ascii="宋体" w:hAnsi="宋体" w:cs="宋体"/>
          <w:szCs w:val="21"/>
        </w:rPr>
      </w:pPr>
      <w:r>
        <w:rPr>
          <w:rFonts w:hint="eastAsia" w:ascii="宋体" w:hAnsi="宋体" w:cs="宋体"/>
          <w:szCs w:val="21"/>
        </w:rPr>
        <w:t>酒店筹开期筹开支持：组织与策划酒店筹开期的各项工作，确保酒店如期按照委托人要求开业。</w:t>
      </w:r>
    </w:p>
    <w:p>
      <w:pPr>
        <w:pStyle w:val="264"/>
        <w:spacing w:line="360" w:lineRule="auto"/>
        <w:rPr>
          <w:rFonts w:ascii="宋体" w:hAnsi="宋体" w:cs="宋体"/>
          <w:szCs w:val="21"/>
        </w:rPr>
      </w:pPr>
      <w:r>
        <w:rPr>
          <w:rFonts w:hint="eastAsia" w:ascii="宋体" w:hAnsi="宋体" w:cs="宋体"/>
          <w:szCs w:val="21"/>
        </w:rPr>
        <w:t>酒店运营管理服务：按照总成本领先的原则组织运营、按性价比最优的原则抢夺市场，为委托人创造酒店最优的投资回报。</w:t>
      </w:r>
    </w:p>
    <w:p>
      <w:pPr>
        <w:pStyle w:val="264"/>
        <w:spacing w:line="360" w:lineRule="auto"/>
        <w:ind w:firstLine="422"/>
        <w:rPr>
          <w:rFonts w:ascii="宋体" w:hAnsi="宋体" w:cs="宋体"/>
          <w:b/>
          <w:bCs/>
          <w:szCs w:val="21"/>
        </w:rPr>
      </w:pPr>
      <w:r>
        <w:rPr>
          <w:rFonts w:hint="eastAsia" w:ascii="宋体" w:hAnsi="宋体" w:cs="宋体"/>
          <w:b/>
          <w:bCs/>
          <w:szCs w:val="21"/>
        </w:rPr>
        <w:t>1.2酒店经营筹备期的筹开支持阶段</w:t>
      </w:r>
    </w:p>
    <w:p>
      <w:pPr>
        <w:pStyle w:val="264"/>
        <w:spacing w:line="360" w:lineRule="auto"/>
        <w:rPr>
          <w:rFonts w:ascii="宋体" w:hAnsi="宋体" w:cs="宋体"/>
          <w:szCs w:val="21"/>
        </w:rPr>
      </w:pPr>
      <w:r>
        <w:rPr>
          <w:rFonts w:hint="eastAsia" w:ascii="宋体" w:hAnsi="宋体" w:cs="宋体"/>
          <w:szCs w:val="21"/>
        </w:rPr>
        <w:t>（1）共同确定和组建高管团队，并在开业前确定年度经营计划和预算；</w:t>
      </w:r>
    </w:p>
    <w:p>
      <w:pPr>
        <w:pStyle w:val="264"/>
        <w:spacing w:line="360" w:lineRule="auto"/>
        <w:rPr>
          <w:rFonts w:ascii="宋体" w:hAnsi="宋体" w:cs="宋体"/>
          <w:szCs w:val="21"/>
        </w:rPr>
      </w:pPr>
      <w:r>
        <w:rPr>
          <w:rFonts w:hint="eastAsia" w:ascii="宋体" w:hAnsi="宋体" w:cs="宋体"/>
          <w:szCs w:val="21"/>
        </w:rPr>
        <w:t>（2）完成酒店组织机构的设置和人力资源规划，提交酒店的组织架构及人力资源管控体系的意见，包括：酒店机构设置、岗位确定、人员编制、薪酬福利、培训体系、团队建设、后勤服务管理等；</w:t>
      </w:r>
    </w:p>
    <w:p>
      <w:pPr>
        <w:pStyle w:val="264"/>
        <w:spacing w:line="360" w:lineRule="auto"/>
        <w:rPr>
          <w:rFonts w:ascii="宋体" w:hAnsi="宋体" w:cs="宋体"/>
          <w:szCs w:val="21"/>
        </w:rPr>
      </w:pPr>
      <w:r>
        <w:rPr>
          <w:rFonts w:hint="eastAsia" w:ascii="宋体" w:hAnsi="宋体" w:cs="宋体"/>
          <w:szCs w:val="21"/>
        </w:rPr>
        <w:t>（3）依据市场定位和本项目特点，按照三星酒店的服务管理标准，设计和优化《酒店政策与程序》、《标准服务流程》和《岗位职责》等制度；</w:t>
      </w:r>
    </w:p>
    <w:p>
      <w:pPr>
        <w:pStyle w:val="264"/>
        <w:spacing w:line="360" w:lineRule="auto"/>
        <w:rPr>
          <w:rFonts w:ascii="宋体" w:hAnsi="宋体" w:cs="宋体"/>
          <w:szCs w:val="21"/>
        </w:rPr>
      </w:pPr>
      <w:r>
        <w:rPr>
          <w:rFonts w:hint="eastAsia" w:ascii="宋体" w:hAnsi="宋体" w:cs="宋体"/>
          <w:szCs w:val="21"/>
        </w:rPr>
        <w:t>（4）实施必要的酒店全员培训课程及三星或者相同档次及以上酒店的上岗实习，培训及实习地点将在指定的地区及酒店进行。培训包括：酒店公共知识、酒店意识、信息管理系统，标准服务流程，运营流程等核心课程；</w:t>
      </w:r>
    </w:p>
    <w:p>
      <w:pPr>
        <w:pStyle w:val="264"/>
        <w:spacing w:line="360" w:lineRule="auto"/>
        <w:rPr>
          <w:rFonts w:ascii="宋体" w:hAnsi="宋体" w:cs="宋体"/>
          <w:szCs w:val="21"/>
        </w:rPr>
      </w:pPr>
      <w:r>
        <w:rPr>
          <w:rFonts w:hint="eastAsia" w:ascii="宋体" w:hAnsi="宋体" w:cs="宋体"/>
          <w:szCs w:val="21"/>
        </w:rPr>
        <w:t>（5）集中受托人优质资源，给予项目开业支持，促进酒店顺利开荒、试运营和进入正常营运轨道；</w:t>
      </w:r>
    </w:p>
    <w:p>
      <w:pPr>
        <w:pStyle w:val="264"/>
        <w:spacing w:line="360" w:lineRule="auto"/>
        <w:rPr>
          <w:rFonts w:ascii="宋体" w:hAnsi="宋体" w:cs="宋体"/>
          <w:szCs w:val="21"/>
        </w:rPr>
      </w:pPr>
      <w:r>
        <w:rPr>
          <w:rFonts w:hint="eastAsia" w:ascii="宋体" w:hAnsi="宋体" w:cs="宋体"/>
          <w:szCs w:val="21"/>
        </w:rPr>
        <w:t>（6）开业前市场推广及销售支持，采用受托人中央预订直销系统、渠道分销系统、会员忠诚计划系统和收益管理平台；</w:t>
      </w:r>
    </w:p>
    <w:p>
      <w:pPr>
        <w:pStyle w:val="264"/>
        <w:spacing w:line="360" w:lineRule="auto"/>
        <w:rPr>
          <w:rFonts w:ascii="宋体" w:hAnsi="宋体" w:cs="宋体"/>
          <w:szCs w:val="21"/>
        </w:rPr>
      </w:pPr>
      <w:r>
        <w:rPr>
          <w:rFonts w:hint="eastAsia" w:ascii="宋体" w:hAnsi="宋体" w:cs="宋体"/>
          <w:szCs w:val="21"/>
        </w:rPr>
        <w:t>（7）使用受托人统一的品牌宣传与推广平台，提前开展针对本酒店项目的宣传推广工作，迅速提高项目酒店的知名度，加快市场培育；</w:t>
      </w:r>
    </w:p>
    <w:p>
      <w:pPr>
        <w:pStyle w:val="264"/>
        <w:spacing w:line="360" w:lineRule="auto"/>
        <w:rPr>
          <w:rFonts w:ascii="宋体" w:hAnsi="宋体" w:cs="宋体"/>
          <w:szCs w:val="21"/>
        </w:rPr>
      </w:pPr>
      <w:r>
        <w:rPr>
          <w:rFonts w:hint="eastAsia" w:ascii="宋体" w:hAnsi="宋体" w:cs="宋体"/>
          <w:szCs w:val="21"/>
        </w:rPr>
        <w:t>（8）导入受托人品牌管理系统、员工满意度计划、顾客满意度计划，分析客户评价和员工忠诚度，稳步提升服务品质。</w:t>
      </w:r>
    </w:p>
    <w:p>
      <w:pPr>
        <w:pStyle w:val="264"/>
        <w:spacing w:line="360" w:lineRule="auto"/>
        <w:rPr>
          <w:rFonts w:ascii="宋体" w:hAnsi="宋体" w:cs="宋体"/>
          <w:szCs w:val="21"/>
        </w:rPr>
      </w:pPr>
      <w:r>
        <w:rPr>
          <w:rFonts w:hint="eastAsia" w:ascii="宋体" w:hAnsi="宋体" w:cs="宋体"/>
          <w:szCs w:val="21"/>
        </w:rPr>
        <w:t>（9）基于以往所累积的酒店营运经验，向委托人提供完整的经营物品及设备分类清单、产品规格说明、采购预算，指导</w:t>
      </w:r>
      <w:r>
        <w:rPr>
          <w:rStyle w:val="51"/>
          <w:rFonts w:hint="eastAsia"/>
        </w:rPr>
        <w:t>并协助</w:t>
      </w:r>
      <w:r>
        <w:rPr>
          <w:rFonts w:hint="eastAsia" w:ascii="宋体" w:hAnsi="宋体" w:cs="宋体"/>
          <w:szCs w:val="21"/>
        </w:rPr>
        <w:t>委托人完成酒店经营物资采购预算、招标和采购实施。</w:t>
      </w:r>
    </w:p>
    <w:p>
      <w:pPr>
        <w:pStyle w:val="264"/>
        <w:spacing w:line="360" w:lineRule="auto"/>
        <w:ind w:firstLine="422"/>
        <w:rPr>
          <w:rFonts w:ascii="宋体" w:hAnsi="宋体" w:cs="宋体"/>
          <w:b/>
          <w:bCs/>
          <w:szCs w:val="21"/>
        </w:rPr>
      </w:pPr>
      <w:r>
        <w:rPr>
          <w:rFonts w:hint="eastAsia" w:ascii="宋体" w:hAnsi="宋体" w:cs="宋体"/>
          <w:b/>
          <w:bCs/>
          <w:szCs w:val="21"/>
        </w:rPr>
        <w:t>1.5 酒店运营管理阶段</w:t>
      </w:r>
    </w:p>
    <w:p>
      <w:pPr>
        <w:pStyle w:val="264"/>
        <w:spacing w:line="360" w:lineRule="auto"/>
        <w:rPr>
          <w:rFonts w:ascii="宋体" w:hAnsi="宋体" w:cs="宋体"/>
          <w:szCs w:val="21"/>
        </w:rPr>
      </w:pPr>
      <w:r>
        <w:rPr>
          <w:rFonts w:hint="eastAsia" w:ascii="宋体" w:hAnsi="宋体" w:cs="宋体"/>
          <w:szCs w:val="21"/>
        </w:rPr>
        <w:t>（1）作为委托人唯一的代理人管理和经营酒店，负责监督、指挥及控制酒店各方面的管理、营运及市场推广，拟定并向委托人提交经营计划和预算；</w:t>
      </w:r>
    </w:p>
    <w:p>
      <w:pPr>
        <w:pStyle w:val="264"/>
        <w:spacing w:line="360" w:lineRule="auto"/>
        <w:rPr>
          <w:rFonts w:ascii="宋体" w:hAnsi="宋体" w:cs="宋体"/>
          <w:szCs w:val="21"/>
        </w:rPr>
      </w:pPr>
      <w:r>
        <w:rPr>
          <w:rFonts w:hint="eastAsia" w:ascii="宋体" w:hAnsi="宋体" w:cs="宋体"/>
          <w:szCs w:val="21"/>
        </w:rPr>
        <w:t>（2）决策并实施所有与酒店相关的人事政策及管理规范，包括但不限于招聘、雇佣、调迁、薪酬、监管、转调、及解雇所有酒店人员及高级行政人员；</w:t>
      </w:r>
    </w:p>
    <w:p>
      <w:pPr>
        <w:pStyle w:val="264"/>
        <w:spacing w:line="360" w:lineRule="auto"/>
        <w:rPr>
          <w:rFonts w:ascii="宋体" w:hAnsi="宋体" w:cs="宋体"/>
          <w:szCs w:val="21"/>
        </w:rPr>
      </w:pPr>
      <w:r>
        <w:rPr>
          <w:rFonts w:hint="eastAsia" w:ascii="宋体" w:hAnsi="宋体" w:cs="宋体"/>
          <w:szCs w:val="21"/>
        </w:rPr>
        <w:t>（3）针对市场变化适时拟定酒店价格政策和策略，包括但不限于个人和团体的定价，客房、餐饮等产品和服务的价格策略；</w:t>
      </w:r>
    </w:p>
    <w:p>
      <w:pPr>
        <w:pStyle w:val="264"/>
        <w:spacing w:line="360" w:lineRule="auto"/>
        <w:rPr>
          <w:rFonts w:ascii="宋体" w:hAnsi="宋体" w:cs="宋体"/>
          <w:szCs w:val="21"/>
        </w:rPr>
      </w:pPr>
      <w:r>
        <w:rPr>
          <w:rFonts w:hint="eastAsia" w:ascii="宋体" w:hAnsi="宋体" w:cs="宋体"/>
          <w:szCs w:val="21"/>
        </w:rPr>
        <w:t>（4）按照国家会计准则和受托人财务管理制度，监督及维持酒店完整的账簿及记录；</w:t>
      </w:r>
    </w:p>
    <w:p>
      <w:pPr>
        <w:pStyle w:val="264"/>
        <w:spacing w:line="360" w:lineRule="auto"/>
        <w:rPr>
          <w:rFonts w:ascii="宋体" w:hAnsi="宋体" w:cs="宋体"/>
          <w:szCs w:val="21"/>
        </w:rPr>
      </w:pPr>
      <w:r>
        <w:rPr>
          <w:rFonts w:hint="eastAsia" w:ascii="宋体" w:hAnsi="宋体" w:cs="宋体"/>
          <w:szCs w:val="21"/>
        </w:rPr>
        <w:t>（5）代表委托人商谈及执行酒店所有公共区域，包括办公室及大堂空间之租赁、特许及特惠协议；</w:t>
      </w:r>
    </w:p>
    <w:p>
      <w:pPr>
        <w:pStyle w:val="264"/>
        <w:spacing w:line="360" w:lineRule="auto"/>
        <w:rPr>
          <w:rFonts w:ascii="宋体" w:hAnsi="宋体" w:cs="宋体"/>
          <w:szCs w:val="21"/>
        </w:rPr>
      </w:pPr>
      <w:r>
        <w:rPr>
          <w:rFonts w:hint="eastAsia" w:ascii="宋体" w:hAnsi="宋体" w:cs="宋体"/>
          <w:szCs w:val="21"/>
        </w:rPr>
        <w:t>（6）保持酒店及家具、装置及设备运作完好，开展必要的维修维保，以及必要的设施设备添置和更换，使项目符合经营标准；</w:t>
      </w:r>
    </w:p>
    <w:p>
      <w:pPr>
        <w:pStyle w:val="264"/>
        <w:spacing w:line="360" w:lineRule="auto"/>
        <w:rPr>
          <w:rFonts w:ascii="宋体" w:hAnsi="宋体" w:cs="宋体"/>
          <w:szCs w:val="21"/>
        </w:rPr>
      </w:pPr>
      <w:r>
        <w:rPr>
          <w:rFonts w:hint="eastAsia" w:ascii="宋体" w:hAnsi="宋体" w:cs="宋体"/>
          <w:szCs w:val="21"/>
        </w:rPr>
        <w:t>（7）代表委托人谈判、签订及执行服务合同及酒店营运的许可，包括建筑及安全系统、维修、电力、燃气、电信（包括互联网服务）、清洁、电梯及热水器维修、空气调节维修、洗熨及干洗、有线电视服务、具有版权物品的使用（包括音乐及音像）等工作；</w:t>
      </w:r>
    </w:p>
    <w:p>
      <w:pPr>
        <w:pStyle w:val="264"/>
        <w:spacing w:line="360" w:lineRule="auto"/>
        <w:rPr>
          <w:rFonts w:ascii="宋体" w:hAnsi="宋体" w:cs="宋体"/>
          <w:szCs w:val="21"/>
        </w:rPr>
      </w:pPr>
      <w:r>
        <w:rPr>
          <w:rFonts w:hint="eastAsia" w:ascii="宋体" w:hAnsi="宋体" w:cs="宋体"/>
          <w:szCs w:val="21"/>
        </w:rPr>
        <w:t>（8）代表委托人谈判、签订及执行各类合同，包括但不限于会议、客房的合同、各类经营用品和设备的采购合同，安排采买保持合理的存货。</w:t>
      </w:r>
    </w:p>
    <w:p>
      <w:pPr>
        <w:spacing w:line="360" w:lineRule="auto"/>
        <w:ind w:firstLine="241" w:firstLineChars="100"/>
        <w:rPr>
          <w:rFonts w:ascii="宋体" w:hAnsi="宋体" w:cs="宋体"/>
          <w:b/>
          <w:bCs/>
          <w:sz w:val="24"/>
          <w:szCs w:val="24"/>
        </w:rPr>
      </w:pPr>
      <w:r>
        <w:rPr>
          <w:rFonts w:hint="eastAsia" w:ascii="宋体" w:hAnsi="宋体" w:cs="宋体"/>
          <w:b/>
          <w:bCs/>
          <w:sz w:val="24"/>
          <w:szCs w:val="24"/>
        </w:rPr>
        <w:t xml:space="preserve">  2、运营管理要求</w:t>
      </w:r>
    </w:p>
    <w:p>
      <w:pPr>
        <w:pStyle w:val="264"/>
        <w:spacing w:line="360" w:lineRule="auto"/>
        <w:rPr>
          <w:rFonts w:ascii="宋体" w:hAnsi="宋体" w:cs="宋体"/>
          <w:szCs w:val="21"/>
        </w:rPr>
      </w:pPr>
      <w:r>
        <w:rPr>
          <w:rFonts w:hint="eastAsia" w:ascii="宋体" w:hAnsi="宋体" w:cs="宋体"/>
          <w:szCs w:val="21"/>
        </w:rPr>
        <w:t>（一）酒店运营服务内容与管理要求</w:t>
      </w:r>
    </w:p>
    <w:p>
      <w:pPr>
        <w:pStyle w:val="264"/>
        <w:spacing w:line="360" w:lineRule="auto"/>
        <w:rPr>
          <w:rFonts w:ascii="宋体" w:hAnsi="宋体" w:cs="宋体"/>
          <w:szCs w:val="21"/>
        </w:rPr>
      </w:pPr>
      <w:r>
        <w:rPr>
          <w:rFonts w:hint="eastAsia" w:ascii="宋体" w:hAnsi="宋体" w:cs="宋体"/>
          <w:szCs w:val="21"/>
        </w:rPr>
        <w:t>1、酒店运营服务内容(包括，但不限于以下内容)</w:t>
      </w:r>
    </w:p>
    <w:p>
      <w:pPr>
        <w:pStyle w:val="264"/>
        <w:spacing w:line="360" w:lineRule="auto"/>
        <w:rPr>
          <w:rFonts w:ascii="宋体" w:hAnsi="宋体" w:cs="宋体"/>
          <w:szCs w:val="21"/>
        </w:rPr>
      </w:pPr>
      <w:r>
        <w:rPr>
          <w:rFonts w:hint="eastAsia" w:ascii="宋体" w:hAnsi="宋体" w:cs="宋体"/>
          <w:szCs w:val="21"/>
        </w:rPr>
        <w:t>负责杭州机场综合服务楼酒店部分的运营服务与管理（含前厅接待、客房、早餐、培训餐饮、会议室及相关设施设备、相关公共场所维护保养保洁等）。通过酒店经营策划，将服务管理方的管理体系与品牌内涵全面导入宾馆，使杭州机场综合服务楼酒店达到三星级饭店服务水平。</w:t>
      </w:r>
    </w:p>
    <w:p>
      <w:pPr>
        <w:pStyle w:val="264"/>
        <w:spacing w:line="360" w:lineRule="auto"/>
        <w:rPr>
          <w:rFonts w:ascii="宋体" w:hAnsi="宋体" w:cs="宋体"/>
          <w:szCs w:val="21"/>
        </w:rPr>
      </w:pPr>
      <w:r>
        <w:rPr>
          <w:rFonts w:hint="eastAsia" w:ascii="宋体" w:hAnsi="宋体" w:cs="宋体"/>
          <w:szCs w:val="21"/>
        </w:rPr>
        <w:t xml:space="preserve">2、财务管理： </w:t>
      </w:r>
    </w:p>
    <w:p>
      <w:pPr>
        <w:pStyle w:val="264"/>
        <w:spacing w:line="360" w:lineRule="auto"/>
        <w:rPr>
          <w:rFonts w:ascii="宋体" w:hAnsi="宋体" w:cs="宋体"/>
          <w:szCs w:val="21"/>
        </w:rPr>
      </w:pPr>
      <w:r>
        <w:rPr>
          <w:rFonts w:hint="eastAsia" w:ascii="宋体" w:hAnsi="宋体" w:cs="宋体"/>
          <w:szCs w:val="21"/>
        </w:rPr>
        <w:t>①现金管理必须遵循有关财务管理的规定，每笔现金收入必须开具相关票据，经办人签字；</w:t>
      </w:r>
    </w:p>
    <w:p>
      <w:pPr>
        <w:pStyle w:val="264"/>
        <w:spacing w:line="360" w:lineRule="auto"/>
        <w:rPr>
          <w:rFonts w:ascii="宋体" w:hAnsi="宋体" w:cs="宋体"/>
          <w:szCs w:val="21"/>
        </w:rPr>
      </w:pPr>
      <w:r>
        <w:rPr>
          <w:rFonts w:hint="eastAsia" w:ascii="宋体" w:hAnsi="宋体" w:cs="宋体"/>
          <w:szCs w:val="21"/>
        </w:rPr>
        <w:t>②经办人员必须加强现金管理，确保安全，防止遗失、被盗；</w:t>
      </w:r>
    </w:p>
    <w:p>
      <w:pPr>
        <w:pStyle w:val="264"/>
        <w:spacing w:line="360" w:lineRule="auto"/>
        <w:rPr>
          <w:rFonts w:ascii="宋体" w:hAnsi="宋体" w:cs="宋体"/>
          <w:szCs w:val="21"/>
        </w:rPr>
      </w:pPr>
      <w:r>
        <w:rPr>
          <w:rFonts w:hint="eastAsia" w:ascii="宋体" w:hAnsi="宋体" w:cs="宋体"/>
          <w:szCs w:val="21"/>
        </w:rPr>
        <w:t>③做好现金收入的登记工作，及时与委托人财务结算做到日清月结。</w:t>
      </w:r>
    </w:p>
    <w:p>
      <w:pPr>
        <w:pStyle w:val="264"/>
        <w:spacing w:line="360" w:lineRule="auto"/>
        <w:rPr>
          <w:rFonts w:ascii="宋体" w:hAnsi="宋体" w:cs="宋体"/>
          <w:szCs w:val="21"/>
        </w:rPr>
      </w:pPr>
      <w:r>
        <w:rPr>
          <w:rFonts w:hint="eastAsia" w:ascii="宋体" w:hAnsi="宋体" w:cs="宋体"/>
          <w:szCs w:val="21"/>
        </w:rPr>
        <w:t>3、酒店运营服务管理要求：</w:t>
      </w:r>
    </w:p>
    <w:p>
      <w:pPr>
        <w:pStyle w:val="264"/>
        <w:spacing w:line="360" w:lineRule="auto"/>
        <w:rPr>
          <w:rFonts w:ascii="宋体" w:hAnsi="宋体" w:cs="宋体"/>
          <w:szCs w:val="21"/>
        </w:rPr>
      </w:pPr>
      <w:r>
        <w:rPr>
          <w:rFonts w:hint="eastAsia" w:ascii="宋体" w:hAnsi="宋体" w:cs="宋体"/>
          <w:szCs w:val="21"/>
        </w:rPr>
        <w:t>3.1杭州机场综合服务楼酒店通过受托人的运营服务管理，使酒店运营及后勤服务保障适应培训服务的要求，达到旅游饭店三星级及以上服务标准；</w:t>
      </w:r>
    </w:p>
    <w:p>
      <w:pPr>
        <w:pStyle w:val="264"/>
        <w:spacing w:line="360" w:lineRule="auto"/>
        <w:rPr>
          <w:rFonts w:ascii="宋体" w:hAnsi="宋体" w:cs="宋体"/>
          <w:szCs w:val="21"/>
        </w:rPr>
      </w:pPr>
      <w:r>
        <w:rPr>
          <w:rFonts w:hint="eastAsia" w:ascii="宋体" w:hAnsi="宋体" w:cs="宋体"/>
          <w:szCs w:val="21"/>
        </w:rPr>
        <w:t>3.2运营服务管理范围内不发生重大安全责任事故；</w:t>
      </w:r>
    </w:p>
    <w:p>
      <w:pPr>
        <w:pStyle w:val="264"/>
        <w:spacing w:line="360" w:lineRule="auto"/>
        <w:rPr>
          <w:rFonts w:ascii="宋体" w:hAnsi="宋体" w:cs="宋体"/>
          <w:szCs w:val="21"/>
        </w:rPr>
      </w:pPr>
      <w:r>
        <w:rPr>
          <w:rFonts w:hint="eastAsia" w:ascii="宋体" w:hAnsi="宋体" w:cs="宋体"/>
          <w:szCs w:val="21"/>
        </w:rPr>
        <w:t>3.3运营服务管理范围内不发生重大火灾责任事故；</w:t>
      </w:r>
    </w:p>
    <w:p>
      <w:pPr>
        <w:pStyle w:val="264"/>
        <w:spacing w:line="360" w:lineRule="auto"/>
        <w:rPr>
          <w:rFonts w:ascii="宋体" w:hAnsi="宋体" w:cs="宋体"/>
          <w:szCs w:val="21"/>
        </w:rPr>
      </w:pPr>
      <w:r>
        <w:rPr>
          <w:rFonts w:hint="eastAsia" w:ascii="宋体" w:hAnsi="宋体" w:cs="宋体"/>
          <w:szCs w:val="21"/>
        </w:rPr>
        <w:t>3.4运营服务管理范围内不发生重大设备管理责任事故；</w:t>
      </w:r>
    </w:p>
    <w:p>
      <w:pPr>
        <w:pStyle w:val="264"/>
        <w:spacing w:line="360" w:lineRule="auto"/>
        <w:rPr>
          <w:rFonts w:ascii="宋体" w:hAnsi="宋体" w:cs="宋体"/>
          <w:szCs w:val="21"/>
        </w:rPr>
      </w:pPr>
      <w:r>
        <w:rPr>
          <w:rFonts w:hint="eastAsia" w:ascii="宋体" w:hAnsi="宋体" w:cs="宋体"/>
          <w:szCs w:val="21"/>
        </w:rPr>
        <w:t>3.5服务时间：委托人遇有特殊服务要求时，受托人应给予保障；</w:t>
      </w:r>
    </w:p>
    <w:p>
      <w:pPr>
        <w:pStyle w:val="264"/>
        <w:spacing w:line="360" w:lineRule="auto"/>
        <w:rPr>
          <w:rFonts w:ascii="宋体" w:hAnsi="宋体" w:cs="宋体"/>
          <w:szCs w:val="21"/>
        </w:rPr>
      </w:pPr>
      <w:r>
        <w:rPr>
          <w:rFonts w:hint="eastAsia" w:ascii="宋体" w:hAnsi="宋体" w:cs="宋体"/>
          <w:szCs w:val="21"/>
        </w:rPr>
        <w:t>3.6服务人员上岗培训率达到100%；</w:t>
      </w:r>
    </w:p>
    <w:p>
      <w:pPr>
        <w:pStyle w:val="264"/>
        <w:spacing w:line="360" w:lineRule="auto"/>
        <w:rPr>
          <w:rFonts w:ascii="宋体" w:hAnsi="宋体" w:cs="宋体"/>
          <w:szCs w:val="21"/>
        </w:rPr>
      </w:pPr>
      <w:r>
        <w:rPr>
          <w:rFonts w:hint="eastAsia" w:ascii="宋体" w:hAnsi="宋体" w:cs="宋体"/>
          <w:szCs w:val="21"/>
        </w:rPr>
        <w:t>3.7受托人在酒店管理期间内对客房与配套设施、设备的运行标准按照国标进行维护和保养。</w:t>
      </w:r>
    </w:p>
    <w:p>
      <w:pPr>
        <w:pStyle w:val="264"/>
        <w:spacing w:line="360" w:lineRule="auto"/>
        <w:rPr>
          <w:rFonts w:ascii="宋体" w:hAnsi="宋体" w:cs="宋体"/>
          <w:szCs w:val="21"/>
        </w:rPr>
      </w:pPr>
      <w:r>
        <w:rPr>
          <w:rFonts w:hint="eastAsia" w:ascii="宋体" w:hAnsi="宋体" w:cs="宋体"/>
          <w:szCs w:val="21"/>
        </w:rPr>
        <w:t>3.8受托人需提供早餐等餐饮配套服务。</w:t>
      </w:r>
    </w:p>
    <w:p>
      <w:pPr>
        <w:pStyle w:val="264"/>
        <w:spacing w:line="360" w:lineRule="auto"/>
        <w:rPr>
          <w:rFonts w:ascii="宋体" w:hAnsi="宋体" w:cs="宋体"/>
          <w:szCs w:val="21"/>
        </w:rPr>
      </w:pPr>
      <w:r>
        <w:rPr>
          <w:rFonts w:hint="eastAsia" w:ascii="宋体" w:hAnsi="宋体" w:cs="宋体"/>
          <w:szCs w:val="21"/>
        </w:rPr>
        <w:t>（二）物业管理要求</w:t>
      </w:r>
    </w:p>
    <w:p>
      <w:pPr>
        <w:pStyle w:val="264"/>
        <w:spacing w:line="360" w:lineRule="auto"/>
        <w:rPr>
          <w:rFonts w:ascii="宋体" w:hAnsi="宋体" w:cs="宋体"/>
          <w:szCs w:val="21"/>
        </w:rPr>
      </w:pPr>
      <w:r>
        <w:rPr>
          <w:rFonts w:hint="eastAsia" w:ascii="宋体" w:hAnsi="宋体" w:cs="宋体"/>
          <w:szCs w:val="21"/>
        </w:rPr>
        <w:t>负责酒店公共区域范围内的传达、保安、秩序管理和消防、监控设施维护，具体如下：</w:t>
      </w:r>
    </w:p>
    <w:p>
      <w:pPr>
        <w:pStyle w:val="264"/>
        <w:spacing w:line="360" w:lineRule="auto"/>
        <w:rPr>
          <w:rFonts w:ascii="宋体" w:hAnsi="宋体" w:cs="宋体"/>
          <w:szCs w:val="21"/>
        </w:rPr>
      </w:pPr>
      <w:r>
        <w:rPr>
          <w:rFonts w:hint="eastAsia" w:ascii="宋体" w:hAnsi="宋体" w:cs="宋体"/>
          <w:szCs w:val="21"/>
        </w:rPr>
        <w:t>1）门卫值班，酒店应安排24小时值岗，做好的传达、保安等工作，确保酒店安全。</w:t>
      </w:r>
    </w:p>
    <w:p>
      <w:pPr>
        <w:pStyle w:val="264"/>
        <w:spacing w:line="360" w:lineRule="auto"/>
        <w:rPr>
          <w:rFonts w:ascii="宋体" w:hAnsi="宋体" w:cs="宋体"/>
          <w:szCs w:val="21"/>
        </w:rPr>
      </w:pPr>
      <w:r>
        <w:rPr>
          <w:rFonts w:hint="eastAsia" w:ascii="宋体" w:hAnsi="宋体" w:cs="宋体"/>
          <w:szCs w:val="21"/>
        </w:rPr>
        <w:t>2）巡视检查。对酒店的各楼层的公共区域进行定时巡视，对设备机房进行重点巡视并记录巡视情况，及时发现和处理各种安全和事故隐患。</w:t>
      </w:r>
    </w:p>
    <w:p>
      <w:pPr>
        <w:pStyle w:val="264"/>
        <w:spacing w:line="360" w:lineRule="auto"/>
        <w:rPr>
          <w:rFonts w:ascii="宋体" w:hAnsi="宋体" w:cs="宋体"/>
          <w:szCs w:val="21"/>
        </w:rPr>
      </w:pPr>
      <w:r>
        <w:rPr>
          <w:rFonts w:hint="eastAsia" w:ascii="宋体" w:hAnsi="宋体" w:cs="宋体"/>
          <w:szCs w:val="21"/>
        </w:rPr>
        <w:t>3）消控、监控室值班。消控、监控设施应保持24小时开通，并保持完整的监控记录，保证对基地各出入口、内部重点区域的安全监控、录像。</w:t>
      </w:r>
    </w:p>
    <w:p>
      <w:pPr>
        <w:pStyle w:val="264"/>
        <w:spacing w:line="360" w:lineRule="auto"/>
        <w:rPr>
          <w:rFonts w:ascii="宋体" w:hAnsi="宋体" w:cs="宋体"/>
          <w:szCs w:val="21"/>
        </w:rPr>
      </w:pPr>
      <w:r>
        <w:rPr>
          <w:rFonts w:hint="eastAsia" w:ascii="宋体" w:hAnsi="宋体" w:cs="宋体"/>
          <w:szCs w:val="21"/>
        </w:rPr>
        <w:t>4）做好车辆管理工作，确保酒店车辆的有序进出，有序停放；</w:t>
      </w:r>
    </w:p>
    <w:p>
      <w:pPr>
        <w:pStyle w:val="264"/>
        <w:spacing w:line="360" w:lineRule="auto"/>
        <w:rPr>
          <w:rFonts w:ascii="宋体" w:hAnsi="宋体" w:cs="宋体"/>
          <w:szCs w:val="21"/>
        </w:rPr>
      </w:pPr>
      <w:r>
        <w:rPr>
          <w:rFonts w:hint="eastAsia" w:ascii="宋体" w:hAnsi="宋体" w:cs="宋体"/>
          <w:szCs w:val="21"/>
        </w:rPr>
        <w:t>5）突发事件处理。制定物业应对突发事件的预案，重点是做好突发灾情、险情、周边治安事件和上访等事件的应对处置；</w:t>
      </w:r>
    </w:p>
    <w:p>
      <w:pPr>
        <w:pStyle w:val="264"/>
        <w:spacing w:line="360" w:lineRule="auto"/>
        <w:rPr>
          <w:rFonts w:ascii="宋体" w:hAnsi="宋体" w:cs="宋体"/>
          <w:szCs w:val="21"/>
        </w:rPr>
      </w:pPr>
      <w:r>
        <w:rPr>
          <w:rFonts w:hint="eastAsia" w:ascii="宋体" w:hAnsi="宋体" w:cs="宋体"/>
          <w:szCs w:val="21"/>
        </w:rPr>
        <w:t>6）消防、监控设施维护。定期对消防、监控主机及各消防、监控点的设备进行巡查，确保运行无故障；对消防栓、消防水带、消防泵进行检查确保完好无损；对各楼层灭火器进行检查更换，确保压力正常；定期对各楼层应急电源的主、备电情况进行检查。</w:t>
      </w:r>
    </w:p>
    <w:p>
      <w:pPr>
        <w:spacing w:line="360" w:lineRule="auto"/>
        <w:ind w:firstLine="422" w:firstLineChars="200"/>
        <w:rPr>
          <w:rFonts w:ascii="宋体" w:hAnsi="宋体" w:cs="宋体"/>
          <w:b/>
          <w:bCs/>
          <w:szCs w:val="21"/>
        </w:rPr>
      </w:pPr>
      <w:r>
        <w:rPr>
          <w:rFonts w:hint="eastAsia" w:ascii="宋体" w:hAnsi="宋体" w:cs="宋体"/>
          <w:b/>
          <w:bCs/>
          <w:szCs w:val="21"/>
        </w:rPr>
        <w:t>2、报价要求</w:t>
      </w:r>
    </w:p>
    <w:p>
      <w:pPr>
        <w:spacing w:line="360" w:lineRule="auto"/>
        <w:ind w:firstLine="420" w:firstLineChars="200"/>
        <w:rPr>
          <w:rFonts w:ascii="宋体"/>
          <w:szCs w:val="21"/>
        </w:rPr>
      </w:pPr>
      <w:r>
        <w:rPr>
          <w:rFonts w:hint="eastAsia" w:ascii="宋体"/>
          <w:szCs w:val="21"/>
        </w:rPr>
        <w:t>本次投标报价包括前期开业筹备服务费和运营阶段管理服务费两部分（均为含税价）。招标人根据不同的服务内容分别限价，响应方的所有投标报价均不得超过最高限价，否则报价无效，按废标处理。</w:t>
      </w:r>
    </w:p>
    <w:p>
      <w:pPr>
        <w:numPr>
          <w:ilvl w:val="0"/>
          <w:numId w:val="2"/>
        </w:numPr>
        <w:autoSpaceDE w:val="0"/>
        <w:autoSpaceDN w:val="0"/>
        <w:adjustRightInd w:val="0"/>
        <w:snapToGrid w:val="0"/>
        <w:spacing w:line="360" w:lineRule="auto"/>
        <w:ind w:firstLine="420" w:firstLineChars="200"/>
        <w:rPr>
          <w:rFonts w:hAnsi="宋体"/>
          <w:szCs w:val="21"/>
        </w:rPr>
      </w:pPr>
      <w:r>
        <w:rPr>
          <w:rFonts w:hint="eastAsia" w:ascii="宋体"/>
          <w:szCs w:val="21"/>
        </w:rPr>
        <w:t>前期开业筹备服务费：</w:t>
      </w:r>
    </w:p>
    <w:p>
      <w:pPr>
        <w:autoSpaceDE w:val="0"/>
        <w:autoSpaceDN w:val="0"/>
        <w:adjustRightInd w:val="0"/>
        <w:snapToGrid w:val="0"/>
        <w:spacing w:line="360" w:lineRule="auto"/>
        <w:ind w:firstLine="420"/>
        <w:rPr>
          <w:rFonts w:hAnsi="宋体"/>
          <w:szCs w:val="21"/>
        </w:rPr>
      </w:pPr>
      <w:r>
        <w:rPr>
          <w:rFonts w:hint="eastAsia" w:ascii="宋体"/>
          <w:szCs w:val="21"/>
        </w:rPr>
        <w:t>前期开业筹备服务费由响应方根据自身情况自行报价，其费用应包括响应方品牌加盟费</w:t>
      </w:r>
      <w:r>
        <w:rPr>
          <w:rFonts w:hint="eastAsia" w:hAnsi="宋体"/>
          <w:szCs w:val="21"/>
        </w:rPr>
        <w:t>、开业前筹备费（主要含人员招聘和培训、设备调试、技术服务等）。</w:t>
      </w:r>
    </w:p>
    <w:p>
      <w:pPr>
        <w:numPr>
          <w:ilvl w:val="0"/>
          <w:numId w:val="2"/>
        </w:numPr>
        <w:autoSpaceDE w:val="0"/>
        <w:autoSpaceDN w:val="0"/>
        <w:adjustRightInd w:val="0"/>
        <w:snapToGrid w:val="0"/>
        <w:spacing w:line="360" w:lineRule="auto"/>
        <w:ind w:firstLine="420" w:firstLineChars="200"/>
        <w:rPr>
          <w:rFonts w:ascii="宋体"/>
          <w:szCs w:val="21"/>
        </w:rPr>
      </w:pPr>
      <w:r>
        <w:rPr>
          <w:rFonts w:hint="eastAsia" w:ascii="宋体"/>
          <w:szCs w:val="21"/>
        </w:rPr>
        <w:t>运营阶段管理服务费：</w:t>
      </w:r>
    </w:p>
    <w:p>
      <w:pPr>
        <w:autoSpaceDE w:val="0"/>
        <w:autoSpaceDN w:val="0"/>
        <w:adjustRightInd w:val="0"/>
        <w:snapToGrid w:val="0"/>
        <w:spacing w:line="360" w:lineRule="auto"/>
        <w:ind w:firstLine="420" w:firstLineChars="200"/>
        <w:rPr>
          <w:rFonts w:ascii="宋体"/>
          <w:szCs w:val="21"/>
        </w:rPr>
      </w:pPr>
      <w:r>
        <w:rPr>
          <w:rFonts w:hint="eastAsia" w:ascii="宋体"/>
          <w:szCs w:val="21"/>
        </w:rPr>
        <w:t>运营阶段响应方根据招标人给定的服务项目按照费率分别进行报价。投标时首个完整会计年度的营业额按照1100万元/年计算，营业性毛利润按照营业额的40%计算（特别说明：营业性收入包括客房收入、餐饮收入和会务收入；营业性毛利润的计算方式为营业收入减去营业成本。</w:t>
      </w:r>
    </w:p>
    <w:p>
      <w:pPr>
        <w:numPr>
          <w:ilvl w:val="0"/>
          <w:numId w:val="3"/>
        </w:numPr>
        <w:tabs>
          <w:tab w:val="left" w:pos="340"/>
          <w:tab w:val="left" w:pos="711"/>
        </w:tabs>
        <w:snapToGrid w:val="0"/>
        <w:spacing w:line="360" w:lineRule="auto"/>
        <w:rPr>
          <w:rFonts w:ascii="宋体"/>
          <w:szCs w:val="21"/>
        </w:rPr>
      </w:pPr>
      <w:r>
        <w:rPr>
          <w:rFonts w:hint="eastAsia" w:ascii="宋体"/>
          <w:szCs w:val="21"/>
        </w:rPr>
        <w:t>基本管理费以每年营业额作为计费基数，响应方根据自身实力填报收费比例。响应方必须提供具有自身独立知识产权的酒店品牌，并授权用于招标人的酒店；</w:t>
      </w:r>
    </w:p>
    <w:p>
      <w:pPr>
        <w:numPr>
          <w:ilvl w:val="0"/>
          <w:numId w:val="3"/>
        </w:numPr>
        <w:tabs>
          <w:tab w:val="left" w:pos="340"/>
          <w:tab w:val="left" w:pos="711"/>
        </w:tabs>
        <w:snapToGrid w:val="0"/>
        <w:spacing w:line="360" w:lineRule="auto"/>
        <w:rPr>
          <w:rFonts w:ascii="宋体"/>
          <w:szCs w:val="21"/>
        </w:rPr>
      </w:pPr>
      <w:r>
        <w:rPr>
          <w:rFonts w:hint="eastAsia" w:ascii="宋体"/>
          <w:szCs w:val="21"/>
        </w:rPr>
        <w:t>奖励管理费</w:t>
      </w:r>
      <w:r>
        <w:rPr>
          <w:rFonts w:hint="eastAsia" w:ascii="宋体" w:hAnsi="宋体" w:cs="宋体"/>
          <w:szCs w:val="21"/>
        </w:rPr>
        <w:t>按照营业性毛利润作为计费基数</w:t>
      </w:r>
      <w:r>
        <w:rPr>
          <w:rFonts w:hint="eastAsia" w:ascii="宋体"/>
          <w:szCs w:val="21"/>
        </w:rPr>
        <w:t>，响应方可根据</w:t>
      </w:r>
      <w:r>
        <w:rPr>
          <w:rFonts w:hint="eastAsia" w:ascii="宋体" w:hAnsi="宋体" w:cs="宋体"/>
          <w:szCs w:val="21"/>
        </w:rPr>
        <w:t>营业性毛利润</w:t>
      </w:r>
      <w:r>
        <w:rPr>
          <w:rFonts w:hint="eastAsia" w:ascii="宋体"/>
          <w:szCs w:val="21"/>
        </w:rPr>
        <w:t>的高低阶梯式填报收费比例。</w:t>
      </w:r>
    </w:p>
    <w:p>
      <w:pPr>
        <w:tabs>
          <w:tab w:val="left" w:pos="546"/>
          <w:tab w:val="left" w:pos="711"/>
        </w:tabs>
        <w:snapToGrid w:val="0"/>
        <w:spacing w:line="360" w:lineRule="auto"/>
        <w:ind w:firstLine="420" w:firstLineChars="200"/>
        <w:rPr>
          <w:rFonts w:ascii="宋体"/>
          <w:szCs w:val="21"/>
        </w:rPr>
      </w:pPr>
      <w:r>
        <w:rPr>
          <w:rFonts w:hint="eastAsia" w:ascii="宋体"/>
          <w:szCs w:val="21"/>
        </w:rPr>
        <w:t>（</w:t>
      </w:r>
      <w:r>
        <w:rPr>
          <w:rFonts w:ascii="宋体"/>
          <w:szCs w:val="21"/>
        </w:rPr>
        <w:t>3</w:t>
      </w:r>
      <w:r>
        <w:rPr>
          <w:rFonts w:hint="eastAsia" w:ascii="宋体"/>
          <w:szCs w:val="21"/>
        </w:rPr>
        <w:t>）会员基金以会员消费总额为基数，响应方根据自身情况填报提取比例，具体比例不纳入竞争，但将作为评标参考。</w:t>
      </w:r>
    </w:p>
    <w:p>
      <w:pPr>
        <w:tabs>
          <w:tab w:val="left" w:pos="546"/>
          <w:tab w:val="left" w:pos="711"/>
        </w:tabs>
        <w:snapToGrid w:val="0"/>
        <w:spacing w:line="360" w:lineRule="auto"/>
        <w:ind w:firstLine="420" w:firstLineChars="200"/>
        <w:rPr>
          <w:rFonts w:ascii="宋体"/>
          <w:szCs w:val="21"/>
        </w:rPr>
      </w:pPr>
      <w:r>
        <w:rPr>
          <w:rFonts w:hint="eastAsia" w:ascii="宋体"/>
          <w:szCs w:val="21"/>
        </w:rPr>
        <w:t>（</w:t>
      </w:r>
      <w:r>
        <w:rPr>
          <w:rFonts w:ascii="宋体"/>
          <w:szCs w:val="21"/>
        </w:rPr>
        <w:t>4</w:t>
      </w:r>
      <w:r>
        <w:rPr>
          <w:rFonts w:hint="eastAsia" w:ascii="宋体"/>
          <w:szCs w:val="21"/>
        </w:rPr>
        <w:t>）中央预订渠道费，凡通过受托人中央预定系统产生的订单，以订单总金额为基数，响应方根据自身情况填报提取比例，具体比例不纳入竞争，但将作为评标参考。</w:t>
      </w:r>
    </w:p>
    <w:p>
      <w:pPr>
        <w:spacing w:line="360" w:lineRule="auto"/>
        <w:ind w:firstLine="420" w:firstLineChars="200"/>
        <w:rPr>
          <w:rFonts w:ascii="宋体"/>
          <w:szCs w:val="21"/>
        </w:rPr>
      </w:pPr>
      <w:r>
        <w:rPr>
          <w:rFonts w:hint="eastAsia" w:ascii="宋体"/>
          <w:szCs w:val="21"/>
        </w:rPr>
        <w:t>注：在委托管理期间，招标人将每月向受托人支付相应的管理费。</w:t>
      </w:r>
    </w:p>
    <w:p>
      <w:pPr>
        <w:spacing w:line="360" w:lineRule="auto"/>
        <w:ind w:firstLine="420" w:firstLineChars="200"/>
        <w:rPr>
          <w:rFonts w:ascii="宋体"/>
          <w:szCs w:val="21"/>
        </w:rPr>
      </w:pPr>
      <w:r>
        <w:rPr>
          <w:rFonts w:hint="eastAsia" w:ascii="宋体"/>
          <w:szCs w:val="21"/>
        </w:rPr>
        <w:t>注：营业成本与业主成本的定义</w:t>
      </w:r>
    </w:p>
    <w:p>
      <w:pPr>
        <w:pStyle w:val="41"/>
        <w:numPr>
          <w:ilvl w:val="255"/>
          <w:numId w:val="0"/>
        </w:numPr>
        <w:tabs>
          <w:tab w:val="left" w:pos="900"/>
        </w:tabs>
        <w:spacing w:before="120" w:beforeLines="50" w:beforeAutospacing="0" w:after="120" w:afterLines="50" w:afterAutospacing="0" w:line="440" w:lineRule="exact"/>
        <w:ind w:left="540"/>
        <w:rPr>
          <w:sz w:val="21"/>
          <w:szCs w:val="21"/>
        </w:rPr>
      </w:pPr>
      <w:r>
        <w:rPr>
          <w:b/>
          <w:sz w:val="21"/>
          <w:szCs w:val="21"/>
        </w:rPr>
        <w:t>营业成本</w:t>
      </w:r>
      <w:r>
        <w:rPr>
          <w:sz w:val="21"/>
          <w:szCs w:val="21"/>
        </w:rPr>
        <w:t>—应根据国家会计制度，包括下列项目：</w:t>
      </w:r>
    </w:p>
    <w:p>
      <w:pPr>
        <w:pStyle w:val="41"/>
        <w:numPr>
          <w:ilvl w:val="1"/>
          <w:numId w:val="4"/>
        </w:numPr>
        <w:tabs>
          <w:tab w:val="left" w:pos="1080"/>
          <w:tab w:val="clear" w:pos="840"/>
        </w:tabs>
        <w:spacing w:before="0" w:beforeAutospacing="0" w:after="0" w:afterAutospacing="0" w:line="440" w:lineRule="exact"/>
        <w:ind w:left="1077" w:hanging="357"/>
        <w:rPr>
          <w:sz w:val="21"/>
          <w:szCs w:val="21"/>
        </w:rPr>
      </w:pPr>
      <w:r>
        <w:rPr>
          <w:sz w:val="21"/>
          <w:szCs w:val="21"/>
        </w:rPr>
        <w:t>人员基本薪资，以及其他常规的或临时的，为酒店员工派发的其他款项，包括加班工资、住房补贴、交通补贴、通讯补贴、地区补贴、员工膳食、工装及其它杂项福利，因上述薪资有关法令或法规而产生的应付款项或税项。</w:t>
      </w:r>
    </w:p>
    <w:p>
      <w:pPr>
        <w:pStyle w:val="41"/>
        <w:numPr>
          <w:ilvl w:val="1"/>
          <w:numId w:val="4"/>
        </w:numPr>
        <w:tabs>
          <w:tab w:val="left" w:pos="1080"/>
          <w:tab w:val="clear" w:pos="840"/>
        </w:tabs>
        <w:spacing w:before="0" w:beforeAutospacing="0" w:after="0" w:afterAutospacing="0" w:line="440" w:lineRule="exact"/>
        <w:ind w:left="1077" w:hanging="357"/>
        <w:rPr>
          <w:sz w:val="21"/>
          <w:szCs w:val="21"/>
        </w:rPr>
      </w:pPr>
      <w:r>
        <w:rPr>
          <w:sz w:val="21"/>
          <w:szCs w:val="21"/>
        </w:rPr>
        <w:t>为酒店而消耗的食品、饮料、物品成本，和一般情况下为收益而发生的成本。</w:t>
      </w:r>
    </w:p>
    <w:p>
      <w:pPr>
        <w:pStyle w:val="41"/>
        <w:numPr>
          <w:ilvl w:val="1"/>
          <w:numId w:val="4"/>
        </w:numPr>
        <w:tabs>
          <w:tab w:val="left" w:pos="1080"/>
          <w:tab w:val="clear" w:pos="840"/>
        </w:tabs>
        <w:spacing w:before="0" w:beforeAutospacing="0" w:after="0" w:afterAutospacing="0" w:line="440" w:lineRule="exact"/>
        <w:ind w:left="1077" w:hanging="357"/>
        <w:rPr>
          <w:sz w:val="21"/>
          <w:szCs w:val="21"/>
        </w:rPr>
      </w:pPr>
      <w:r>
        <w:rPr>
          <w:sz w:val="21"/>
          <w:szCs w:val="21"/>
        </w:rPr>
        <w:t>因酒店运行而发生的热力、水、电、气、通信和任何其它公用设施费用支出。</w:t>
      </w:r>
    </w:p>
    <w:p>
      <w:pPr>
        <w:pStyle w:val="41"/>
        <w:numPr>
          <w:ilvl w:val="1"/>
          <w:numId w:val="4"/>
        </w:numPr>
        <w:tabs>
          <w:tab w:val="left" w:pos="1080"/>
          <w:tab w:val="clear" w:pos="840"/>
        </w:tabs>
        <w:spacing w:before="0" w:beforeAutospacing="0" w:after="0" w:afterAutospacing="0" w:line="440" w:lineRule="exact"/>
        <w:ind w:left="1077" w:hanging="357"/>
        <w:rPr>
          <w:sz w:val="21"/>
          <w:szCs w:val="21"/>
        </w:rPr>
      </w:pPr>
      <w:r>
        <w:rPr>
          <w:sz w:val="21"/>
          <w:szCs w:val="21"/>
        </w:rPr>
        <w:t>第7.3条所指定付予管理公司的基本管理费。</w:t>
      </w:r>
    </w:p>
    <w:p>
      <w:pPr>
        <w:pStyle w:val="41"/>
        <w:numPr>
          <w:ilvl w:val="1"/>
          <w:numId w:val="4"/>
        </w:numPr>
        <w:tabs>
          <w:tab w:val="left" w:pos="1080"/>
          <w:tab w:val="clear" w:pos="840"/>
        </w:tabs>
        <w:spacing w:before="0" w:beforeAutospacing="0" w:after="0" w:afterAutospacing="0" w:line="440" w:lineRule="exact"/>
        <w:ind w:left="1077" w:hanging="357"/>
        <w:rPr>
          <w:sz w:val="21"/>
          <w:szCs w:val="21"/>
        </w:rPr>
      </w:pPr>
      <w:r>
        <w:rPr>
          <w:sz w:val="21"/>
          <w:szCs w:val="21"/>
        </w:rPr>
        <w:t>因酒店营业有关雇佣的独立公共会计师以及因酒店之需而聘请的法律顾问费用。</w:t>
      </w:r>
    </w:p>
    <w:p>
      <w:pPr>
        <w:pStyle w:val="41"/>
        <w:numPr>
          <w:ilvl w:val="1"/>
          <w:numId w:val="4"/>
        </w:numPr>
        <w:tabs>
          <w:tab w:val="left" w:pos="1080"/>
          <w:tab w:val="clear" w:pos="840"/>
        </w:tabs>
        <w:spacing w:before="0" w:beforeAutospacing="0" w:after="0" w:afterAutospacing="0" w:line="440" w:lineRule="exact"/>
        <w:ind w:left="1077" w:hanging="357"/>
        <w:rPr>
          <w:sz w:val="21"/>
          <w:szCs w:val="21"/>
        </w:rPr>
      </w:pPr>
      <w:r>
        <w:rPr>
          <w:sz w:val="21"/>
          <w:szCs w:val="21"/>
        </w:rPr>
        <w:t>为维持酒店良好状况而产生的修缮、保养及更换费用，除第5.2条属业主责任范围的费用外，均列入营业支出。</w:t>
      </w:r>
    </w:p>
    <w:p>
      <w:pPr>
        <w:pStyle w:val="41"/>
        <w:numPr>
          <w:ilvl w:val="1"/>
          <w:numId w:val="4"/>
        </w:numPr>
        <w:tabs>
          <w:tab w:val="left" w:pos="1080"/>
          <w:tab w:val="clear" w:pos="840"/>
        </w:tabs>
        <w:spacing w:before="0" w:beforeAutospacing="0" w:after="0" w:afterAutospacing="0" w:line="440" w:lineRule="exact"/>
        <w:ind w:left="1077" w:hanging="357"/>
        <w:rPr>
          <w:sz w:val="21"/>
          <w:szCs w:val="21"/>
        </w:rPr>
      </w:pPr>
      <w:r>
        <w:rPr>
          <w:sz w:val="21"/>
          <w:szCs w:val="21"/>
        </w:rPr>
        <w:t>所有因酒店营业有关的广告、业务推广和公共关系开支。</w:t>
      </w:r>
    </w:p>
    <w:p>
      <w:pPr>
        <w:pStyle w:val="41"/>
        <w:numPr>
          <w:ilvl w:val="1"/>
          <w:numId w:val="4"/>
        </w:numPr>
        <w:tabs>
          <w:tab w:val="left" w:pos="1080"/>
          <w:tab w:val="clear" w:pos="840"/>
        </w:tabs>
        <w:spacing w:before="0" w:beforeAutospacing="0" w:after="0" w:afterAutospacing="0" w:line="440" w:lineRule="exact"/>
        <w:ind w:left="1077" w:hanging="357"/>
        <w:rPr>
          <w:sz w:val="21"/>
          <w:szCs w:val="21"/>
        </w:rPr>
      </w:pPr>
      <w:r>
        <w:rPr>
          <w:sz w:val="21"/>
          <w:szCs w:val="21"/>
        </w:rPr>
        <w:t>付与推销代理及信用卡公司的佣金、费用及开支和预定费用。</w:t>
      </w:r>
    </w:p>
    <w:p>
      <w:pPr>
        <w:pStyle w:val="41"/>
        <w:numPr>
          <w:ilvl w:val="1"/>
          <w:numId w:val="4"/>
        </w:numPr>
        <w:tabs>
          <w:tab w:val="left" w:pos="1080"/>
          <w:tab w:val="clear" w:pos="840"/>
        </w:tabs>
        <w:spacing w:before="0" w:beforeAutospacing="0" w:after="0" w:afterAutospacing="0" w:line="440" w:lineRule="exact"/>
        <w:ind w:left="1077" w:hanging="357"/>
        <w:rPr>
          <w:sz w:val="21"/>
          <w:szCs w:val="21"/>
        </w:rPr>
      </w:pPr>
      <w:r>
        <w:rPr>
          <w:sz w:val="21"/>
          <w:szCs w:val="21"/>
        </w:rPr>
        <w:t>酒店为激励员工而开支的其它奖励费用。</w:t>
      </w:r>
    </w:p>
    <w:p>
      <w:pPr>
        <w:pStyle w:val="41"/>
        <w:numPr>
          <w:ilvl w:val="1"/>
          <w:numId w:val="4"/>
        </w:numPr>
        <w:tabs>
          <w:tab w:val="left" w:pos="1080"/>
          <w:tab w:val="clear" w:pos="840"/>
        </w:tabs>
        <w:spacing w:before="0" w:beforeAutospacing="0" w:after="0" w:afterAutospacing="0" w:line="440" w:lineRule="exact"/>
        <w:ind w:left="1077" w:hanging="357"/>
        <w:rPr>
          <w:sz w:val="21"/>
          <w:szCs w:val="21"/>
        </w:rPr>
      </w:pPr>
      <w:r>
        <w:rPr>
          <w:sz w:val="21"/>
          <w:szCs w:val="21"/>
        </w:rPr>
        <w:t>根据当地经验，经董事会批准的实际发生的呆帐。</w:t>
      </w:r>
    </w:p>
    <w:p>
      <w:pPr>
        <w:pStyle w:val="41"/>
        <w:numPr>
          <w:ilvl w:val="1"/>
          <w:numId w:val="4"/>
        </w:numPr>
        <w:tabs>
          <w:tab w:val="left" w:pos="1080"/>
          <w:tab w:val="clear" w:pos="840"/>
        </w:tabs>
        <w:spacing w:line="440" w:lineRule="exact"/>
        <w:ind w:left="1077" w:hanging="357"/>
        <w:rPr>
          <w:szCs w:val="21"/>
        </w:rPr>
      </w:pPr>
      <w:r>
        <w:rPr>
          <w:sz w:val="21"/>
          <w:szCs w:val="21"/>
        </w:rPr>
        <w:t>为酒店营业而产生的任何直接税项、牌照费、公共事业摊销的缴付。但不包括第15条注明的“业主成本”。</w:t>
      </w:r>
    </w:p>
    <w:p>
      <w:pPr>
        <w:pStyle w:val="41"/>
        <w:numPr>
          <w:ilvl w:val="255"/>
          <w:numId w:val="0"/>
        </w:numPr>
        <w:tabs>
          <w:tab w:val="left" w:pos="900"/>
        </w:tabs>
        <w:spacing w:before="120" w:beforeLines="50" w:beforeAutospacing="0" w:after="120" w:afterLines="50" w:afterAutospacing="0" w:line="440" w:lineRule="exact"/>
        <w:ind w:left="540"/>
        <w:rPr>
          <w:sz w:val="21"/>
          <w:szCs w:val="21"/>
        </w:rPr>
      </w:pPr>
      <w:r>
        <w:rPr>
          <w:b/>
          <w:sz w:val="21"/>
          <w:szCs w:val="21"/>
        </w:rPr>
        <w:t>“业主成本”</w:t>
      </w:r>
      <w:r>
        <w:rPr>
          <w:sz w:val="21"/>
          <w:szCs w:val="21"/>
        </w:rPr>
        <w:t>—下列项目为“业主成本”，</w:t>
      </w:r>
      <w:r>
        <w:rPr>
          <w:rFonts w:hint="eastAsia"/>
          <w:sz w:val="21"/>
          <w:szCs w:val="21"/>
        </w:rPr>
        <w:t>这些</w:t>
      </w:r>
      <w:r>
        <w:rPr>
          <w:sz w:val="21"/>
          <w:szCs w:val="21"/>
        </w:rPr>
        <w:t>不包括在</w:t>
      </w:r>
      <w:r>
        <w:rPr>
          <w:rFonts w:hint="eastAsia"/>
          <w:sz w:val="21"/>
          <w:szCs w:val="21"/>
        </w:rPr>
        <w:t>奖励管理费核算时的成本</w:t>
      </w:r>
      <w:r>
        <w:rPr>
          <w:sz w:val="21"/>
          <w:szCs w:val="21"/>
        </w:rPr>
        <w:t>之内。</w:t>
      </w:r>
    </w:p>
    <w:p>
      <w:pPr>
        <w:pStyle w:val="41"/>
        <w:numPr>
          <w:ilvl w:val="1"/>
          <w:numId w:val="5"/>
        </w:numPr>
        <w:tabs>
          <w:tab w:val="left" w:pos="1080"/>
          <w:tab w:val="clear" w:pos="840"/>
        </w:tabs>
        <w:spacing w:before="0" w:beforeAutospacing="0" w:after="0" w:afterAutospacing="0" w:line="440" w:lineRule="exact"/>
        <w:ind w:left="1077" w:hanging="357"/>
        <w:rPr>
          <w:sz w:val="21"/>
          <w:szCs w:val="21"/>
        </w:rPr>
      </w:pPr>
      <w:r>
        <w:rPr>
          <w:sz w:val="21"/>
          <w:szCs w:val="21"/>
        </w:rPr>
        <w:t>酒店装饰、固定资产和设备的折旧。</w:t>
      </w:r>
    </w:p>
    <w:p>
      <w:pPr>
        <w:pStyle w:val="41"/>
        <w:numPr>
          <w:ilvl w:val="1"/>
          <w:numId w:val="5"/>
        </w:numPr>
        <w:tabs>
          <w:tab w:val="left" w:pos="1080"/>
          <w:tab w:val="clear" w:pos="840"/>
        </w:tabs>
        <w:spacing w:before="0" w:beforeAutospacing="0" w:after="0" w:afterAutospacing="0" w:line="440" w:lineRule="exact"/>
        <w:ind w:left="1077" w:hanging="357"/>
        <w:rPr>
          <w:sz w:val="21"/>
          <w:szCs w:val="21"/>
        </w:rPr>
      </w:pPr>
      <w:r>
        <w:rPr>
          <w:sz w:val="21"/>
          <w:szCs w:val="21"/>
        </w:rPr>
        <w:t>本酒店的资本和房地产税项。</w:t>
      </w:r>
    </w:p>
    <w:p>
      <w:pPr>
        <w:pStyle w:val="41"/>
        <w:numPr>
          <w:ilvl w:val="1"/>
          <w:numId w:val="5"/>
        </w:numPr>
        <w:tabs>
          <w:tab w:val="left" w:pos="1080"/>
          <w:tab w:val="clear" w:pos="840"/>
        </w:tabs>
        <w:spacing w:before="0" w:beforeAutospacing="0" w:after="0" w:afterAutospacing="0" w:line="440" w:lineRule="exact"/>
        <w:ind w:left="1077" w:hanging="357"/>
        <w:rPr>
          <w:sz w:val="21"/>
          <w:szCs w:val="21"/>
        </w:rPr>
      </w:pPr>
      <w:r>
        <w:rPr>
          <w:sz w:val="21"/>
          <w:szCs w:val="21"/>
        </w:rPr>
        <w:t>本酒店土地使用费。</w:t>
      </w:r>
    </w:p>
    <w:p>
      <w:pPr>
        <w:pStyle w:val="41"/>
        <w:numPr>
          <w:ilvl w:val="1"/>
          <w:numId w:val="5"/>
        </w:numPr>
        <w:tabs>
          <w:tab w:val="left" w:pos="1080"/>
          <w:tab w:val="clear" w:pos="840"/>
        </w:tabs>
        <w:spacing w:before="0" w:beforeAutospacing="0" w:after="0" w:afterAutospacing="0" w:line="440" w:lineRule="exact"/>
        <w:ind w:left="1077" w:hanging="357"/>
        <w:rPr>
          <w:sz w:val="21"/>
          <w:szCs w:val="21"/>
        </w:rPr>
      </w:pPr>
      <w:r>
        <w:rPr>
          <w:sz w:val="21"/>
          <w:szCs w:val="21"/>
        </w:rPr>
        <w:t>开业前支出的摊销。</w:t>
      </w:r>
    </w:p>
    <w:p>
      <w:pPr>
        <w:pStyle w:val="41"/>
        <w:numPr>
          <w:ilvl w:val="1"/>
          <w:numId w:val="5"/>
        </w:numPr>
        <w:tabs>
          <w:tab w:val="left" w:pos="1080"/>
          <w:tab w:val="clear" w:pos="840"/>
        </w:tabs>
        <w:spacing w:before="0" w:beforeAutospacing="0" w:after="0" w:afterAutospacing="0" w:line="440" w:lineRule="exact"/>
        <w:ind w:left="1077" w:hanging="357"/>
        <w:rPr>
          <w:sz w:val="21"/>
          <w:szCs w:val="21"/>
        </w:rPr>
      </w:pPr>
      <w:r>
        <w:rPr>
          <w:rFonts w:ascii="Verdana" w:hAnsi="Verdana"/>
          <w:sz w:val="21"/>
          <w:szCs w:val="21"/>
        </w:rPr>
        <w:t>资本性利息支出。</w:t>
      </w:r>
    </w:p>
    <w:p>
      <w:pPr>
        <w:pStyle w:val="41"/>
        <w:numPr>
          <w:ilvl w:val="1"/>
          <w:numId w:val="5"/>
        </w:numPr>
        <w:tabs>
          <w:tab w:val="left" w:pos="1080"/>
          <w:tab w:val="clear" w:pos="840"/>
        </w:tabs>
        <w:spacing w:before="0" w:beforeAutospacing="0" w:after="0" w:afterAutospacing="0" w:line="440" w:lineRule="exact"/>
        <w:ind w:left="1077" w:hanging="357"/>
        <w:rPr>
          <w:sz w:val="21"/>
          <w:szCs w:val="21"/>
        </w:rPr>
      </w:pPr>
      <w:r>
        <w:rPr>
          <w:sz w:val="21"/>
          <w:szCs w:val="21"/>
        </w:rPr>
        <w:t>由业主委任的审计师、律师和其他专业顾问费和任何特别费用。</w:t>
      </w:r>
    </w:p>
    <w:p>
      <w:pPr>
        <w:pStyle w:val="41"/>
        <w:numPr>
          <w:ilvl w:val="1"/>
          <w:numId w:val="5"/>
        </w:numPr>
        <w:tabs>
          <w:tab w:val="left" w:pos="1080"/>
          <w:tab w:val="clear" w:pos="840"/>
        </w:tabs>
        <w:spacing w:before="0" w:beforeAutospacing="0" w:after="0" w:afterAutospacing="0" w:line="440" w:lineRule="exact"/>
        <w:ind w:left="1077" w:hanging="357"/>
        <w:rPr>
          <w:sz w:val="21"/>
          <w:szCs w:val="21"/>
        </w:rPr>
      </w:pPr>
      <w:r>
        <w:rPr>
          <w:sz w:val="21"/>
          <w:szCs w:val="21"/>
        </w:rPr>
        <w:t>奖励性管理费。</w:t>
      </w:r>
    </w:p>
    <w:p>
      <w:pPr>
        <w:pStyle w:val="41"/>
        <w:numPr>
          <w:ilvl w:val="1"/>
          <w:numId w:val="5"/>
        </w:numPr>
        <w:tabs>
          <w:tab w:val="left" w:pos="1080"/>
          <w:tab w:val="clear" w:pos="840"/>
        </w:tabs>
        <w:spacing w:before="0" w:beforeAutospacing="0" w:after="0" w:afterAutospacing="0" w:line="440" w:lineRule="exact"/>
        <w:ind w:left="1077" w:hanging="357"/>
        <w:rPr>
          <w:sz w:val="21"/>
          <w:szCs w:val="21"/>
        </w:rPr>
      </w:pPr>
      <w:r>
        <w:rPr>
          <w:sz w:val="21"/>
          <w:szCs w:val="21"/>
        </w:rPr>
        <w:t>本酒店业主所得税、固定资产税和利得税。</w:t>
      </w:r>
    </w:p>
    <w:p>
      <w:pPr>
        <w:pStyle w:val="41"/>
        <w:numPr>
          <w:ilvl w:val="1"/>
          <w:numId w:val="5"/>
        </w:numPr>
        <w:tabs>
          <w:tab w:val="left" w:pos="1080"/>
          <w:tab w:val="clear" w:pos="840"/>
        </w:tabs>
        <w:spacing w:before="0" w:beforeAutospacing="0" w:after="0" w:afterAutospacing="0" w:line="440" w:lineRule="exact"/>
        <w:ind w:left="1077" w:hanging="357"/>
        <w:rPr>
          <w:sz w:val="21"/>
          <w:szCs w:val="21"/>
        </w:rPr>
      </w:pPr>
      <w:r>
        <w:rPr>
          <w:sz w:val="21"/>
          <w:szCs w:val="21"/>
        </w:rPr>
        <w:t>酒店物业财产保险。</w:t>
      </w:r>
    </w:p>
    <w:p>
      <w:pPr>
        <w:pStyle w:val="41"/>
        <w:numPr>
          <w:ilvl w:val="255"/>
          <w:numId w:val="0"/>
        </w:numPr>
        <w:tabs>
          <w:tab w:val="left" w:pos="1080"/>
        </w:tabs>
        <w:spacing w:before="0" w:beforeAutospacing="0" w:after="0" w:afterAutospacing="0" w:line="440" w:lineRule="exact"/>
        <w:ind w:left="720"/>
        <w:rPr>
          <w:sz w:val="21"/>
          <w:szCs w:val="21"/>
        </w:rPr>
      </w:pPr>
    </w:p>
    <w:p>
      <w:pPr>
        <w:tabs>
          <w:tab w:val="left" w:pos="546"/>
          <w:tab w:val="left" w:pos="711"/>
        </w:tabs>
        <w:snapToGrid w:val="0"/>
        <w:spacing w:line="360" w:lineRule="auto"/>
        <w:ind w:firstLine="420" w:firstLineChars="200"/>
        <w:rPr>
          <w:rFonts w:ascii="宋体"/>
          <w:szCs w:val="21"/>
        </w:rPr>
      </w:pPr>
      <w:r>
        <w:rPr>
          <w:rFonts w:hint="eastAsia" w:ascii="宋体"/>
          <w:szCs w:val="21"/>
        </w:rPr>
        <w:br w:type="page"/>
      </w:r>
    </w:p>
    <w:p>
      <w:pPr>
        <w:pStyle w:val="264"/>
        <w:spacing w:line="360" w:lineRule="auto"/>
        <w:rPr>
          <w:rFonts w:ascii="宋体" w:hAnsi="宋体" w:cs="宋体"/>
          <w:szCs w:val="21"/>
        </w:rPr>
      </w:pPr>
    </w:p>
    <w:p>
      <w:pPr>
        <w:pStyle w:val="264"/>
        <w:spacing w:line="360" w:lineRule="auto"/>
        <w:rPr>
          <w:rFonts w:ascii="宋体" w:hAnsi="宋体" w:cs="宋体"/>
          <w:szCs w:val="21"/>
        </w:rPr>
      </w:pPr>
    </w:p>
    <w:p>
      <w:pPr>
        <w:pStyle w:val="42"/>
        <w:spacing w:before="120" w:after="120"/>
      </w:pPr>
      <w:bookmarkStart w:id="70" w:name="_Toc12951285"/>
      <w:r>
        <w:rPr>
          <w:rFonts w:hint="eastAsia"/>
        </w:rPr>
        <w:t>第三章 响应方须知</w:t>
      </w:r>
      <w:bookmarkEnd w:id="70"/>
    </w:p>
    <w:p>
      <w:pPr>
        <w:pStyle w:val="3"/>
        <w:spacing w:before="120" w:after="120"/>
        <w:jc w:val="center"/>
      </w:pPr>
      <w:bookmarkStart w:id="71" w:name="_Toc12951286"/>
      <w:r>
        <w:rPr>
          <w:rFonts w:hint="eastAsia"/>
        </w:rPr>
        <w:t>响应方须知前附表</w:t>
      </w:r>
      <w:bookmarkEnd w:id="71"/>
    </w:p>
    <w:tbl>
      <w:tblPr>
        <w:tblStyle w:val="55"/>
        <w:tblW w:w="94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70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708" w:type="dxa"/>
            <w:vAlign w:val="center"/>
          </w:tcPr>
          <w:p>
            <w:pPr>
              <w:jc w:val="center"/>
            </w:pPr>
            <w:r>
              <w:t>序号</w:t>
            </w:r>
          </w:p>
        </w:tc>
        <w:tc>
          <w:tcPr>
            <w:tcW w:w="1701" w:type="dxa"/>
            <w:vAlign w:val="center"/>
          </w:tcPr>
          <w:p>
            <w:pPr>
              <w:jc w:val="center"/>
            </w:pPr>
            <w:r>
              <w:t>项目</w:t>
            </w:r>
          </w:p>
        </w:tc>
        <w:tc>
          <w:tcPr>
            <w:tcW w:w="7087" w:type="dxa"/>
            <w:vAlign w:val="center"/>
          </w:tcPr>
          <w:p>
            <w:pPr>
              <w:jc w:val="center"/>
            </w:pPr>
            <w: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708" w:type="dxa"/>
            <w:vAlign w:val="center"/>
          </w:tcPr>
          <w:p>
            <w:pPr>
              <w:jc w:val="center"/>
            </w:pPr>
            <w:r>
              <w:t>1</w:t>
            </w:r>
          </w:p>
        </w:tc>
        <w:tc>
          <w:tcPr>
            <w:tcW w:w="1701" w:type="dxa"/>
            <w:vAlign w:val="center"/>
          </w:tcPr>
          <w:p>
            <w:pPr>
              <w:jc w:val="center"/>
            </w:pPr>
            <w:r>
              <w:t>项目名称</w:t>
            </w:r>
          </w:p>
        </w:tc>
        <w:tc>
          <w:tcPr>
            <w:tcW w:w="7087" w:type="dxa"/>
            <w:vAlign w:val="center"/>
          </w:tcPr>
          <w:p>
            <w:r>
              <w:rPr>
                <w:rFonts w:hint="eastAsia" w:ascii="宋体"/>
              </w:rPr>
              <w:t>杭州机场综合服务楼（酒店部分）委托管理服务项目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 w:hRule="atLeast"/>
          <w:jc w:val="center"/>
        </w:trPr>
        <w:tc>
          <w:tcPr>
            <w:tcW w:w="708" w:type="dxa"/>
            <w:vAlign w:val="center"/>
          </w:tcPr>
          <w:p>
            <w:pPr>
              <w:jc w:val="center"/>
            </w:pPr>
            <w:r>
              <w:t>2</w:t>
            </w:r>
          </w:p>
        </w:tc>
        <w:tc>
          <w:tcPr>
            <w:tcW w:w="1701" w:type="dxa"/>
            <w:vAlign w:val="center"/>
          </w:tcPr>
          <w:p>
            <w:pPr>
              <w:jc w:val="center"/>
            </w:pPr>
            <w:r>
              <w:rPr>
                <w:rFonts w:hint="eastAsia"/>
              </w:rPr>
              <w:t>项目</w:t>
            </w:r>
            <w:r>
              <w:t>地点</w:t>
            </w:r>
          </w:p>
        </w:tc>
        <w:tc>
          <w:tcPr>
            <w:tcW w:w="7087" w:type="dxa"/>
            <w:vAlign w:val="center"/>
          </w:tcPr>
          <w:p>
            <w:r>
              <w:rPr>
                <w:rFonts w:hint="eastAsia"/>
                <w:kern w:val="0"/>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 w:hRule="atLeast"/>
          <w:jc w:val="center"/>
        </w:trPr>
        <w:tc>
          <w:tcPr>
            <w:tcW w:w="708" w:type="dxa"/>
            <w:vAlign w:val="center"/>
          </w:tcPr>
          <w:p>
            <w:pPr>
              <w:jc w:val="center"/>
            </w:pPr>
            <w:r>
              <w:t>3</w:t>
            </w:r>
          </w:p>
        </w:tc>
        <w:tc>
          <w:tcPr>
            <w:tcW w:w="1701" w:type="dxa"/>
            <w:vAlign w:val="center"/>
          </w:tcPr>
          <w:p>
            <w:pPr>
              <w:jc w:val="center"/>
            </w:pPr>
            <w:r>
              <w:rPr>
                <w:rFonts w:hint="eastAsia"/>
              </w:rPr>
              <w:t>资金来源</w:t>
            </w:r>
          </w:p>
        </w:tc>
        <w:tc>
          <w:tcPr>
            <w:tcW w:w="7087" w:type="dxa"/>
            <w:vAlign w:val="center"/>
          </w:tcPr>
          <w:p>
            <w:r>
              <w:rPr>
                <w:rFonts w:hint="eastAsia"/>
                <w:kern w:val="0"/>
                <w:szCs w:val="22"/>
              </w:rPr>
              <w:t>国有，已落实。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708" w:type="dxa"/>
            <w:vAlign w:val="center"/>
          </w:tcPr>
          <w:p>
            <w:pPr>
              <w:jc w:val="center"/>
            </w:pPr>
            <w:r>
              <w:rPr>
                <w:rFonts w:hint="eastAsia"/>
              </w:rPr>
              <w:t>4</w:t>
            </w:r>
          </w:p>
        </w:tc>
        <w:tc>
          <w:tcPr>
            <w:tcW w:w="1701" w:type="dxa"/>
            <w:vAlign w:val="center"/>
          </w:tcPr>
          <w:p>
            <w:pPr>
              <w:jc w:val="center"/>
              <w:rPr>
                <w:kern w:val="0"/>
              </w:rPr>
            </w:pPr>
            <w:r>
              <w:rPr>
                <w:rFonts w:hint="eastAsia"/>
                <w:kern w:val="0"/>
              </w:rPr>
              <w:t>服务标准</w:t>
            </w:r>
            <w:r>
              <w:rPr>
                <w:kern w:val="0"/>
              </w:rPr>
              <w:t>要求</w:t>
            </w:r>
          </w:p>
        </w:tc>
        <w:tc>
          <w:tcPr>
            <w:tcW w:w="7087" w:type="dxa"/>
            <w:vAlign w:val="center"/>
          </w:tcPr>
          <w:p>
            <w:pPr>
              <w:rPr>
                <w:kern w:val="0"/>
              </w:rPr>
            </w:pPr>
            <w:r>
              <w:rPr>
                <w:rFonts w:hint="eastAsia"/>
                <w:szCs w:val="21"/>
              </w:rPr>
              <w:t>达到招标人规定的服务管理标准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708" w:type="dxa"/>
            <w:vAlign w:val="center"/>
          </w:tcPr>
          <w:p>
            <w:pPr>
              <w:jc w:val="center"/>
              <w:rPr>
                <w:kern w:val="0"/>
              </w:rPr>
            </w:pPr>
            <w:r>
              <w:rPr>
                <w:rFonts w:hint="eastAsia"/>
                <w:kern w:val="0"/>
              </w:rPr>
              <w:t>5</w:t>
            </w:r>
          </w:p>
        </w:tc>
        <w:tc>
          <w:tcPr>
            <w:tcW w:w="1701" w:type="dxa"/>
            <w:vAlign w:val="center"/>
          </w:tcPr>
          <w:p>
            <w:pPr>
              <w:jc w:val="center"/>
              <w:rPr>
                <w:kern w:val="0"/>
              </w:rPr>
            </w:pPr>
            <w:r>
              <w:rPr>
                <w:rFonts w:hint="eastAsia"/>
                <w:b/>
              </w:rPr>
              <w:t>▲</w:t>
            </w:r>
            <w:r>
              <w:rPr>
                <w:rFonts w:hint="eastAsia"/>
                <w:kern w:val="0"/>
              </w:rPr>
              <w:t>服务年限</w:t>
            </w:r>
          </w:p>
        </w:tc>
        <w:tc>
          <w:tcPr>
            <w:tcW w:w="7087" w:type="dxa"/>
            <w:vAlign w:val="center"/>
          </w:tcPr>
          <w:p>
            <w:pPr>
              <w:rPr>
                <w:kern w:val="0"/>
              </w:rPr>
            </w:pPr>
            <w:r>
              <w:rPr>
                <w:rFonts w:hint="eastAsia"/>
                <w:kern w:val="0"/>
              </w:rPr>
              <w:t>服务期：10年。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jc w:val="center"/>
        </w:trPr>
        <w:tc>
          <w:tcPr>
            <w:tcW w:w="708" w:type="dxa"/>
            <w:vAlign w:val="center"/>
          </w:tcPr>
          <w:p>
            <w:pPr>
              <w:jc w:val="center"/>
            </w:pPr>
            <w:r>
              <w:rPr>
                <w:rFonts w:hint="eastAsia"/>
              </w:rPr>
              <w:t>6</w:t>
            </w:r>
          </w:p>
        </w:tc>
        <w:tc>
          <w:tcPr>
            <w:tcW w:w="1701" w:type="dxa"/>
            <w:vAlign w:val="center"/>
          </w:tcPr>
          <w:p>
            <w:pPr>
              <w:jc w:val="center"/>
              <w:rPr>
                <w:kern w:val="0"/>
              </w:rPr>
            </w:pPr>
            <w:r>
              <w:rPr>
                <w:rFonts w:hint="eastAsia"/>
                <w:kern w:val="0"/>
              </w:rPr>
              <w:t>谈判响应方</w:t>
            </w:r>
            <w:r>
              <w:rPr>
                <w:kern w:val="0"/>
              </w:rPr>
              <w:t>资格要求</w:t>
            </w:r>
          </w:p>
        </w:tc>
        <w:tc>
          <w:tcPr>
            <w:tcW w:w="7087" w:type="dxa"/>
            <w:vAlign w:val="center"/>
          </w:tcPr>
          <w:p>
            <w:pPr>
              <w:rPr>
                <w:kern w:val="0"/>
              </w:rPr>
            </w:pPr>
            <w:r>
              <w:rPr>
                <w:rFonts w:hint="eastAsia"/>
                <w:kern w:val="0"/>
              </w:rPr>
              <w:t>谈判响应方</w:t>
            </w:r>
            <w:r>
              <w:t>资格要求：</w:t>
            </w:r>
            <w:r>
              <w:rPr>
                <w:rFonts w:hint="eastAsia"/>
              </w:rPr>
              <w:t>详见第一章“竞争性谈判公告”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708" w:type="dxa"/>
            <w:vAlign w:val="center"/>
          </w:tcPr>
          <w:p>
            <w:pPr>
              <w:jc w:val="center"/>
            </w:pPr>
            <w:r>
              <w:rPr>
                <w:rFonts w:hint="eastAsia"/>
              </w:rPr>
              <w:t>7</w:t>
            </w:r>
          </w:p>
        </w:tc>
        <w:tc>
          <w:tcPr>
            <w:tcW w:w="1701" w:type="dxa"/>
            <w:vAlign w:val="center"/>
          </w:tcPr>
          <w:p>
            <w:pPr>
              <w:jc w:val="center"/>
            </w:pPr>
            <w:r>
              <w:t>踏勘现场</w:t>
            </w:r>
          </w:p>
        </w:tc>
        <w:tc>
          <w:tcPr>
            <w:tcW w:w="7087" w:type="dxa"/>
            <w:vAlign w:val="center"/>
          </w:tcPr>
          <w:p>
            <w:pPr>
              <w:rPr>
                <w:rFonts w:asciiTheme="minorEastAsia"/>
              </w:rPr>
            </w:pPr>
            <w:r>
              <w:rPr>
                <w:rFonts w:hint="eastAsia" w:ascii="MS Mincho" w:hAnsi="MS Mincho" w:eastAsia="MS Mincho" w:cs="MS Mincho"/>
              </w:rPr>
              <w:t>☑</w:t>
            </w:r>
            <w:r>
              <w:rPr>
                <w:rFonts w:asciiTheme="minorEastAsia"/>
              </w:rPr>
              <w:t>自行踏勘。</w:t>
            </w:r>
          </w:p>
          <w:p>
            <w:r>
              <w:t>联系人：</w:t>
            </w:r>
            <w:r>
              <w:rPr>
                <w:rFonts w:hint="eastAsia"/>
              </w:rPr>
              <w:t>林天辉</w:t>
            </w:r>
          </w:p>
          <w:p>
            <w:pPr>
              <w:rPr>
                <w:rFonts w:asciiTheme="minorEastAsia"/>
              </w:rPr>
            </w:pPr>
            <w:r>
              <w:t>联系电话：</w:t>
            </w:r>
            <w:r>
              <w:rPr>
                <w:rFonts w:hint="eastAsia"/>
              </w:rPr>
              <w:t xml:space="preserve">0571- </w:t>
            </w:r>
            <w:r>
              <w:t>83833010</w:t>
            </w:r>
          </w:p>
          <w:p>
            <w:r>
              <w:rPr>
                <w:rFonts w:hint="eastAsia" w:ascii="MS Mincho" w:hAnsi="MS Mincho" w:eastAsia="MS Mincho" w:cs="MS Mincho"/>
              </w:rPr>
              <w:t>□</w:t>
            </w:r>
            <w:r>
              <w:rPr>
                <w:rFonts w:asciiTheme="minorEastAsia"/>
              </w:rPr>
              <w:t>组织。</w:t>
            </w:r>
            <w:r>
              <w:t xml:space="preserve"> 踏勘时间：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708" w:type="dxa"/>
            <w:vAlign w:val="center"/>
          </w:tcPr>
          <w:p>
            <w:pPr>
              <w:jc w:val="center"/>
            </w:pPr>
            <w:r>
              <w:rPr>
                <w:rFonts w:hint="eastAsia"/>
              </w:rPr>
              <w:t>8</w:t>
            </w:r>
          </w:p>
        </w:tc>
        <w:tc>
          <w:tcPr>
            <w:tcW w:w="1701" w:type="dxa"/>
            <w:vAlign w:val="center"/>
          </w:tcPr>
          <w:p>
            <w:pPr>
              <w:jc w:val="center"/>
            </w:pPr>
            <w:r>
              <w:t>答    疑</w:t>
            </w:r>
          </w:p>
        </w:tc>
        <w:tc>
          <w:tcPr>
            <w:tcW w:w="7087" w:type="dxa"/>
            <w:vAlign w:val="center"/>
          </w:tcPr>
          <w:p>
            <w:r>
              <w:rPr>
                <w:rFonts w:hint="eastAsia"/>
              </w:rPr>
              <w:t>谈判响应方</w:t>
            </w:r>
            <w:r>
              <w:t>在收到</w:t>
            </w:r>
            <w:r>
              <w:rPr>
                <w:rFonts w:hint="eastAsia"/>
              </w:rPr>
              <w:t>谈判</w:t>
            </w:r>
            <w:r>
              <w:t>文件后，对</w:t>
            </w:r>
            <w:r>
              <w:rPr>
                <w:rFonts w:hint="eastAsia"/>
              </w:rPr>
              <w:t>谈判</w:t>
            </w:r>
            <w:r>
              <w:t>文件若有疑问，均应在2019年</w:t>
            </w:r>
            <w:r>
              <w:rPr>
                <w:rFonts w:hint="eastAsia"/>
                <w:lang w:val="en-US" w:eastAsia="zh-CN"/>
              </w:rPr>
              <w:t>12</w:t>
            </w:r>
            <w:r>
              <w:t>月</w:t>
            </w:r>
            <w:r>
              <w:rPr>
                <w:rFonts w:hint="eastAsia"/>
              </w:rPr>
              <w:t xml:space="preserve">  </w:t>
            </w:r>
            <w:r>
              <w:rPr>
                <w:rFonts w:hint="eastAsia"/>
                <w:lang w:val="en-US" w:eastAsia="zh-CN"/>
              </w:rPr>
              <w:t>31</w:t>
            </w:r>
            <w:r>
              <w:t>日1</w:t>
            </w:r>
            <w:r>
              <w:rPr>
                <w:rFonts w:hint="eastAsia"/>
              </w:rPr>
              <w:t>2</w:t>
            </w:r>
            <w:r>
              <w:t>:00前以书面形式（盖章）向</w:t>
            </w:r>
            <w:r>
              <w:rPr>
                <w:rFonts w:hint="eastAsia"/>
              </w:rPr>
              <w:t>招标人</w:t>
            </w:r>
            <w:r>
              <w:t>提交，同时电话通知</w:t>
            </w:r>
            <w:r>
              <w:rPr>
                <w:rFonts w:hint="eastAsia"/>
              </w:rPr>
              <w:t>招标人</w:t>
            </w:r>
            <w:r>
              <w:t>。</w:t>
            </w:r>
          </w:p>
          <w:p>
            <w:r>
              <w:rPr>
                <w:rFonts w:hint="eastAsia"/>
              </w:rPr>
              <w:t>澄清、修改的内容影响响应文件编制的，招标人在响应</w:t>
            </w:r>
            <w:r>
              <w:t>截止之日3个工作日前</w:t>
            </w:r>
            <w:r>
              <w:rPr>
                <w:rFonts w:hint="eastAsia"/>
              </w:rPr>
              <w:t>，以补充文件的形式</w:t>
            </w:r>
            <w:r>
              <w:t>发送至各</w:t>
            </w:r>
            <w:r>
              <w:rPr>
                <w:rFonts w:hint="eastAsia"/>
              </w:rPr>
              <w:t>谈判响应方提供的邮箱</w:t>
            </w:r>
            <w:r>
              <w:t>。</w:t>
            </w:r>
            <w:r>
              <w:rPr>
                <w:rFonts w:hint="eastAsia"/>
              </w:rPr>
              <w:t>不足3个工作日的，招标人将顺延递交响应文件截止时间。</w:t>
            </w:r>
          </w:p>
          <w:p>
            <w:r>
              <w:t>联系人：</w:t>
            </w:r>
            <w:r>
              <w:rPr>
                <w:rFonts w:hint="eastAsia"/>
              </w:rPr>
              <w:t>林天辉</w:t>
            </w:r>
            <w:r>
              <w:t>， 联系电话：0571-</w:t>
            </w:r>
            <w:r>
              <w:rPr>
                <w:rFonts w:hint="eastAsia"/>
              </w:rPr>
              <w:t>83833010</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708" w:type="dxa"/>
            <w:vAlign w:val="center"/>
          </w:tcPr>
          <w:p>
            <w:pPr>
              <w:jc w:val="center"/>
            </w:pPr>
            <w:r>
              <w:rPr>
                <w:rFonts w:hint="eastAsia"/>
              </w:rPr>
              <w:t>9</w:t>
            </w:r>
          </w:p>
        </w:tc>
        <w:tc>
          <w:tcPr>
            <w:tcW w:w="1701" w:type="dxa"/>
            <w:vAlign w:val="center"/>
          </w:tcPr>
          <w:p>
            <w:pPr>
              <w:jc w:val="center"/>
              <w:rPr>
                <w:rFonts w:eastAsiaTheme="minorEastAsia"/>
                <w:szCs w:val="21"/>
              </w:rPr>
            </w:pPr>
            <w:r>
              <w:rPr>
                <w:rFonts w:eastAsiaTheme="minorEastAsia"/>
                <w:szCs w:val="21"/>
              </w:rPr>
              <w:t>投标有效期</w:t>
            </w:r>
          </w:p>
        </w:tc>
        <w:tc>
          <w:tcPr>
            <w:tcW w:w="7087" w:type="dxa"/>
            <w:vAlign w:val="center"/>
          </w:tcPr>
          <w:p>
            <w:pPr>
              <w:rPr>
                <w:rFonts w:eastAsiaTheme="minorEastAsia"/>
                <w:szCs w:val="21"/>
              </w:rPr>
            </w:pPr>
            <w:r>
              <w:rPr>
                <w:rFonts w:eastAsiaTheme="minorEastAsia"/>
                <w:szCs w:val="21"/>
              </w:rPr>
              <w:t>90日历天（从响应截止之日算起）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708" w:type="dxa"/>
            <w:vAlign w:val="center"/>
          </w:tcPr>
          <w:p>
            <w:pPr>
              <w:jc w:val="center"/>
            </w:pPr>
            <w:r>
              <w:rPr>
                <w:rFonts w:hint="eastAsia"/>
              </w:rPr>
              <w:t>10</w:t>
            </w:r>
          </w:p>
        </w:tc>
        <w:tc>
          <w:tcPr>
            <w:tcW w:w="1701" w:type="dxa"/>
            <w:vAlign w:val="center"/>
          </w:tcPr>
          <w:p>
            <w:pPr>
              <w:jc w:val="center"/>
              <w:rPr>
                <w:rFonts w:eastAsiaTheme="minorEastAsia"/>
                <w:szCs w:val="21"/>
              </w:rPr>
            </w:pPr>
            <w:r>
              <w:rPr>
                <w:rFonts w:hint="eastAsia"/>
                <w:b/>
              </w:rPr>
              <w:t>▲</w:t>
            </w:r>
            <w:r>
              <w:rPr>
                <w:rFonts w:hint="eastAsia"/>
              </w:rPr>
              <w:t>响应文件份数</w:t>
            </w:r>
          </w:p>
        </w:tc>
        <w:tc>
          <w:tcPr>
            <w:tcW w:w="7087" w:type="dxa"/>
            <w:vAlign w:val="center"/>
          </w:tcPr>
          <w:p>
            <w:pPr>
              <w:rPr>
                <w:rFonts w:eastAsiaTheme="minorEastAsia"/>
                <w:szCs w:val="21"/>
              </w:rPr>
            </w:pPr>
            <w:r>
              <w:rPr>
                <w:rFonts w:eastAsiaTheme="minorEastAsia"/>
                <w:szCs w:val="21"/>
              </w:rPr>
              <w:t>（1）</w:t>
            </w:r>
            <w:r>
              <w:rPr>
                <w:rFonts w:hint="eastAsia" w:eastAsiaTheme="minorEastAsia"/>
                <w:szCs w:val="21"/>
              </w:rPr>
              <w:t>响应</w:t>
            </w:r>
            <w:r>
              <w:rPr>
                <w:rFonts w:eastAsiaTheme="minorEastAsia"/>
                <w:szCs w:val="21"/>
              </w:rPr>
              <w:t>文件正本一份，副本</w:t>
            </w:r>
            <w:r>
              <w:rPr>
                <w:rFonts w:hint="eastAsia" w:eastAsiaTheme="minorEastAsia"/>
                <w:szCs w:val="21"/>
              </w:rPr>
              <w:t>四</w:t>
            </w:r>
            <w:r>
              <w:rPr>
                <w:rFonts w:eastAsiaTheme="minorEastAsia"/>
                <w:szCs w:val="21"/>
              </w:rPr>
              <w:t>份；</w:t>
            </w:r>
          </w:p>
          <w:p>
            <w:pPr>
              <w:rPr>
                <w:rFonts w:eastAsiaTheme="minorEastAsia"/>
                <w:szCs w:val="21"/>
              </w:rPr>
            </w:pPr>
            <w:r>
              <w:rPr>
                <w:rFonts w:eastAsiaTheme="minorEastAsia"/>
                <w:szCs w:val="21"/>
              </w:rPr>
              <w:t>（2）电子版文件一份（光盘或U盘，不退还）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jc w:val="center"/>
        </w:trPr>
        <w:tc>
          <w:tcPr>
            <w:tcW w:w="708" w:type="dxa"/>
            <w:vAlign w:val="center"/>
          </w:tcPr>
          <w:p>
            <w:pPr>
              <w:jc w:val="center"/>
            </w:pPr>
            <w:r>
              <w:rPr>
                <w:rFonts w:hint="eastAsia"/>
              </w:rPr>
              <w:t>11</w:t>
            </w:r>
          </w:p>
        </w:tc>
        <w:tc>
          <w:tcPr>
            <w:tcW w:w="1701" w:type="dxa"/>
            <w:vAlign w:val="center"/>
          </w:tcPr>
          <w:p>
            <w:pPr>
              <w:jc w:val="center"/>
            </w:pPr>
            <w:r>
              <w:rPr>
                <w:rFonts w:hint="eastAsia"/>
              </w:rPr>
              <w:t>谈判</w:t>
            </w:r>
            <w:r>
              <w:rPr>
                <w:rFonts w:eastAsiaTheme="minorEastAsia"/>
                <w:szCs w:val="21"/>
              </w:rPr>
              <w:t>文件提交地点及截止时间</w:t>
            </w:r>
          </w:p>
        </w:tc>
        <w:tc>
          <w:tcPr>
            <w:tcW w:w="7087" w:type="dxa"/>
            <w:vAlign w:val="center"/>
          </w:tcPr>
          <w:p>
            <w:pPr>
              <w:rPr>
                <w:rFonts w:eastAsiaTheme="minorEastAsia"/>
                <w:szCs w:val="21"/>
              </w:rPr>
            </w:pPr>
            <w:r>
              <w:rPr>
                <w:rFonts w:eastAsiaTheme="minorEastAsia"/>
                <w:szCs w:val="21"/>
              </w:rPr>
              <w:t>地点：</w:t>
            </w:r>
            <w:r>
              <w:rPr>
                <w:rFonts w:hint="eastAsia" w:ascii="等线" w:hAnsi="等线" w:cs="Arial"/>
                <w:kern w:val="0"/>
                <w:sz w:val="22"/>
              </w:rPr>
              <w:t>杭州萧山国际机场翔越路综合服务楼园区招标中心</w:t>
            </w:r>
          </w:p>
          <w:p>
            <w:pPr>
              <w:rPr>
                <w:kern w:val="0"/>
              </w:rPr>
            </w:pPr>
            <w:r>
              <w:rPr>
                <w:rFonts w:eastAsiaTheme="minorEastAsia"/>
                <w:szCs w:val="21"/>
              </w:rPr>
              <w:t>截止时间：</w:t>
            </w:r>
            <w:r>
              <w:rPr>
                <w:rFonts w:hint="eastAsia" w:ascii="宋体" w:hAnsi="宋体" w:cs="Arial"/>
                <w:kern w:val="0"/>
                <w:sz w:val="22"/>
              </w:rPr>
              <w:t>2020年 1 月 8  日上午9时00分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 w:hRule="atLeast"/>
          <w:jc w:val="center"/>
        </w:trPr>
        <w:tc>
          <w:tcPr>
            <w:tcW w:w="708" w:type="dxa"/>
            <w:vAlign w:val="center"/>
          </w:tcPr>
          <w:p>
            <w:pPr>
              <w:jc w:val="center"/>
            </w:pPr>
            <w:r>
              <w:rPr>
                <w:rFonts w:hint="eastAsia"/>
              </w:rPr>
              <w:t>12</w:t>
            </w:r>
          </w:p>
        </w:tc>
        <w:tc>
          <w:tcPr>
            <w:tcW w:w="1701" w:type="dxa"/>
            <w:vAlign w:val="center"/>
          </w:tcPr>
          <w:p>
            <w:pPr>
              <w:jc w:val="center"/>
              <w:rPr>
                <w:rFonts w:eastAsiaTheme="minorEastAsia"/>
                <w:szCs w:val="21"/>
              </w:rPr>
            </w:pPr>
            <w:r>
              <w:rPr>
                <w:rFonts w:eastAsiaTheme="minorEastAsia"/>
                <w:szCs w:val="21"/>
              </w:rPr>
              <w:t>开标地点及时间</w:t>
            </w:r>
          </w:p>
        </w:tc>
        <w:tc>
          <w:tcPr>
            <w:tcW w:w="7087" w:type="dxa"/>
            <w:vAlign w:val="center"/>
          </w:tcPr>
          <w:p>
            <w:pPr>
              <w:rPr>
                <w:rFonts w:eastAsiaTheme="minorEastAsia"/>
                <w:szCs w:val="21"/>
              </w:rPr>
            </w:pPr>
            <w:r>
              <w:rPr>
                <w:rFonts w:eastAsiaTheme="minorEastAsia"/>
                <w:szCs w:val="21"/>
              </w:rPr>
              <w:t>地点：</w:t>
            </w:r>
            <w:r>
              <w:rPr>
                <w:rFonts w:hint="eastAsia" w:ascii="等线" w:hAnsi="等线" w:cs="Arial"/>
                <w:kern w:val="0"/>
                <w:sz w:val="22"/>
              </w:rPr>
              <w:t>杭州萧山国际机场翔越路综合服务楼园区招标中心</w:t>
            </w:r>
          </w:p>
          <w:p>
            <w:pPr>
              <w:rPr>
                <w:rFonts w:eastAsiaTheme="minorEastAsia"/>
                <w:szCs w:val="21"/>
              </w:rPr>
            </w:pPr>
            <w:r>
              <w:rPr>
                <w:rFonts w:eastAsiaTheme="minorEastAsia"/>
                <w:szCs w:val="21"/>
              </w:rPr>
              <w:t>截止时间：</w:t>
            </w:r>
            <w:r>
              <w:rPr>
                <w:rFonts w:hint="eastAsia" w:ascii="宋体" w:hAnsi="宋体" w:cs="Arial"/>
                <w:kern w:val="0"/>
                <w:sz w:val="22"/>
              </w:rPr>
              <w:t>2020年 1 月 8  日上午9时00分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8" w:type="dxa"/>
            <w:vAlign w:val="center"/>
          </w:tcPr>
          <w:p>
            <w:pPr>
              <w:jc w:val="center"/>
            </w:pPr>
            <w:r>
              <w:rPr>
                <w:rFonts w:hint="eastAsia"/>
              </w:rPr>
              <w:t>13</w:t>
            </w:r>
          </w:p>
        </w:tc>
        <w:tc>
          <w:tcPr>
            <w:tcW w:w="1701" w:type="dxa"/>
            <w:vAlign w:val="center"/>
          </w:tcPr>
          <w:p>
            <w:pPr>
              <w:jc w:val="center"/>
              <w:rPr>
                <w:rFonts w:eastAsiaTheme="minorEastAsia"/>
                <w:szCs w:val="21"/>
              </w:rPr>
            </w:pPr>
            <w:r>
              <w:rPr>
                <w:rFonts w:hint="eastAsia"/>
              </w:rPr>
              <w:t>评标办法</w:t>
            </w:r>
          </w:p>
        </w:tc>
        <w:tc>
          <w:tcPr>
            <w:tcW w:w="7087" w:type="dxa"/>
            <w:vAlign w:val="center"/>
          </w:tcPr>
          <w:p>
            <w:pPr>
              <w:rPr>
                <w:rFonts w:eastAsiaTheme="minorEastAsia"/>
                <w:szCs w:val="21"/>
              </w:rPr>
            </w:pPr>
            <w:r>
              <w:rPr>
                <w:rFonts w:hint="eastAsia" w:hAnsi="宋体"/>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708" w:type="dxa"/>
            <w:vAlign w:val="center"/>
          </w:tcPr>
          <w:p>
            <w:pPr>
              <w:jc w:val="center"/>
            </w:pPr>
            <w:r>
              <w:rPr>
                <w:rFonts w:hint="eastAsia"/>
              </w:rPr>
              <w:t>14</w:t>
            </w:r>
          </w:p>
        </w:tc>
        <w:tc>
          <w:tcPr>
            <w:tcW w:w="1701" w:type="dxa"/>
            <w:vAlign w:val="center"/>
          </w:tcPr>
          <w:p>
            <w:pPr>
              <w:snapToGrid w:val="0"/>
              <w:spacing w:line="360" w:lineRule="auto"/>
              <w:jc w:val="center"/>
              <w:rPr>
                <w:rFonts w:eastAsiaTheme="minorEastAsia"/>
                <w:szCs w:val="21"/>
              </w:rPr>
            </w:pPr>
            <w:r>
              <w:rPr>
                <w:rFonts w:hint="eastAsia" w:ascii="宋体" w:cs="宋体"/>
                <w:kern w:val="0"/>
                <w:szCs w:val="21"/>
              </w:rPr>
              <w:t>履约担保</w:t>
            </w:r>
          </w:p>
        </w:tc>
        <w:tc>
          <w:tcPr>
            <w:tcW w:w="7087" w:type="dxa"/>
            <w:vAlign w:val="center"/>
          </w:tcPr>
          <w:p>
            <w:pPr>
              <w:snapToGrid w:val="0"/>
              <w:spacing w:line="360" w:lineRule="auto"/>
              <w:rPr>
                <w:rFonts w:ascii="宋体" w:cs="宋体"/>
                <w:kern w:val="0"/>
                <w:szCs w:val="21"/>
              </w:rPr>
            </w:pPr>
            <w:r>
              <w:rPr>
                <w:rFonts w:hint="eastAsia" w:ascii="宋体" w:cs="宋体"/>
                <w:kern w:val="0"/>
                <w:szCs w:val="21"/>
              </w:rPr>
              <w:t>1．担保形式：</w:t>
            </w:r>
            <w:r>
              <w:rPr>
                <w:rFonts w:hint="eastAsia" w:ascii="宋体" w:cs="宋体"/>
                <w:kern w:val="0"/>
                <w:szCs w:val="21"/>
                <w:u w:val="single"/>
              </w:rPr>
              <w:t>现金、银行保函或保险公司保函</w:t>
            </w:r>
            <w:r>
              <w:rPr>
                <w:rFonts w:hint="eastAsia" w:ascii="宋体" w:cs="宋体"/>
                <w:kern w:val="0"/>
                <w:szCs w:val="21"/>
              </w:rPr>
              <w:t>；</w:t>
            </w:r>
          </w:p>
          <w:p>
            <w:pPr>
              <w:snapToGrid w:val="0"/>
              <w:spacing w:line="360" w:lineRule="auto"/>
              <w:rPr>
                <w:rFonts w:ascii="宋体" w:cs="宋体"/>
                <w:kern w:val="0"/>
                <w:szCs w:val="21"/>
              </w:rPr>
            </w:pPr>
            <w:r>
              <w:rPr>
                <w:rFonts w:hint="eastAsia" w:ascii="宋体" w:cs="宋体"/>
                <w:kern w:val="0"/>
                <w:szCs w:val="21"/>
              </w:rPr>
              <w:t>2.担保金额：壹拾万元；</w:t>
            </w:r>
          </w:p>
          <w:p>
            <w:pPr>
              <w:autoSpaceDE w:val="0"/>
              <w:autoSpaceDN w:val="0"/>
              <w:adjustRightInd w:val="0"/>
              <w:spacing w:line="360" w:lineRule="auto"/>
              <w:jc w:val="left"/>
              <w:rPr>
                <w:rFonts w:ascii="宋体" w:cs="宋体"/>
                <w:kern w:val="0"/>
                <w:szCs w:val="21"/>
              </w:rPr>
            </w:pPr>
            <w:r>
              <w:rPr>
                <w:rFonts w:hint="eastAsia" w:ascii="宋体" w:cs="宋体"/>
                <w:kern w:val="0"/>
                <w:szCs w:val="21"/>
              </w:rPr>
              <w:t>3.提交时间: 中标人在收到中标通知书后10个工作日内通过基本账户交纳现金到发包人指定账户或提交具有履约保函资格的银行出具的保函原件；若交纳现金的，可在进账时间之日起30日内用具有履约保函资格的银行出具的保函原件（现金等额）置换。</w:t>
            </w:r>
          </w:p>
          <w:p>
            <w:pPr>
              <w:autoSpaceDE w:val="0"/>
              <w:autoSpaceDN w:val="0"/>
              <w:adjustRightInd w:val="0"/>
              <w:spacing w:line="360" w:lineRule="auto"/>
              <w:jc w:val="left"/>
              <w:rPr>
                <w:rFonts w:ascii="宋体" w:cs="宋体"/>
                <w:kern w:val="0"/>
                <w:szCs w:val="21"/>
              </w:rPr>
            </w:pPr>
            <w:r>
              <w:rPr>
                <w:rFonts w:hint="eastAsia" w:ascii="宋体" w:cs="宋体"/>
                <w:kern w:val="0"/>
                <w:szCs w:val="21"/>
              </w:rPr>
              <w:t>4.退还时间</w:t>
            </w:r>
            <w:r>
              <w:rPr>
                <w:rFonts w:hint="eastAsia" w:ascii="宋体" w:cs="MingLiU"/>
                <w:kern w:val="0"/>
                <w:szCs w:val="21"/>
              </w:rPr>
              <w:t>：委托方与中标方在完成签订合同后5个工作日内退还履约保证金或保函。</w:t>
            </w:r>
          </w:p>
          <w:p>
            <w:pPr>
              <w:spacing w:line="360" w:lineRule="auto"/>
              <w:rPr>
                <w:rFonts w:eastAsiaTheme="minorEastAsia"/>
                <w:szCs w:val="21"/>
              </w:rPr>
            </w:pPr>
            <w:r>
              <w:rPr>
                <w:rFonts w:hint="eastAsia" w:ascii="宋体" w:cs="宋体"/>
                <w:kern w:val="0"/>
                <w:szCs w:val="21"/>
              </w:rPr>
              <w:t>若缴纳履约保证金（或银行保函）后10日内无正当理由拒绝签订合同，将没收投标保证金和履约保证金（或向担保银行申请保函履约），并取消其中标资格。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708" w:type="dxa"/>
            <w:vAlign w:val="center"/>
          </w:tcPr>
          <w:p>
            <w:pPr>
              <w:jc w:val="center"/>
            </w:pPr>
            <w:r>
              <w:rPr>
                <w:rFonts w:hint="eastAsia"/>
              </w:rPr>
              <w:t>15</w:t>
            </w:r>
          </w:p>
        </w:tc>
        <w:tc>
          <w:tcPr>
            <w:tcW w:w="1701" w:type="dxa"/>
            <w:vAlign w:val="center"/>
          </w:tcPr>
          <w:p>
            <w:pPr>
              <w:jc w:val="center"/>
            </w:pPr>
            <w:r>
              <w:t>备注</w:t>
            </w:r>
          </w:p>
        </w:tc>
        <w:tc>
          <w:tcPr>
            <w:tcW w:w="7087" w:type="dxa"/>
            <w:vAlign w:val="center"/>
          </w:tcPr>
          <w:p>
            <w:pPr>
              <w:rPr>
                <w:rFonts w:eastAsiaTheme="minorEastAsia"/>
                <w:szCs w:val="21"/>
              </w:rPr>
            </w:pPr>
            <w:r>
              <w:rPr>
                <w:rFonts w:eastAsiaTheme="minorEastAsia"/>
                <w:szCs w:val="21"/>
              </w:rPr>
              <w:t>本</w:t>
            </w:r>
            <w:r>
              <w:rPr>
                <w:rFonts w:hint="eastAsia"/>
              </w:rPr>
              <w:t>谈判</w:t>
            </w:r>
            <w:r>
              <w:rPr>
                <w:rFonts w:eastAsiaTheme="minorEastAsia"/>
                <w:szCs w:val="21"/>
              </w:rPr>
              <w:t>文件及相应的补充文件、通知等解释权属</w:t>
            </w:r>
            <w:r>
              <w:rPr>
                <w:rFonts w:hint="eastAsia" w:eastAsiaTheme="minorEastAsia"/>
                <w:szCs w:val="21"/>
              </w:rPr>
              <w:t>招标人</w:t>
            </w:r>
            <w:r>
              <w:rPr>
                <w:rFonts w:eastAsiaTheme="minorEastAsia"/>
                <w:szCs w:val="21"/>
              </w:rPr>
              <w:t>。</w:t>
            </w:r>
          </w:p>
        </w:tc>
      </w:tr>
    </w:tbl>
    <w:p>
      <w:pPr>
        <w:spacing w:line="360" w:lineRule="auto"/>
        <w:ind w:firstLine="482"/>
        <w:rPr>
          <w:rFonts w:eastAsiaTheme="minorEastAsia"/>
          <w:b/>
          <w:sz w:val="24"/>
          <w:szCs w:val="24"/>
        </w:rPr>
        <w:sectPr>
          <w:type w:val="nextColumn"/>
          <w:pgSz w:w="11906" w:h="16838"/>
          <w:pgMar w:top="1440" w:right="1080" w:bottom="1440" w:left="1080" w:header="624" w:footer="624" w:gutter="0"/>
          <w:cols w:space="425" w:num="1"/>
          <w:docGrid w:linePitch="312" w:charSpace="0"/>
        </w:sectPr>
      </w:pPr>
    </w:p>
    <w:p>
      <w:pPr>
        <w:pStyle w:val="3"/>
        <w:spacing w:before="120" w:after="120"/>
      </w:pPr>
      <w:bookmarkStart w:id="72" w:name="_Toc12951287"/>
      <w:bookmarkStart w:id="73" w:name="_Toc3993768"/>
      <w:r>
        <w:t xml:space="preserve">1.总  </w:t>
      </w:r>
      <w:r>
        <w:rPr>
          <w:rFonts w:hint="eastAsia"/>
        </w:rPr>
        <w:t xml:space="preserve">  </w:t>
      </w:r>
      <w:r>
        <w:t>则</w:t>
      </w:r>
      <w:bookmarkEnd w:id="72"/>
      <w:bookmarkEnd w:id="73"/>
    </w:p>
    <w:p>
      <w:pPr>
        <w:pStyle w:val="5"/>
      </w:pPr>
      <w:r>
        <w:t>1.1 项目概况</w:t>
      </w:r>
    </w:p>
    <w:p>
      <w:pPr>
        <w:ind w:firstLine="420" w:firstLineChars="200"/>
      </w:pPr>
      <w:r>
        <w:t xml:space="preserve">1.1.1 </w:t>
      </w:r>
      <w:r>
        <w:rPr>
          <w:rFonts w:hint="eastAsia"/>
        </w:rPr>
        <w:t xml:space="preserve">采 购 </w:t>
      </w:r>
      <w:r>
        <w:t>人：</w:t>
      </w:r>
      <w:r>
        <w:rPr>
          <w:rFonts w:hint="eastAsia"/>
        </w:rPr>
        <w:t>浙江空港培训服务咨询有限公司</w:t>
      </w:r>
    </w:p>
    <w:p>
      <w:pPr>
        <w:ind w:firstLine="420" w:firstLineChars="200"/>
        <w:rPr>
          <w:highlight w:val="yellow"/>
        </w:rPr>
      </w:pPr>
      <w:r>
        <w:t>1.1.2 项目名称：</w:t>
      </w:r>
      <w:r>
        <w:rPr>
          <w:rFonts w:hint="eastAsia"/>
        </w:rPr>
        <w:t>杭州机场综合服务楼酒店委托管理服务项目</w:t>
      </w:r>
    </w:p>
    <w:p>
      <w:pPr>
        <w:ind w:firstLine="420" w:firstLineChars="200"/>
      </w:pPr>
      <w:r>
        <w:t>1.1.3 项目地点：</w:t>
      </w:r>
      <w:r>
        <w:rPr>
          <w:rFonts w:hint="eastAsia"/>
          <w:kern w:val="0"/>
        </w:rPr>
        <w:t>杭州萧山国际机场航景路与翔越路交叉口</w:t>
      </w:r>
    </w:p>
    <w:p>
      <w:pPr>
        <w:ind w:firstLine="420" w:firstLineChars="200"/>
      </w:pPr>
      <w:r>
        <w:t>1.1.4 项目建设规模：见</w:t>
      </w:r>
      <w:r>
        <w:rPr>
          <w:rFonts w:hint="eastAsia"/>
        </w:rPr>
        <w:t>响应方须知前附表</w:t>
      </w:r>
    </w:p>
    <w:p>
      <w:pPr>
        <w:pStyle w:val="5"/>
        <w:rPr>
          <w:kern w:val="0"/>
        </w:rPr>
      </w:pPr>
      <w:r>
        <w:rPr>
          <w:rFonts w:hint="eastAsia"/>
          <w:kern w:val="0"/>
        </w:rPr>
        <w:t>1.2 谈判响应方</w:t>
      </w:r>
      <w:r>
        <w:rPr>
          <w:kern w:val="0"/>
        </w:rPr>
        <w:t>资格要求</w:t>
      </w:r>
    </w:p>
    <w:p>
      <w:pPr>
        <w:ind w:firstLine="420" w:firstLineChars="200"/>
        <w:rPr>
          <w:kern w:val="0"/>
        </w:rPr>
      </w:pPr>
      <w:r>
        <w:rPr>
          <w:rFonts w:hint="eastAsia"/>
          <w:kern w:val="0"/>
        </w:rPr>
        <w:t>详见响应方须知前附表。</w:t>
      </w:r>
    </w:p>
    <w:p>
      <w:pPr>
        <w:pStyle w:val="5"/>
      </w:pPr>
      <w:r>
        <w:rPr>
          <w:rFonts w:hint="eastAsia"/>
        </w:rPr>
        <w:t>1.3 费用承担</w:t>
      </w:r>
    </w:p>
    <w:p>
      <w:pPr>
        <w:ind w:firstLine="420" w:firstLineChars="200"/>
        <w:rPr>
          <w:rFonts w:ascii="宋体" w:hAnsi="宋体"/>
          <w:szCs w:val="21"/>
        </w:rPr>
      </w:pPr>
      <w:r>
        <w:rPr>
          <w:rFonts w:hint="eastAsia" w:ascii="宋体" w:hAnsi="宋体"/>
          <w:szCs w:val="21"/>
        </w:rPr>
        <w:t>谈判响应方准备和参加招标活动发生的费用自理。</w:t>
      </w:r>
    </w:p>
    <w:p>
      <w:pPr>
        <w:pStyle w:val="5"/>
      </w:pPr>
      <w:r>
        <w:rPr>
          <w:rFonts w:hint="eastAsia" w:ascii="宋体" w:hAnsi="宋体"/>
          <w:szCs w:val="21"/>
        </w:rPr>
        <w:t>1.4</w:t>
      </w:r>
      <w:r>
        <w:t xml:space="preserve"> 踏勘现场</w:t>
      </w:r>
    </w:p>
    <w:p>
      <w:pPr>
        <w:ind w:firstLine="420" w:firstLineChars="200"/>
      </w:pPr>
      <w:r>
        <w:rPr>
          <w:rFonts w:hint="eastAsia"/>
        </w:rPr>
        <w:t xml:space="preserve">1.4.1 </w:t>
      </w:r>
      <w:r>
        <w:t>响应方须知前附表规定组织踏勘现场的，</w:t>
      </w:r>
      <w:r>
        <w:rPr>
          <w:rFonts w:hint="eastAsia"/>
        </w:rPr>
        <w:t>招标人</w:t>
      </w:r>
      <w:r>
        <w:t>按响应方须知前附表规定的时间、地点组织响应方踏勘项目现场。部分</w:t>
      </w:r>
      <w:r>
        <w:rPr>
          <w:rFonts w:hint="eastAsia"/>
        </w:rPr>
        <w:t>谈判响应方</w:t>
      </w:r>
      <w:r>
        <w:t>未按时参加踏勘现场的，不影响踏勘现场的正常进行。</w:t>
      </w:r>
      <w:r>
        <w:rPr>
          <w:rFonts w:hint="eastAsia"/>
        </w:rPr>
        <w:t>招标人</w:t>
      </w:r>
      <w:r>
        <w:t>不组织踏勘现场的，</w:t>
      </w:r>
      <w:r>
        <w:rPr>
          <w:rFonts w:hint="eastAsia"/>
        </w:rPr>
        <w:t>谈判</w:t>
      </w:r>
      <w:r>
        <w:t>响应方可以自行踏勘现场获取须自己负责的有关编制</w:t>
      </w:r>
      <w:r>
        <w:rPr>
          <w:rFonts w:hint="eastAsia"/>
        </w:rPr>
        <w:t>响应</w:t>
      </w:r>
      <w:r>
        <w:t>文件和签署合同所需的所有资料。</w:t>
      </w:r>
    </w:p>
    <w:p>
      <w:pPr>
        <w:ind w:firstLine="420" w:firstLineChars="200"/>
      </w:pPr>
      <w:r>
        <w:rPr>
          <w:rFonts w:hint="eastAsia"/>
        </w:rPr>
        <w:t>1.4.2 谈判</w:t>
      </w:r>
      <w:r>
        <w:t>响应方踏勘现场发生的费用自理。</w:t>
      </w:r>
    </w:p>
    <w:p>
      <w:pPr>
        <w:ind w:firstLine="420" w:firstLineChars="200"/>
      </w:pPr>
      <w:r>
        <w:rPr>
          <w:rFonts w:hint="eastAsia"/>
        </w:rPr>
        <w:t xml:space="preserve">1.4.3 </w:t>
      </w:r>
      <w:r>
        <w:t>除</w:t>
      </w:r>
      <w:r>
        <w:rPr>
          <w:rFonts w:hint="eastAsia"/>
        </w:rPr>
        <w:t>招标人</w:t>
      </w:r>
      <w:r>
        <w:t>的原因外，</w:t>
      </w:r>
      <w:r>
        <w:rPr>
          <w:rFonts w:hint="eastAsia"/>
        </w:rPr>
        <w:t>谈判</w:t>
      </w:r>
      <w:r>
        <w:t>响应方自行负责在踏勘现场中所发生的人员伤亡和财产损失。</w:t>
      </w:r>
    </w:p>
    <w:p>
      <w:pPr>
        <w:ind w:firstLine="420" w:firstLineChars="200"/>
      </w:pPr>
      <w:r>
        <w:rPr>
          <w:rFonts w:hint="eastAsia"/>
        </w:rPr>
        <w:t>1.4.4 招标人</w:t>
      </w:r>
      <w:r>
        <w:t>在踏勘现场中介绍的工程场地和相关的周边环境情况，供</w:t>
      </w:r>
      <w:r>
        <w:rPr>
          <w:rFonts w:hint="eastAsia"/>
        </w:rPr>
        <w:t>谈判</w:t>
      </w:r>
      <w:r>
        <w:t>响应方在编制</w:t>
      </w:r>
      <w:r>
        <w:rPr>
          <w:rFonts w:hint="eastAsia"/>
        </w:rPr>
        <w:t>谈判</w:t>
      </w:r>
      <w:r>
        <w:t>文件时参考，</w:t>
      </w:r>
      <w:r>
        <w:rPr>
          <w:rFonts w:hint="eastAsia"/>
        </w:rPr>
        <w:t>招标人</w:t>
      </w:r>
      <w:r>
        <w:t>不对</w:t>
      </w:r>
      <w:r>
        <w:rPr>
          <w:rFonts w:hint="eastAsia"/>
        </w:rPr>
        <w:t>谈判响应方</w:t>
      </w:r>
      <w:r>
        <w:t>据此作出的判断和决策负责。</w:t>
      </w:r>
    </w:p>
    <w:p>
      <w:pPr>
        <w:pStyle w:val="3"/>
        <w:spacing w:before="120" w:after="120"/>
      </w:pPr>
      <w:bookmarkStart w:id="74" w:name="_Toc12951288"/>
      <w:r>
        <w:rPr>
          <w:rFonts w:hint="eastAsia"/>
        </w:rPr>
        <w:t>2. 谈判文件</w:t>
      </w:r>
      <w:bookmarkEnd w:id="74"/>
    </w:p>
    <w:p>
      <w:pPr>
        <w:pStyle w:val="5"/>
      </w:pPr>
      <w:r>
        <w:t xml:space="preserve">2.1 </w:t>
      </w:r>
      <w:r>
        <w:rPr>
          <w:rFonts w:hint="eastAsia"/>
        </w:rPr>
        <w:t>谈判</w:t>
      </w:r>
      <w:r>
        <w:t>文件的组成</w:t>
      </w:r>
    </w:p>
    <w:p>
      <w:pPr>
        <w:ind w:firstLine="420" w:firstLineChars="200"/>
        <w:rPr>
          <w:rFonts w:eastAsiaTheme="minorEastAsia"/>
          <w:szCs w:val="21"/>
        </w:rPr>
      </w:pPr>
      <w:r>
        <w:rPr>
          <w:rFonts w:eastAsiaTheme="minorEastAsia"/>
          <w:szCs w:val="21"/>
        </w:rPr>
        <w:t>本</w:t>
      </w:r>
      <w:r>
        <w:rPr>
          <w:rFonts w:hint="eastAsia"/>
        </w:rPr>
        <w:t>谈判</w:t>
      </w:r>
      <w:r>
        <w:rPr>
          <w:rFonts w:eastAsiaTheme="minorEastAsia"/>
          <w:szCs w:val="21"/>
        </w:rPr>
        <w:t>文件包括：</w:t>
      </w:r>
    </w:p>
    <w:p>
      <w:pPr>
        <w:ind w:firstLine="420" w:firstLineChars="200"/>
        <w:rPr>
          <w:rFonts w:eastAsiaTheme="minorEastAsia"/>
          <w:szCs w:val="21"/>
        </w:rPr>
      </w:pPr>
      <w:r>
        <w:rPr>
          <w:rFonts w:eastAsiaTheme="minorEastAsia"/>
          <w:szCs w:val="21"/>
        </w:rPr>
        <w:t>（1）</w:t>
      </w:r>
      <w:r>
        <w:rPr>
          <w:rFonts w:hint="eastAsia" w:eastAsiaTheme="minorEastAsia"/>
          <w:szCs w:val="21"/>
        </w:rPr>
        <w:t>竞争性谈判</w:t>
      </w:r>
      <w:r>
        <w:rPr>
          <w:rFonts w:eastAsiaTheme="minorEastAsia"/>
          <w:szCs w:val="21"/>
        </w:rPr>
        <w:t xml:space="preserve">公告； </w:t>
      </w:r>
    </w:p>
    <w:p>
      <w:pPr>
        <w:ind w:firstLine="420" w:firstLineChars="200"/>
        <w:rPr>
          <w:rFonts w:eastAsiaTheme="minorEastAsia"/>
          <w:szCs w:val="21"/>
        </w:rPr>
      </w:pPr>
      <w:r>
        <w:rPr>
          <w:rFonts w:eastAsiaTheme="minorEastAsia"/>
          <w:szCs w:val="21"/>
        </w:rPr>
        <w:t>（2）项目需求；</w:t>
      </w:r>
    </w:p>
    <w:p>
      <w:pPr>
        <w:ind w:firstLine="420" w:firstLineChars="200"/>
        <w:rPr>
          <w:rFonts w:eastAsiaTheme="minorEastAsia"/>
          <w:szCs w:val="21"/>
        </w:rPr>
      </w:pPr>
      <w:r>
        <w:rPr>
          <w:rFonts w:eastAsiaTheme="minorEastAsia"/>
          <w:szCs w:val="21"/>
        </w:rPr>
        <w:t>（3）</w:t>
      </w:r>
      <w:r>
        <w:rPr>
          <w:rFonts w:hint="eastAsia" w:eastAsiaTheme="minorEastAsia"/>
          <w:szCs w:val="21"/>
        </w:rPr>
        <w:t>响应方</w:t>
      </w:r>
      <w:r>
        <w:rPr>
          <w:rFonts w:eastAsiaTheme="minorEastAsia"/>
          <w:szCs w:val="21"/>
        </w:rPr>
        <w:t>须知；</w:t>
      </w:r>
    </w:p>
    <w:p>
      <w:pPr>
        <w:ind w:firstLine="420" w:firstLineChars="200"/>
        <w:rPr>
          <w:rFonts w:eastAsiaTheme="minorEastAsia"/>
          <w:szCs w:val="21"/>
        </w:rPr>
      </w:pPr>
      <w:r>
        <w:rPr>
          <w:rFonts w:hint="eastAsia" w:eastAsiaTheme="minorEastAsia"/>
          <w:szCs w:val="21"/>
        </w:rPr>
        <w:t>（4）评审办法及评审标准</w:t>
      </w:r>
    </w:p>
    <w:p>
      <w:pPr>
        <w:ind w:firstLine="420" w:firstLineChars="200"/>
        <w:rPr>
          <w:rFonts w:eastAsiaTheme="minorEastAsia"/>
          <w:szCs w:val="21"/>
        </w:rPr>
      </w:pPr>
      <w:r>
        <w:rPr>
          <w:rFonts w:eastAsiaTheme="minorEastAsia"/>
          <w:szCs w:val="21"/>
        </w:rPr>
        <w:t>（</w:t>
      </w:r>
      <w:r>
        <w:rPr>
          <w:rFonts w:hint="eastAsia" w:eastAsiaTheme="minorEastAsia"/>
          <w:szCs w:val="21"/>
        </w:rPr>
        <w:t>5</w:t>
      </w:r>
      <w:r>
        <w:rPr>
          <w:rFonts w:eastAsiaTheme="minorEastAsia"/>
          <w:szCs w:val="21"/>
        </w:rPr>
        <w:t>）合同条款及格式；</w:t>
      </w:r>
    </w:p>
    <w:p>
      <w:pPr>
        <w:ind w:firstLine="420" w:firstLineChars="200"/>
        <w:rPr>
          <w:rFonts w:eastAsiaTheme="minorEastAsia"/>
          <w:szCs w:val="21"/>
        </w:rPr>
      </w:pPr>
      <w:r>
        <w:rPr>
          <w:rFonts w:eastAsiaTheme="minorEastAsia"/>
          <w:szCs w:val="21"/>
        </w:rPr>
        <w:t>（</w:t>
      </w:r>
      <w:r>
        <w:rPr>
          <w:rFonts w:hint="eastAsia" w:eastAsiaTheme="minorEastAsia"/>
          <w:szCs w:val="21"/>
        </w:rPr>
        <w:t>6</w:t>
      </w:r>
      <w:r>
        <w:rPr>
          <w:rFonts w:eastAsiaTheme="minorEastAsia"/>
          <w:szCs w:val="21"/>
        </w:rPr>
        <w:t>）</w:t>
      </w:r>
      <w:r>
        <w:rPr>
          <w:rFonts w:hint="eastAsia" w:eastAsiaTheme="minorEastAsia"/>
          <w:szCs w:val="21"/>
        </w:rPr>
        <w:t>响应</w:t>
      </w:r>
      <w:r>
        <w:rPr>
          <w:rFonts w:eastAsiaTheme="minorEastAsia"/>
          <w:szCs w:val="21"/>
        </w:rPr>
        <w:t>文件格式；</w:t>
      </w:r>
    </w:p>
    <w:p>
      <w:pPr>
        <w:ind w:firstLine="420" w:firstLineChars="200"/>
        <w:rPr>
          <w:rFonts w:eastAsiaTheme="minorEastAsia"/>
          <w:szCs w:val="21"/>
        </w:rPr>
      </w:pPr>
      <w:r>
        <w:rPr>
          <w:rFonts w:eastAsiaTheme="minorEastAsia"/>
          <w:szCs w:val="21"/>
        </w:rPr>
        <w:t>（</w:t>
      </w:r>
      <w:r>
        <w:rPr>
          <w:rFonts w:hint="eastAsia" w:eastAsiaTheme="minorEastAsia"/>
          <w:szCs w:val="21"/>
        </w:rPr>
        <w:t>7</w:t>
      </w:r>
      <w:r>
        <w:rPr>
          <w:rFonts w:eastAsiaTheme="minorEastAsia"/>
          <w:szCs w:val="21"/>
        </w:rPr>
        <w:t>）</w:t>
      </w:r>
      <w:r>
        <w:rPr>
          <w:rFonts w:hint="eastAsia" w:eastAsiaTheme="minorEastAsia"/>
          <w:szCs w:val="21"/>
        </w:rPr>
        <w:t>响应方须知前附表</w:t>
      </w:r>
      <w:r>
        <w:rPr>
          <w:rFonts w:eastAsiaTheme="minorEastAsia"/>
          <w:szCs w:val="21"/>
        </w:rPr>
        <w:t>规定的其他资料。</w:t>
      </w:r>
    </w:p>
    <w:p>
      <w:pPr>
        <w:ind w:firstLine="420" w:firstLineChars="200"/>
        <w:rPr>
          <w:rFonts w:eastAsiaTheme="minorEastAsia"/>
          <w:szCs w:val="21"/>
        </w:rPr>
      </w:pPr>
      <w:r>
        <w:rPr>
          <w:rFonts w:eastAsiaTheme="minorEastAsia"/>
          <w:szCs w:val="21"/>
        </w:rPr>
        <w:t>根据本章第2.2 款和第2.3 款对</w:t>
      </w:r>
      <w:r>
        <w:rPr>
          <w:rFonts w:hint="eastAsia"/>
        </w:rPr>
        <w:t>谈判</w:t>
      </w:r>
      <w:r>
        <w:rPr>
          <w:rFonts w:eastAsiaTheme="minorEastAsia"/>
          <w:szCs w:val="21"/>
        </w:rPr>
        <w:t>文件所作的澄清、修改，构成</w:t>
      </w:r>
      <w:r>
        <w:rPr>
          <w:rFonts w:hint="eastAsia"/>
        </w:rPr>
        <w:t>谈判</w:t>
      </w:r>
      <w:r>
        <w:rPr>
          <w:rFonts w:eastAsiaTheme="minorEastAsia"/>
          <w:szCs w:val="21"/>
        </w:rPr>
        <w:t>文件的组成部分。</w:t>
      </w:r>
    </w:p>
    <w:p>
      <w:pPr>
        <w:pStyle w:val="79"/>
        <w:ind w:firstLine="420"/>
        <w:rPr>
          <w:rFonts w:eastAsiaTheme="minorEastAsia"/>
          <w:szCs w:val="21"/>
          <w:lang w:val="en-US"/>
        </w:rPr>
      </w:pPr>
      <w:r>
        <w:rPr>
          <w:rFonts w:hint="eastAsia"/>
        </w:rPr>
        <w:t>谈判</w:t>
      </w:r>
      <w:r>
        <w:t>文件的澄清或修改等在同一内容的表述上不一致时，以最后发出的书面文件为准。</w:t>
      </w:r>
    </w:p>
    <w:p>
      <w:pPr>
        <w:pStyle w:val="5"/>
      </w:pPr>
      <w:r>
        <w:t>2.2</w:t>
      </w:r>
      <w:r>
        <w:rPr>
          <w:rFonts w:hint="eastAsia"/>
        </w:rPr>
        <w:t>谈判</w:t>
      </w:r>
      <w:r>
        <w:t>文件的澄清</w:t>
      </w:r>
    </w:p>
    <w:p>
      <w:pPr>
        <w:ind w:firstLine="420" w:firstLineChars="200"/>
      </w:pPr>
      <w:r>
        <w:t xml:space="preserve">2.2.1 </w:t>
      </w:r>
      <w:r>
        <w:rPr>
          <w:rFonts w:hint="eastAsia"/>
        </w:rPr>
        <w:t>谈判</w:t>
      </w:r>
      <w:r>
        <w:t>响应方应仔细阅读和检查</w:t>
      </w:r>
      <w:r>
        <w:rPr>
          <w:rFonts w:hint="eastAsia"/>
        </w:rPr>
        <w:t>谈判</w:t>
      </w:r>
      <w:r>
        <w:t>文件的全部内容。如发现缺页或附件不全，应及时向</w:t>
      </w:r>
      <w:r>
        <w:rPr>
          <w:rFonts w:hint="eastAsia"/>
        </w:rPr>
        <w:t>招标人</w:t>
      </w:r>
      <w:r>
        <w:t>提出，以便补齐。如有疑问，应按</w:t>
      </w:r>
      <w:r>
        <w:rPr>
          <w:rFonts w:hint="eastAsia"/>
        </w:rPr>
        <w:t>谈判</w:t>
      </w:r>
      <w:r>
        <w:t>响应方须知前附表规定的时间和形式将提出的问题送达</w:t>
      </w:r>
      <w:r>
        <w:rPr>
          <w:rFonts w:hint="eastAsia"/>
        </w:rPr>
        <w:t>招标人</w:t>
      </w:r>
      <w:r>
        <w:t>，要求</w:t>
      </w:r>
      <w:r>
        <w:rPr>
          <w:rFonts w:hint="eastAsia"/>
        </w:rPr>
        <w:t>招标人</w:t>
      </w:r>
      <w:r>
        <w:t>对</w:t>
      </w:r>
      <w:r>
        <w:rPr>
          <w:rFonts w:hint="eastAsia"/>
        </w:rPr>
        <w:t>谈判</w:t>
      </w:r>
      <w:r>
        <w:t>文件予以澄清。</w:t>
      </w:r>
    </w:p>
    <w:p>
      <w:pPr>
        <w:ind w:firstLine="420" w:firstLineChars="200"/>
      </w:pPr>
      <w:r>
        <w:t xml:space="preserve">2.2.2 </w:t>
      </w:r>
      <w:r>
        <w:rPr>
          <w:rFonts w:hint="eastAsia"/>
        </w:rPr>
        <w:t>谈判</w:t>
      </w:r>
      <w:r>
        <w:t>文件的澄清以书面形式发给所有获得</w:t>
      </w:r>
      <w:r>
        <w:rPr>
          <w:rFonts w:hint="eastAsia"/>
        </w:rPr>
        <w:t>谈判</w:t>
      </w:r>
      <w:r>
        <w:t>文件的</w:t>
      </w:r>
      <w:r>
        <w:rPr>
          <w:rFonts w:hint="eastAsia"/>
        </w:rPr>
        <w:t>谈判</w:t>
      </w:r>
      <w:r>
        <w:t>响应方，但不指明澄清问题的来源。澄清发出的时间距响应截止时间不足</w:t>
      </w:r>
      <w:r>
        <w:rPr>
          <w:rFonts w:hint="eastAsia"/>
        </w:rPr>
        <w:t>3个工作</w:t>
      </w:r>
      <w:r>
        <w:t>日的，并且澄清内容可能影响</w:t>
      </w:r>
      <w:r>
        <w:rPr>
          <w:rFonts w:hint="eastAsia"/>
        </w:rPr>
        <w:t>谈判</w:t>
      </w:r>
      <w:r>
        <w:t>文件编制的，将相应延长响应截止时间。</w:t>
      </w:r>
    </w:p>
    <w:p>
      <w:pPr>
        <w:ind w:firstLine="420" w:firstLineChars="200"/>
      </w:pPr>
      <w:r>
        <w:t>2.2.3 除非</w:t>
      </w:r>
      <w:r>
        <w:rPr>
          <w:rFonts w:hint="eastAsia"/>
        </w:rPr>
        <w:t>招标人</w:t>
      </w:r>
      <w:r>
        <w:t>认为确有必要答复，否则，</w:t>
      </w:r>
      <w:r>
        <w:rPr>
          <w:rFonts w:hint="eastAsia"/>
        </w:rPr>
        <w:t>招标人</w:t>
      </w:r>
      <w:r>
        <w:t>有权拒绝回复</w:t>
      </w:r>
      <w:r>
        <w:rPr>
          <w:rFonts w:hint="eastAsia"/>
        </w:rPr>
        <w:t>谈判</w:t>
      </w:r>
      <w:r>
        <w:t>响应方在</w:t>
      </w:r>
      <w:r>
        <w:rPr>
          <w:rFonts w:hint="eastAsia"/>
        </w:rPr>
        <w:t>谈判</w:t>
      </w:r>
      <w:r>
        <w:t>响应方须知前附表规定的时间后的任何澄清要求。</w:t>
      </w:r>
    </w:p>
    <w:p>
      <w:pPr>
        <w:pStyle w:val="5"/>
      </w:pPr>
      <w:r>
        <w:t xml:space="preserve">2.3 </w:t>
      </w:r>
      <w:r>
        <w:rPr>
          <w:rFonts w:hint="eastAsia"/>
        </w:rPr>
        <w:t>谈判</w:t>
      </w:r>
      <w:r>
        <w:t>文件的修改</w:t>
      </w:r>
    </w:p>
    <w:p>
      <w:pPr>
        <w:ind w:firstLine="420" w:firstLineChars="200"/>
      </w:pPr>
      <w:r>
        <w:rPr>
          <w:rFonts w:hint="eastAsia"/>
        </w:rPr>
        <w:t>招标人</w:t>
      </w:r>
      <w:r>
        <w:t>以书面形式修改</w:t>
      </w:r>
      <w:r>
        <w:rPr>
          <w:rFonts w:hint="eastAsia"/>
        </w:rPr>
        <w:t>谈判</w:t>
      </w:r>
      <w:r>
        <w:t>文件，并通知所有已</w:t>
      </w:r>
      <w:r>
        <w:rPr>
          <w:rFonts w:hint="eastAsia"/>
        </w:rPr>
        <w:t>获得谈判</w:t>
      </w:r>
      <w:r>
        <w:t>文件的</w:t>
      </w:r>
      <w:r>
        <w:rPr>
          <w:rFonts w:hint="eastAsia"/>
        </w:rPr>
        <w:t>谈判</w:t>
      </w:r>
      <w:r>
        <w:t>响应方。修改</w:t>
      </w:r>
      <w:r>
        <w:rPr>
          <w:rFonts w:hint="eastAsia"/>
        </w:rPr>
        <w:t>谈判</w:t>
      </w:r>
      <w:r>
        <w:t>文件的时间距响应截止时间不足</w:t>
      </w:r>
      <w:r>
        <w:rPr>
          <w:rFonts w:hint="eastAsia"/>
        </w:rPr>
        <w:t>3个工作</w:t>
      </w:r>
      <w:r>
        <w:t>日的，并且修改内容可能影响</w:t>
      </w:r>
      <w:r>
        <w:rPr>
          <w:rFonts w:hint="eastAsia"/>
        </w:rPr>
        <w:t>谈判</w:t>
      </w:r>
      <w:r>
        <w:t>文件编制的，将相应延长响应截止时间。</w:t>
      </w:r>
    </w:p>
    <w:p>
      <w:pPr>
        <w:pStyle w:val="3"/>
        <w:spacing w:before="120" w:after="120"/>
      </w:pPr>
      <w:bookmarkStart w:id="75" w:name="_Toc12951289"/>
      <w:bookmarkStart w:id="76" w:name="_Toc3993770"/>
      <w:r>
        <w:t>3.</w:t>
      </w:r>
      <w:r>
        <w:rPr>
          <w:rFonts w:hint="eastAsia"/>
        </w:rPr>
        <w:t>响应</w:t>
      </w:r>
      <w:r>
        <w:t>文件</w:t>
      </w:r>
      <w:bookmarkEnd w:id="75"/>
      <w:bookmarkEnd w:id="76"/>
    </w:p>
    <w:p>
      <w:pPr>
        <w:pStyle w:val="5"/>
        <w:rPr>
          <w:rStyle w:val="60"/>
          <w:bCs w:val="0"/>
          <w:color w:val="auto"/>
        </w:rPr>
      </w:pPr>
      <w:r>
        <w:t xml:space="preserve">3.1 </w:t>
      </w:r>
      <w:r>
        <w:rPr>
          <w:rFonts w:hint="eastAsia"/>
        </w:rPr>
        <w:t>响应</w:t>
      </w:r>
      <w:r>
        <w:t>文件的组成</w:t>
      </w:r>
    </w:p>
    <w:p>
      <w:pPr>
        <w:ind w:firstLine="420" w:firstLineChars="200"/>
      </w:pPr>
      <w:r>
        <w:rPr>
          <w:rFonts w:hint="eastAsia"/>
        </w:rPr>
        <w:t xml:space="preserve">3.1.1 </w:t>
      </w:r>
      <w:r>
        <w:rPr>
          <w:rFonts w:hint="eastAsia"/>
          <w:b/>
          <w:bCs/>
        </w:rPr>
        <w:t>商务文件</w:t>
      </w:r>
      <w:r>
        <w:t>应包括</w:t>
      </w:r>
      <w:r>
        <w:rPr>
          <w:rFonts w:hint="eastAsia"/>
        </w:rPr>
        <w:t>（但不限于）</w:t>
      </w:r>
      <w:r>
        <w:t>下列内容：</w:t>
      </w:r>
    </w:p>
    <w:p>
      <w:pPr>
        <w:ind w:firstLine="420" w:firstLineChars="200"/>
        <w:rPr>
          <w:rFonts w:hAnsiTheme="minorEastAsia"/>
          <w:kern w:val="0"/>
        </w:rPr>
      </w:pPr>
      <w:r>
        <w:rPr>
          <w:rFonts w:hAnsiTheme="minorEastAsia"/>
          <w:kern w:val="0"/>
        </w:rPr>
        <w:t>（</w:t>
      </w:r>
      <w:r>
        <w:rPr>
          <w:kern w:val="0"/>
        </w:rPr>
        <w:t>1</w:t>
      </w:r>
      <w:r>
        <w:rPr>
          <w:rFonts w:hAnsiTheme="minorEastAsia"/>
          <w:kern w:val="0"/>
        </w:rPr>
        <w:t>）</w:t>
      </w:r>
      <w:r>
        <w:rPr>
          <w:rFonts w:hint="eastAsia" w:hAnsiTheme="minorEastAsia"/>
          <w:kern w:val="0"/>
        </w:rPr>
        <w:t>响应</w:t>
      </w:r>
      <w:r>
        <w:rPr>
          <w:rFonts w:hAnsiTheme="minorEastAsia"/>
          <w:kern w:val="0"/>
        </w:rPr>
        <w:t>函；</w:t>
      </w:r>
    </w:p>
    <w:p>
      <w:pPr>
        <w:pStyle w:val="79"/>
        <w:ind w:firstLine="420"/>
      </w:pPr>
      <w:r>
        <w:t>（2）法定代表人身份证明；</w:t>
      </w:r>
    </w:p>
    <w:p>
      <w:pPr>
        <w:pStyle w:val="79"/>
        <w:ind w:firstLine="420"/>
      </w:pPr>
      <w:r>
        <w:t>（3）</w:t>
      </w:r>
      <w:r>
        <w:rPr>
          <w:rFonts w:hint="eastAsia"/>
        </w:rPr>
        <w:t>法人代表授权委托书</w:t>
      </w:r>
      <w:r>
        <w:t>；</w:t>
      </w:r>
    </w:p>
    <w:p>
      <w:pPr>
        <w:ind w:firstLine="420" w:firstLineChars="200"/>
        <w:rPr>
          <w:kern w:val="0"/>
        </w:rPr>
      </w:pPr>
      <w:r>
        <w:rPr>
          <w:rFonts w:hAnsiTheme="minorEastAsia"/>
          <w:kern w:val="0"/>
        </w:rPr>
        <w:t>（</w:t>
      </w:r>
      <w:r>
        <w:rPr>
          <w:rFonts w:hint="eastAsia"/>
          <w:kern w:val="0"/>
        </w:rPr>
        <w:t>4</w:t>
      </w:r>
      <w:r>
        <w:rPr>
          <w:rFonts w:hAnsiTheme="minorEastAsia"/>
          <w:kern w:val="0"/>
        </w:rPr>
        <w:t>）报价</w:t>
      </w:r>
      <w:r>
        <w:rPr>
          <w:rFonts w:hint="eastAsia" w:hAnsiTheme="minorEastAsia"/>
          <w:kern w:val="0"/>
        </w:rPr>
        <w:t>一览</w:t>
      </w:r>
      <w:r>
        <w:rPr>
          <w:rFonts w:hAnsiTheme="minorEastAsia"/>
          <w:kern w:val="0"/>
        </w:rPr>
        <w:t>表；</w:t>
      </w:r>
    </w:p>
    <w:p>
      <w:pPr>
        <w:ind w:firstLine="420" w:firstLineChars="200"/>
        <w:rPr>
          <w:rFonts w:hAnsiTheme="minorEastAsia"/>
          <w:kern w:val="0"/>
          <w:sz w:val="18"/>
        </w:rPr>
      </w:pPr>
      <w:r>
        <w:rPr>
          <w:rFonts w:hint="eastAsia" w:eastAsiaTheme="minorEastAsia"/>
          <w:szCs w:val="24"/>
        </w:rPr>
        <w:t>（5）</w:t>
      </w:r>
      <w:r>
        <w:rPr>
          <w:rFonts w:eastAsiaTheme="minorEastAsia"/>
          <w:szCs w:val="24"/>
        </w:rPr>
        <w:t>针对报价需要说明的其他材料。</w:t>
      </w:r>
    </w:p>
    <w:p>
      <w:pPr>
        <w:ind w:firstLine="420" w:firstLineChars="200"/>
        <w:rPr>
          <w:rFonts w:hAnsiTheme="minorEastAsia"/>
          <w:kern w:val="0"/>
        </w:rPr>
      </w:pPr>
      <w:r>
        <w:t>3.1.</w:t>
      </w:r>
      <w:r>
        <w:rPr>
          <w:rFonts w:hint="eastAsia"/>
        </w:rPr>
        <w:t>2</w:t>
      </w:r>
      <w:r>
        <w:rPr>
          <w:rFonts w:hint="eastAsia"/>
          <w:b/>
          <w:bCs/>
        </w:rPr>
        <w:t>资信文件</w:t>
      </w:r>
      <w:r>
        <w:t>应包括</w:t>
      </w:r>
      <w:r>
        <w:rPr>
          <w:rFonts w:hint="eastAsia"/>
        </w:rPr>
        <w:t>（但不限于）</w:t>
      </w:r>
      <w:r>
        <w:t>下列内容：</w:t>
      </w:r>
    </w:p>
    <w:p>
      <w:pPr>
        <w:ind w:firstLine="420" w:firstLineChars="200"/>
        <w:rPr>
          <w:kern w:val="0"/>
        </w:rPr>
      </w:pPr>
      <w:r>
        <w:rPr>
          <w:rFonts w:hint="eastAsia" w:hAnsiTheme="minorEastAsia"/>
          <w:kern w:val="0"/>
        </w:rPr>
        <w:t>（1）</w:t>
      </w:r>
      <w:r>
        <w:rPr>
          <w:rFonts w:hint="eastAsia"/>
        </w:rPr>
        <w:t>谈判响应方基本情况：谈判响应方基本情况表、</w:t>
      </w:r>
      <w:r>
        <w:t>企业营业执照、</w:t>
      </w:r>
      <w:r>
        <w:rPr>
          <w:rFonts w:hint="eastAsia"/>
        </w:rPr>
        <w:t>相应证书、获奖证书等</w:t>
      </w:r>
      <w:r>
        <w:t>；</w:t>
      </w:r>
      <w:r>
        <w:rPr>
          <w:kern w:val="0"/>
        </w:rPr>
        <w:t xml:space="preserve"> </w:t>
      </w:r>
    </w:p>
    <w:p>
      <w:pPr>
        <w:ind w:firstLine="420" w:firstLineChars="200"/>
      </w:pPr>
      <w:r>
        <w:rPr>
          <w:rFonts w:hint="eastAsia"/>
        </w:rPr>
        <w:t>（2）通过信用中国网站www.creditchina.gov.cn 查询，查询结果以网站页面显示内容为准，提供查询结果并加盖投标人公章作为证明材料）。</w:t>
      </w:r>
    </w:p>
    <w:p>
      <w:pPr>
        <w:ind w:firstLine="420" w:firstLineChars="200"/>
      </w:pPr>
      <w:r>
        <w:rPr>
          <w:rFonts w:hint="eastAsia"/>
        </w:rPr>
        <w:t>（3）无行贿犯罪记录(通过中国裁判文书网http://wenshu.court.gov.cn查询，查询结果以网站页面显示内容为准，投标时需提供查询结果并加盖投标人公章作为证明材料)。</w:t>
      </w:r>
    </w:p>
    <w:p>
      <w:pPr>
        <w:ind w:firstLine="420" w:firstLineChars="200"/>
        <w:rPr>
          <w:kern w:val="0"/>
        </w:rPr>
      </w:pPr>
      <w:r>
        <w:rPr>
          <w:rFonts w:hint="eastAsia" w:hAnsiTheme="minorEastAsia"/>
          <w:kern w:val="0"/>
        </w:rPr>
        <w:t>（4）满足公告要求的业绩</w:t>
      </w:r>
      <w:r>
        <w:rPr>
          <w:rFonts w:hint="eastAsia"/>
        </w:rPr>
        <w:t>（需提供合同复印件，原件备查）；</w:t>
      </w:r>
      <w:r>
        <w:rPr>
          <w:kern w:val="0"/>
        </w:rPr>
        <w:t xml:space="preserve"> </w:t>
      </w:r>
    </w:p>
    <w:p>
      <w:pPr>
        <w:ind w:firstLine="420" w:firstLineChars="200"/>
        <w:rPr>
          <w:rFonts w:eastAsiaTheme="minorEastAsia"/>
          <w:szCs w:val="21"/>
        </w:rPr>
      </w:pPr>
      <w:r>
        <w:rPr>
          <w:rFonts w:hint="eastAsia" w:hAnsiTheme="minorEastAsia"/>
          <w:kern w:val="0"/>
          <w:szCs w:val="21"/>
        </w:rPr>
        <w:t>（5）</w:t>
      </w:r>
      <w:r>
        <w:rPr>
          <w:rFonts w:hint="eastAsia" w:eastAsiaTheme="minorEastAsia"/>
          <w:szCs w:val="21"/>
        </w:rPr>
        <w:t>谈判响应方</w:t>
      </w:r>
      <w:r>
        <w:rPr>
          <w:rFonts w:eastAsiaTheme="minorEastAsia"/>
          <w:szCs w:val="21"/>
        </w:rPr>
        <w:t>认为需要提供的其他资料</w:t>
      </w:r>
      <w:r>
        <w:rPr>
          <w:rFonts w:hint="eastAsia" w:eastAsiaTheme="minorEastAsia"/>
          <w:szCs w:val="21"/>
        </w:rPr>
        <w:t>（如与评分关的其它资料）</w:t>
      </w:r>
      <w:r>
        <w:rPr>
          <w:rFonts w:eastAsiaTheme="minorEastAsia"/>
          <w:szCs w:val="21"/>
        </w:rPr>
        <w:t>。</w:t>
      </w:r>
    </w:p>
    <w:p>
      <w:pPr>
        <w:pStyle w:val="79"/>
        <w:ind w:firstLine="422"/>
        <w:rPr>
          <w:lang w:val="en-US"/>
        </w:rPr>
      </w:pPr>
      <w:r>
        <w:rPr>
          <w:rFonts w:hint="eastAsia"/>
          <w:b/>
        </w:rPr>
        <w:t>（以上材料如为复印件，需加盖公章）</w:t>
      </w:r>
    </w:p>
    <w:p>
      <w:pPr>
        <w:ind w:firstLine="420" w:firstLineChars="200"/>
      </w:pPr>
      <w:r>
        <w:t>3.1.</w:t>
      </w:r>
      <w:r>
        <w:rPr>
          <w:rFonts w:hint="eastAsia"/>
        </w:rPr>
        <w:t>3</w:t>
      </w:r>
      <w:r>
        <w:rPr>
          <w:rFonts w:hint="eastAsia"/>
          <w:b/>
          <w:bCs/>
        </w:rPr>
        <w:t>技术文件</w:t>
      </w:r>
      <w:r>
        <w:t>应包括</w:t>
      </w:r>
      <w:r>
        <w:rPr>
          <w:rFonts w:hint="eastAsia"/>
        </w:rPr>
        <w:t>（但不限于）</w:t>
      </w:r>
      <w:r>
        <w:t>下列内容：</w:t>
      </w:r>
    </w:p>
    <w:p>
      <w:pPr>
        <w:numPr>
          <w:ilvl w:val="0"/>
          <w:numId w:val="6"/>
        </w:numPr>
        <w:ind w:left="640" w:firstLine="0"/>
        <w:rPr>
          <w:rFonts w:hAnsiTheme="minorEastAsia"/>
          <w:kern w:val="0"/>
          <w:szCs w:val="22"/>
        </w:rPr>
      </w:pPr>
      <w:r>
        <w:rPr>
          <w:rFonts w:hint="eastAsia" w:hAnsiTheme="minorEastAsia"/>
          <w:kern w:val="0"/>
          <w:szCs w:val="22"/>
        </w:rPr>
        <w:t>总体方案说明；</w:t>
      </w:r>
    </w:p>
    <w:p>
      <w:pPr>
        <w:numPr>
          <w:ilvl w:val="0"/>
          <w:numId w:val="6"/>
        </w:numPr>
        <w:ind w:left="640" w:firstLine="0"/>
        <w:rPr>
          <w:rFonts w:hAnsiTheme="minorEastAsia"/>
          <w:kern w:val="0"/>
          <w:szCs w:val="22"/>
        </w:rPr>
      </w:pPr>
      <w:r>
        <w:rPr>
          <w:rFonts w:hint="eastAsia" w:hAnsiTheme="minorEastAsia"/>
          <w:kern w:val="0"/>
          <w:szCs w:val="22"/>
        </w:rPr>
        <w:t>前期技术咨询与运营方案；</w:t>
      </w:r>
    </w:p>
    <w:p>
      <w:pPr>
        <w:numPr>
          <w:ilvl w:val="0"/>
          <w:numId w:val="6"/>
        </w:numPr>
        <w:ind w:left="640" w:firstLine="0"/>
        <w:rPr>
          <w:rFonts w:hAnsiTheme="minorEastAsia"/>
          <w:kern w:val="0"/>
          <w:szCs w:val="22"/>
        </w:rPr>
      </w:pPr>
      <w:r>
        <w:rPr>
          <w:rFonts w:hint="eastAsia" w:hAnsiTheme="minorEastAsia"/>
          <w:kern w:val="0"/>
          <w:szCs w:val="22"/>
        </w:rPr>
        <w:t>培训住宿、商务住宿服务方案（含相关礼仪服务）；</w:t>
      </w:r>
    </w:p>
    <w:p>
      <w:pPr>
        <w:numPr>
          <w:ilvl w:val="0"/>
          <w:numId w:val="6"/>
        </w:numPr>
        <w:ind w:left="640" w:firstLine="0"/>
        <w:rPr>
          <w:rFonts w:hAnsiTheme="minorEastAsia"/>
          <w:kern w:val="0"/>
          <w:szCs w:val="22"/>
        </w:rPr>
      </w:pPr>
      <w:r>
        <w:rPr>
          <w:rFonts w:hint="eastAsia" w:hAnsiTheme="minorEastAsia"/>
          <w:kern w:val="0"/>
          <w:szCs w:val="22"/>
        </w:rPr>
        <w:t>针对本项目的合理化建议、重难点分析及解决措施；</w:t>
      </w:r>
    </w:p>
    <w:p>
      <w:pPr>
        <w:numPr>
          <w:ilvl w:val="0"/>
          <w:numId w:val="6"/>
        </w:numPr>
        <w:ind w:left="640" w:firstLine="0"/>
        <w:rPr>
          <w:rFonts w:hAnsiTheme="minorEastAsia"/>
          <w:kern w:val="0"/>
          <w:szCs w:val="22"/>
        </w:rPr>
      </w:pPr>
      <w:r>
        <w:rPr>
          <w:rFonts w:hint="eastAsia" w:eastAsiaTheme="minorEastAsia"/>
          <w:szCs w:val="21"/>
        </w:rPr>
        <w:t>谈判响应方</w:t>
      </w:r>
      <w:r>
        <w:rPr>
          <w:rFonts w:eastAsiaTheme="minorEastAsia"/>
          <w:szCs w:val="21"/>
        </w:rPr>
        <w:t>认为需要提供的其他资料</w:t>
      </w:r>
      <w:r>
        <w:rPr>
          <w:rFonts w:hint="eastAsia" w:eastAsiaTheme="minorEastAsia"/>
          <w:szCs w:val="21"/>
        </w:rPr>
        <w:t>（如与评分关的其它资料）。</w:t>
      </w:r>
    </w:p>
    <w:p>
      <w:pPr>
        <w:pStyle w:val="5"/>
        <w:ind w:firstLine="422" w:firstLineChars="200"/>
      </w:pPr>
      <w:r>
        <w:rPr>
          <w:rFonts w:hint="eastAsia"/>
        </w:rPr>
        <w:t>3.2谈判报价</w:t>
      </w:r>
    </w:p>
    <w:p>
      <w:pPr>
        <w:autoSpaceDE w:val="0"/>
        <w:autoSpaceDN w:val="0"/>
        <w:ind w:firstLine="420" w:firstLineChars="200"/>
        <w:jc w:val="left"/>
        <w:rPr>
          <w:rFonts w:eastAsiaTheme="minorEastAsia"/>
          <w:szCs w:val="21"/>
        </w:rPr>
      </w:pPr>
      <w:r>
        <w:rPr>
          <w:rFonts w:eastAsiaTheme="minorEastAsia"/>
          <w:szCs w:val="21"/>
        </w:rPr>
        <w:t xml:space="preserve">3.2.1 </w:t>
      </w:r>
      <w:r>
        <w:rPr>
          <w:rFonts w:hint="eastAsia" w:eastAsiaTheme="minorEastAsia"/>
          <w:szCs w:val="21"/>
        </w:rPr>
        <w:t>谈判</w:t>
      </w:r>
      <w:r>
        <w:rPr>
          <w:rFonts w:eastAsiaTheme="minorEastAsia"/>
          <w:szCs w:val="21"/>
        </w:rPr>
        <w:t>响应方应按“</w:t>
      </w:r>
      <w:r>
        <w:rPr>
          <w:rFonts w:hint="eastAsia"/>
        </w:rPr>
        <w:t>谈判</w:t>
      </w:r>
      <w:r>
        <w:rPr>
          <w:rFonts w:eastAsiaTheme="minorEastAsia"/>
          <w:szCs w:val="21"/>
        </w:rPr>
        <w:t>文件格式”的要求</w:t>
      </w:r>
      <w:r>
        <w:rPr>
          <w:rFonts w:hint="eastAsia" w:eastAsiaTheme="minorEastAsia"/>
          <w:szCs w:val="21"/>
        </w:rPr>
        <w:t>填写相应表格</w:t>
      </w:r>
      <w:r>
        <w:rPr>
          <w:rFonts w:eastAsiaTheme="minorEastAsia"/>
          <w:szCs w:val="21"/>
        </w:rPr>
        <w:t>。</w:t>
      </w:r>
    </w:p>
    <w:p>
      <w:pPr>
        <w:autoSpaceDE w:val="0"/>
        <w:autoSpaceDN w:val="0"/>
        <w:ind w:firstLine="420" w:firstLineChars="200"/>
        <w:jc w:val="left"/>
        <w:rPr>
          <w:rFonts w:eastAsiaTheme="minorEastAsia"/>
          <w:szCs w:val="21"/>
        </w:rPr>
      </w:pPr>
      <w:r>
        <w:rPr>
          <w:rFonts w:eastAsiaTheme="minorEastAsia"/>
          <w:szCs w:val="21"/>
        </w:rPr>
        <w:t xml:space="preserve">3.2.2 </w:t>
      </w:r>
      <w:r>
        <w:rPr>
          <w:rFonts w:hint="eastAsia" w:eastAsiaTheme="minorEastAsia"/>
          <w:szCs w:val="21"/>
        </w:rPr>
        <w:t>谈判</w:t>
      </w:r>
      <w:r>
        <w:rPr>
          <w:rFonts w:eastAsiaTheme="minorEastAsia"/>
          <w:szCs w:val="21"/>
        </w:rPr>
        <w:t>响应方应充分了解该项目的总体情况以及影响竞争性</w:t>
      </w:r>
      <w:r>
        <w:rPr>
          <w:rFonts w:hint="eastAsia" w:eastAsiaTheme="minorEastAsia"/>
          <w:szCs w:val="21"/>
        </w:rPr>
        <w:t>谈判</w:t>
      </w:r>
      <w:r>
        <w:rPr>
          <w:rFonts w:eastAsiaTheme="minorEastAsia"/>
          <w:szCs w:val="21"/>
        </w:rPr>
        <w:t>报价的其他要素。</w:t>
      </w:r>
    </w:p>
    <w:p>
      <w:pPr>
        <w:pStyle w:val="79"/>
        <w:ind w:firstLine="420"/>
        <w:rPr>
          <w:rFonts w:eastAsiaTheme="minorEastAsia"/>
          <w:szCs w:val="21"/>
        </w:rPr>
      </w:pPr>
      <w:r>
        <w:rPr>
          <w:rFonts w:eastAsiaTheme="minorEastAsia"/>
          <w:szCs w:val="21"/>
        </w:rPr>
        <w:t xml:space="preserve">3.2.3 </w:t>
      </w:r>
      <w:r>
        <w:rPr>
          <w:rFonts w:hint="eastAsia" w:eastAsiaTheme="minorEastAsia"/>
          <w:szCs w:val="21"/>
        </w:rPr>
        <w:t>谈判</w:t>
      </w:r>
      <w:r>
        <w:rPr>
          <w:rFonts w:eastAsiaTheme="minorEastAsia"/>
          <w:szCs w:val="21"/>
        </w:rPr>
        <w:t>响应方在响应截止时间前修改响应函中的竞争性</w:t>
      </w:r>
      <w:r>
        <w:rPr>
          <w:rFonts w:hint="eastAsia" w:eastAsiaTheme="minorEastAsia"/>
          <w:szCs w:val="21"/>
        </w:rPr>
        <w:t>谈判</w:t>
      </w:r>
      <w:r>
        <w:rPr>
          <w:rFonts w:eastAsiaTheme="minorEastAsia"/>
          <w:szCs w:val="21"/>
        </w:rPr>
        <w:t>报价总额，此修改须符合本章第4.3 款的有关要求。</w:t>
      </w:r>
    </w:p>
    <w:p>
      <w:pPr>
        <w:autoSpaceDE w:val="0"/>
        <w:autoSpaceDN w:val="0"/>
        <w:ind w:firstLine="420" w:firstLineChars="200"/>
        <w:jc w:val="left"/>
        <w:rPr>
          <w:rFonts w:eastAsiaTheme="minorEastAsia"/>
          <w:szCs w:val="21"/>
        </w:rPr>
      </w:pPr>
      <w:r>
        <w:rPr>
          <w:rFonts w:eastAsiaTheme="minorEastAsia"/>
          <w:szCs w:val="21"/>
        </w:rPr>
        <w:t xml:space="preserve">3.2.4 </w:t>
      </w:r>
      <w:r>
        <w:rPr>
          <w:rFonts w:hint="eastAsia" w:eastAsiaTheme="minorEastAsia"/>
          <w:szCs w:val="21"/>
        </w:rPr>
        <w:t>招标人</w:t>
      </w:r>
      <w:r>
        <w:rPr>
          <w:rFonts w:eastAsiaTheme="minorEastAsia"/>
          <w:szCs w:val="21"/>
        </w:rPr>
        <w:t>设有最高投标限价的，</w:t>
      </w:r>
      <w:r>
        <w:rPr>
          <w:rFonts w:hint="eastAsia" w:eastAsiaTheme="minorEastAsia"/>
          <w:szCs w:val="21"/>
        </w:rPr>
        <w:t>谈判</w:t>
      </w:r>
      <w:r>
        <w:rPr>
          <w:rFonts w:eastAsiaTheme="minorEastAsia"/>
          <w:szCs w:val="21"/>
        </w:rPr>
        <w:t>响应方的竞争性</w:t>
      </w:r>
      <w:r>
        <w:rPr>
          <w:rFonts w:hint="eastAsia" w:eastAsiaTheme="minorEastAsia"/>
          <w:szCs w:val="21"/>
        </w:rPr>
        <w:t>谈判</w:t>
      </w:r>
      <w:r>
        <w:rPr>
          <w:rFonts w:eastAsiaTheme="minorEastAsia"/>
          <w:szCs w:val="21"/>
        </w:rPr>
        <w:t>报价不得超过最高投标限价，最高投标限价在</w:t>
      </w:r>
      <w:r>
        <w:rPr>
          <w:rFonts w:hint="eastAsia" w:eastAsiaTheme="minorEastAsia"/>
          <w:b/>
          <w:bCs/>
          <w:szCs w:val="21"/>
        </w:rPr>
        <w:t>《第二章 项目需求》</w:t>
      </w:r>
      <w:r>
        <w:rPr>
          <w:rFonts w:eastAsiaTheme="minorEastAsia"/>
          <w:b/>
          <w:szCs w:val="21"/>
        </w:rPr>
        <w:t>中载明。</w:t>
      </w:r>
    </w:p>
    <w:p>
      <w:pPr>
        <w:autoSpaceDE w:val="0"/>
        <w:autoSpaceDN w:val="0"/>
        <w:ind w:firstLine="420" w:firstLineChars="200"/>
        <w:jc w:val="left"/>
        <w:rPr>
          <w:rFonts w:eastAsiaTheme="minorEastAsia"/>
          <w:szCs w:val="21"/>
        </w:rPr>
      </w:pPr>
      <w:r>
        <w:rPr>
          <w:rFonts w:eastAsiaTheme="minorEastAsia"/>
          <w:szCs w:val="21"/>
        </w:rPr>
        <w:t>3.2.5</w:t>
      </w:r>
      <w:r>
        <w:rPr>
          <w:rFonts w:hint="eastAsia" w:eastAsiaTheme="minorEastAsia"/>
          <w:szCs w:val="21"/>
        </w:rPr>
        <w:t xml:space="preserve"> 谈判</w:t>
      </w:r>
      <w:r>
        <w:rPr>
          <w:rFonts w:eastAsiaTheme="minorEastAsia"/>
          <w:szCs w:val="21"/>
        </w:rPr>
        <w:t>报价有算术错误及其他错误的，</w:t>
      </w:r>
      <w:r>
        <w:rPr>
          <w:rFonts w:hint="eastAsia" w:eastAsiaTheme="minorEastAsia"/>
          <w:szCs w:val="21"/>
        </w:rPr>
        <w:t>谈判</w:t>
      </w:r>
      <w:r>
        <w:rPr>
          <w:rFonts w:eastAsiaTheme="minorEastAsia"/>
          <w:szCs w:val="21"/>
        </w:rPr>
        <w:t>小组按以下原则要求</w:t>
      </w:r>
      <w:r>
        <w:rPr>
          <w:rFonts w:hint="eastAsia" w:eastAsiaTheme="minorEastAsia"/>
          <w:szCs w:val="21"/>
        </w:rPr>
        <w:t>谈判</w:t>
      </w:r>
      <w:r>
        <w:rPr>
          <w:rFonts w:eastAsiaTheme="minorEastAsia"/>
          <w:szCs w:val="21"/>
        </w:rPr>
        <w:t>响应方对竞争性</w:t>
      </w:r>
      <w:r>
        <w:rPr>
          <w:rFonts w:hint="eastAsia" w:eastAsiaTheme="minorEastAsia"/>
          <w:szCs w:val="21"/>
        </w:rPr>
        <w:t>谈判</w:t>
      </w:r>
      <w:r>
        <w:rPr>
          <w:rFonts w:eastAsiaTheme="minorEastAsia"/>
          <w:szCs w:val="21"/>
        </w:rPr>
        <w:t>报价进行修正，并要求</w:t>
      </w:r>
      <w:r>
        <w:rPr>
          <w:rFonts w:hint="eastAsia" w:eastAsiaTheme="minorEastAsia"/>
          <w:szCs w:val="21"/>
        </w:rPr>
        <w:t>谈判</w:t>
      </w:r>
      <w:r>
        <w:rPr>
          <w:rFonts w:eastAsiaTheme="minorEastAsia"/>
          <w:szCs w:val="21"/>
        </w:rPr>
        <w:t>响应方书面澄清确认。</w:t>
      </w:r>
      <w:r>
        <w:rPr>
          <w:rFonts w:hint="eastAsia" w:eastAsiaTheme="minorEastAsia"/>
          <w:szCs w:val="21"/>
        </w:rPr>
        <w:t>谈判</w:t>
      </w:r>
      <w:r>
        <w:rPr>
          <w:rFonts w:eastAsiaTheme="minorEastAsia"/>
          <w:szCs w:val="21"/>
        </w:rPr>
        <w:t>响应方拒不澄清确认的，</w:t>
      </w:r>
      <w:r>
        <w:rPr>
          <w:rFonts w:hint="eastAsia" w:eastAsiaTheme="minorEastAsia"/>
          <w:szCs w:val="21"/>
        </w:rPr>
        <w:t>谈判</w:t>
      </w:r>
      <w:r>
        <w:rPr>
          <w:rFonts w:eastAsiaTheme="minorEastAsia"/>
          <w:szCs w:val="21"/>
        </w:rPr>
        <w:t>小组应当否决其投标：</w:t>
      </w:r>
    </w:p>
    <w:p>
      <w:pPr>
        <w:autoSpaceDE w:val="0"/>
        <w:autoSpaceDN w:val="0"/>
        <w:ind w:firstLine="420" w:firstLineChars="200"/>
        <w:jc w:val="left"/>
        <w:rPr>
          <w:rFonts w:eastAsiaTheme="minorEastAsia"/>
          <w:szCs w:val="21"/>
        </w:rPr>
      </w:pPr>
      <w:r>
        <w:rPr>
          <w:rFonts w:eastAsiaTheme="minorEastAsia"/>
          <w:szCs w:val="21"/>
        </w:rPr>
        <w:t>（1）</w:t>
      </w:r>
      <w:r>
        <w:rPr>
          <w:rFonts w:hint="eastAsia"/>
        </w:rPr>
        <w:t>谈判</w:t>
      </w:r>
      <w:r>
        <w:rPr>
          <w:rFonts w:eastAsiaTheme="minorEastAsia"/>
          <w:szCs w:val="21"/>
        </w:rPr>
        <w:t>文件中的大写金额与小写金额不一致的，以大写金额为准；</w:t>
      </w:r>
    </w:p>
    <w:p>
      <w:pPr>
        <w:autoSpaceDE w:val="0"/>
        <w:autoSpaceDN w:val="0"/>
        <w:ind w:firstLine="420" w:firstLineChars="200"/>
        <w:jc w:val="left"/>
        <w:rPr>
          <w:rFonts w:eastAsiaTheme="minorEastAsia"/>
          <w:szCs w:val="21"/>
        </w:rPr>
      </w:pPr>
      <w:r>
        <w:rPr>
          <w:rFonts w:eastAsiaTheme="minorEastAsia"/>
          <w:szCs w:val="21"/>
        </w:rPr>
        <w:t>（2）总价金额与单价金额不一致的，以单价金额为准，但单价金额小数点有明显错误的除外。</w:t>
      </w:r>
    </w:p>
    <w:p>
      <w:pPr>
        <w:autoSpaceDE w:val="0"/>
        <w:autoSpaceDN w:val="0"/>
        <w:ind w:firstLine="422" w:firstLineChars="200"/>
        <w:jc w:val="left"/>
        <w:rPr>
          <w:rFonts w:eastAsiaTheme="minorEastAsia"/>
          <w:b/>
          <w:szCs w:val="21"/>
        </w:rPr>
      </w:pPr>
      <w:r>
        <w:rPr>
          <w:rFonts w:hint="eastAsia" w:eastAsiaTheme="minorEastAsia"/>
          <w:b/>
          <w:szCs w:val="21"/>
        </w:rPr>
        <w:t>3.2.6 本次</w:t>
      </w:r>
      <w:r>
        <w:rPr>
          <w:rFonts w:eastAsiaTheme="minorEastAsia"/>
          <w:b/>
          <w:szCs w:val="21"/>
        </w:rPr>
        <w:t>报价</w:t>
      </w:r>
      <w:r>
        <w:rPr>
          <w:rFonts w:hint="eastAsia" w:eastAsiaTheme="minorEastAsia"/>
          <w:b/>
          <w:szCs w:val="21"/>
        </w:rPr>
        <w:t>应</w:t>
      </w:r>
      <w:r>
        <w:rPr>
          <w:rFonts w:eastAsiaTheme="minorEastAsia"/>
          <w:b/>
          <w:szCs w:val="21"/>
        </w:rPr>
        <w:t>包括</w:t>
      </w:r>
      <w:r>
        <w:rPr>
          <w:rFonts w:hint="eastAsia" w:eastAsiaTheme="minorEastAsia"/>
          <w:b/>
          <w:szCs w:val="21"/>
        </w:rPr>
        <w:t>本项目</w:t>
      </w:r>
      <w:r>
        <w:rPr>
          <w:rFonts w:eastAsiaTheme="minorEastAsia"/>
          <w:b/>
          <w:szCs w:val="21"/>
        </w:rPr>
        <w:t>所有费用。</w:t>
      </w:r>
      <w:r>
        <w:rPr>
          <w:rFonts w:hint="eastAsia" w:eastAsiaTheme="minorEastAsia"/>
          <w:b/>
          <w:szCs w:val="21"/>
        </w:rPr>
        <w:t>谈判响应方</w:t>
      </w:r>
      <w:r>
        <w:rPr>
          <w:rFonts w:eastAsiaTheme="minorEastAsia"/>
          <w:b/>
          <w:szCs w:val="21"/>
        </w:rPr>
        <w:t>认为完成竞争性</w:t>
      </w:r>
      <w:r>
        <w:rPr>
          <w:rFonts w:hint="eastAsia" w:eastAsiaTheme="minorEastAsia"/>
          <w:b/>
          <w:szCs w:val="21"/>
        </w:rPr>
        <w:t>谈判</w:t>
      </w:r>
      <w:r>
        <w:rPr>
          <w:rFonts w:eastAsiaTheme="minorEastAsia"/>
          <w:b/>
          <w:szCs w:val="21"/>
        </w:rPr>
        <w:t>文件规定的内容所需发生的直接成本、间接成本、利润、税金、等一切费用均应计入报价，凡未列入的，将被认为均已包含在</w:t>
      </w:r>
      <w:r>
        <w:rPr>
          <w:rFonts w:hint="eastAsia" w:eastAsiaTheme="minorEastAsia"/>
          <w:b/>
          <w:szCs w:val="21"/>
        </w:rPr>
        <w:t>本次</w:t>
      </w:r>
      <w:r>
        <w:rPr>
          <w:rFonts w:eastAsiaTheme="minorEastAsia"/>
          <w:b/>
          <w:szCs w:val="21"/>
        </w:rPr>
        <w:t>报价中。</w:t>
      </w:r>
    </w:p>
    <w:p>
      <w:pPr>
        <w:ind w:firstLine="420" w:firstLineChars="200"/>
      </w:pPr>
      <w:r>
        <w:rPr>
          <w:rFonts w:hint="eastAsia"/>
        </w:rPr>
        <w:t xml:space="preserve">3.2.7 </w:t>
      </w:r>
      <w:r>
        <w:t>各</w:t>
      </w:r>
      <w:r>
        <w:rPr>
          <w:rFonts w:hint="eastAsia"/>
        </w:rPr>
        <w:t>谈判响应方</w:t>
      </w:r>
      <w:r>
        <w:t>根据市场及自身企业实际情况确定报价，投标价不得低于成本价。</w:t>
      </w:r>
    </w:p>
    <w:p>
      <w:pPr>
        <w:pStyle w:val="5"/>
      </w:pPr>
      <w:r>
        <w:t>3.3 投标有效期</w:t>
      </w:r>
    </w:p>
    <w:p>
      <w:pPr>
        <w:pStyle w:val="79"/>
        <w:ind w:firstLine="420"/>
      </w:pPr>
      <w:r>
        <w:t>3.3.1 投标有效期见</w:t>
      </w:r>
      <w:r>
        <w:rPr>
          <w:rFonts w:hint="eastAsia"/>
        </w:rPr>
        <w:t>谈判</w:t>
      </w:r>
      <w:r>
        <w:t>响应方须知前附表。</w:t>
      </w:r>
    </w:p>
    <w:p>
      <w:pPr>
        <w:pStyle w:val="79"/>
        <w:ind w:firstLine="420"/>
      </w:pPr>
      <w:r>
        <w:t>3.3.2 在投标有效期内，</w:t>
      </w:r>
      <w:r>
        <w:rPr>
          <w:rFonts w:hint="eastAsia"/>
        </w:rPr>
        <w:t>谈判响应方</w:t>
      </w:r>
      <w:r>
        <w:t>撤销响应文件的，应承担</w:t>
      </w:r>
      <w:r>
        <w:rPr>
          <w:rFonts w:hint="eastAsia"/>
        </w:rPr>
        <w:t>谈判</w:t>
      </w:r>
      <w:r>
        <w:t>文件和法律规定的责任。</w:t>
      </w:r>
    </w:p>
    <w:p>
      <w:pPr>
        <w:pStyle w:val="79"/>
        <w:ind w:firstLine="420"/>
      </w:pPr>
      <w:r>
        <w:t>3.3.3 出现特殊情况需要延长投标有效期的，</w:t>
      </w:r>
      <w:r>
        <w:rPr>
          <w:rFonts w:hint="eastAsia"/>
        </w:rPr>
        <w:t>招标人</w:t>
      </w:r>
      <w:r>
        <w:t>以书面形式通知所有</w:t>
      </w:r>
      <w:r>
        <w:rPr>
          <w:rFonts w:hint="eastAsia"/>
        </w:rPr>
        <w:t>谈判响应方</w:t>
      </w:r>
      <w:r>
        <w:t>延长投标有效期。</w:t>
      </w:r>
      <w:r>
        <w:rPr>
          <w:rFonts w:hint="eastAsia"/>
        </w:rPr>
        <w:t>谈判响应方</w:t>
      </w:r>
      <w:r>
        <w:t>应予以书面答复，同意延长的，</w:t>
      </w:r>
      <w:r>
        <w:rPr>
          <w:rFonts w:hint="eastAsia"/>
        </w:rPr>
        <w:t>其响应有效</w:t>
      </w:r>
      <w:r>
        <w:t>，但不得要求或被允许修改其</w:t>
      </w:r>
      <w:r>
        <w:rPr>
          <w:rFonts w:hint="eastAsia"/>
        </w:rPr>
        <w:t>谈判</w:t>
      </w:r>
      <w:r>
        <w:t>文件；</w:t>
      </w:r>
      <w:r>
        <w:rPr>
          <w:rFonts w:hint="eastAsia"/>
        </w:rPr>
        <w:t>谈判响应方</w:t>
      </w:r>
      <w:r>
        <w:t>拒绝延长的，其</w:t>
      </w:r>
      <w:r>
        <w:rPr>
          <w:rFonts w:hint="eastAsia"/>
        </w:rPr>
        <w:t>响应</w:t>
      </w:r>
      <w:r>
        <w:t>失效。</w:t>
      </w:r>
    </w:p>
    <w:p>
      <w:pPr>
        <w:pStyle w:val="5"/>
      </w:pPr>
      <w:r>
        <w:rPr>
          <w:rFonts w:hint="eastAsia"/>
        </w:rPr>
        <w:t>3.4 响应文件的编制</w:t>
      </w:r>
    </w:p>
    <w:p>
      <w:pPr>
        <w:pStyle w:val="30"/>
        <w:pBdr>
          <w:bottom w:val="none" w:color="auto" w:sz="0" w:space="0"/>
        </w:pBdr>
        <w:tabs>
          <w:tab w:val="clear" w:pos="4153"/>
          <w:tab w:val="clear" w:pos="8306"/>
        </w:tabs>
        <w:snapToGrid/>
        <w:ind w:firstLine="420" w:firstLineChars="200"/>
        <w:jc w:val="both"/>
        <w:rPr>
          <w:rFonts w:eastAsiaTheme="minorEastAsia"/>
          <w:sz w:val="21"/>
          <w:szCs w:val="21"/>
        </w:rPr>
      </w:pPr>
      <w:r>
        <w:rPr>
          <w:rFonts w:eastAsiaTheme="minorEastAsia"/>
          <w:sz w:val="21"/>
          <w:szCs w:val="21"/>
        </w:rPr>
        <w:t>3.</w:t>
      </w:r>
      <w:r>
        <w:rPr>
          <w:rFonts w:hint="eastAsia" w:eastAsiaTheme="minorEastAsia"/>
          <w:sz w:val="21"/>
          <w:szCs w:val="21"/>
        </w:rPr>
        <w:t>4</w:t>
      </w:r>
      <w:r>
        <w:rPr>
          <w:rFonts w:eastAsiaTheme="minorEastAsia"/>
          <w:sz w:val="21"/>
          <w:szCs w:val="21"/>
        </w:rPr>
        <w:t xml:space="preserve">.1 </w:t>
      </w:r>
      <w:r>
        <w:rPr>
          <w:rFonts w:hint="eastAsia" w:eastAsiaTheme="minorEastAsia"/>
          <w:sz w:val="21"/>
          <w:szCs w:val="21"/>
        </w:rPr>
        <w:t>响应</w:t>
      </w:r>
      <w:r>
        <w:rPr>
          <w:rFonts w:eastAsiaTheme="minorEastAsia"/>
          <w:sz w:val="21"/>
          <w:szCs w:val="21"/>
        </w:rPr>
        <w:t>文件应按</w:t>
      </w:r>
      <w:r>
        <w:rPr>
          <w:rFonts w:hint="eastAsia" w:eastAsiaTheme="minorEastAsia"/>
          <w:sz w:val="21"/>
          <w:szCs w:val="21"/>
        </w:rPr>
        <w:t>本谈判文件规定的格式和顺序编制、装订谈判响应文件并标注页码，</w:t>
      </w:r>
      <w:r>
        <w:rPr>
          <w:rFonts w:eastAsiaTheme="minorEastAsia"/>
          <w:sz w:val="21"/>
          <w:szCs w:val="21"/>
        </w:rPr>
        <w:t>如有必要，可以增加附页，作为</w:t>
      </w:r>
      <w:r>
        <w:rPr>
          <w:rFonts w:hint="eastAsia" w:eastAsiaTheme="minorEastAsia"/>
          <w:sz w:val="21"/>
          <w:szCs w:val="21"/>
        </w:rPr>
        <w:t>响应</w:t>
      </w:r>
      <w:r>
        <w:rPr>
          <w:rFonts w:eastAsiaTheme="minorEastAsia"/>
          <w:sz w:val="21"/>
          <w:szCs w:val="21"/>
        </w:rPr>
        <w:t>文件的组成部分。在满足</w:t>
      </w:r>
      <w:r>
        <w:rPr>
          <w:rFonts w:hint="eastAsia" w:eastAsiaTheme="minorEastAsia"/>
          <w:sz w:val="21"/>
          <w:szCs w:val="21"/>
        </w:rPr>
        <w:t>谈判</w:t>
      </w:r>
      <w:r>
        <w:rPr>
          <w:rFonts w:eastAsiaTheme="minorEastAsia"/>
          <w:sz w:val="21"/>
          <w:szCs w:val="21"/>
        </w:rPr>
        <w:t>文件实质性要求的基础上，可以提出比</w:t>
      </w:r>
      <w:r>
        <w:rPr>
          <w:rFonts w:hint="eastAsia" w:eastAsiaTheme="minorEastAsia"/>
          <w:sz w:val="21"/>
          <w:szCs w:val="21"/>
        </w:rPr>
        <w:t>谈判</w:t>
      </w:r>
      <w:r>
        <w:rPr>
          <w:rFonts w:eastAsiaTheme="minorEastAsia"/>
          <w:sz w:val="21"/>
          <w:szCs w:val="21"/>
        </w:rPr>
        <w:t>文件要求更有利于</w:t>
      </w:r>
      <w:r>
        <w:rPr>
          <w:rFonts w:hint="eastAsia" w:eastAsiaTheme="minorEastAsia"/>
          <w:sz w:val="21"/>
          <w:szCs w:val="21"/>
        </w:rPr>
        <w:t>招标人</w:t>
      </w:r>
      <w:r>
        <w:rPr>
          <w:rFonts w:eastAsiaTheme="minorEastAsia"/>
          <w:sz w:val="21"/>
          <w:szCs w:val="21"/>
        </w:rPr>
        <w:t>的承诺。</w:t>
      </w:r>
      <w:r>
        <w:rPr>
          <w:rFonts w:hint="eastAsia" w:eastAsiaTheme="minorEastAsia"/>
          <w:sz w:val="21"/>
          <w:szCs w:val="21"/>
        </w:rPr>
        <w:t>谈判响应文件内容不完整、编排混乱导致谈判响应文件被误读、漏读或者查找不到相关内容的，是谈判响应方的责任。</w:t>
      </w:r>
    </w:p>
    <w:p>
      <w:pPr>
        <w:pStyle w:val="30"/>
        <w:pBdr>
          <w:bottom w:val="none" w:color="auto" w:sz="0" w:space="0"/>
        </w:pBdr>
        <w:tabs>
          <w:tab w:val="clear" w:pos="4153"/>
          <w:tab w:val="clear" w:pos="8306"/>
        </w:tabs>
        <w:snapToGrid/>
        <w:ind w:firstLine="420" w:firstLineChars="200"/>
        <w:jc w:val="both"/>
        <w:rPr>
          <w:sz w:val="21"/>
          <w:szCs w:val="21"/>
        </w:rPr>
      </w:pPr>
      <w:r>
        <w:rPr>
          <w:rFonts w:eastAsiaTheme="minorEastAsia"/>
          <w:sz w:val="21"/>
          <w:szCs w:val="21"/>
        </w:rPr>
        <w:t>3.</w:t>
      </w:r>
      <w:r>
        <w:rPr>
          <w:rFonts w:hint="eastAsia" w:eastAsiaTheme="minorEastAsia"/>
          <w:sz w:val="21"/>
          <w:szCs w:val="21"/>
        </w:rPr>
        <w:t>4</w:t>
      </w:r>
      <w:r>
        <w:rPr>
          <w:rFonts w:eastAsiaTheme="minorEastAsia"/>
          <w:sz w:val="21"/>
          <w:szCs w:val="21"/>
        </w:rPr>
        <w:t>.2</w:t>
      </w:r>
      <w:r>
        <w:rPr>
          <w:rFonts w:hAnsi="宋体"/>
          <w:sz w:val="21"/>
          <w:szCs w:val="21"/>
        </w:rPr>
        <w:t>响应文件应当对</w:t>
      </w:r>
      <w:r>
        <w:rPr>
          <w:rFonts w:hint="eastAsia" w:hAnsi="宋体"/>
          <w:sz w:val="21"/>
          <w:szCs w:val="21"/>
        </w:rPr>
        <w:t>谈判</w:t>
      </w:r>
      <w:r>
        <w:rPr>
          <w:rFonts w:hAnsi="宋体"/>
          <w:sz w:val="21"/>
          <w:szCs w:val="21"/>
        </w:rPr>
        <w:t>文件有关</w:t>
      </w:r>
      <w:r>
        <w:rPr>
          <w:rFonts w:hint="eastAsia" w:hAnsi="宋体"/>
          <w:sz w:val="21"/>
          <w:szCs w:val="21"/>
        </w:rPr>
        <w:t>服务期</w:t>
      </w:r>
      <w:r>
        <w:rPr>
          <w:rFonts w:hAnsi="宋体"/>
          <w:sz w:val="21"/>
          <w:szCs w:val="21"/>
        </w:rPr>
        <w:t>、投标有效期、</w:t>
      </w:r>
      <w:r>
        <w:rPr>
          <w:rFonts w:hint="eastAsia" w:hAnsi="宋体"/>
          <w:sz w:val="21"/>
          <w:szCs w:val="21"/>
        </w:rPr>
        <w:t>项目需求与标准、招标范围</w:t>
      </w:r>
      <w:r>
        <w:rPr>
          <w:rFonts w:hAnsi="宋体"/>
          <w:sz w:val="21"/>
          <w:szCs w:val="21"/>
        </w:rPr>
        <w:t>等实质性内容作出响应。</w:t>
      </w:r>
    </w:p>
    <w:p>
      <w:pPr>
        <w:pStyle w:val="30"/>
        <w:pBdr>
          <w:bottom w:val="none" w:color="auto" w:sz="0" w:space="0"/>
        </w:pBdr>
        <w:tabs>
          <w:tab w:val="clear" w:pos="4153"/>
          <w:tab w:val="clear" w:pos="8306"/>
        </w:tabs>
        <w:snapToGrid/>
        <w:ind w:firstLine="420" w:firstLineChars="200"/>
        <w:jc w:val="both"/>
        <w:rPr>
          <w:sz w:val="21"/>
          <w:szCs w:val="21"/>
        </w:rPr>
      </w:pPr>
      <w:r>
        <w:rPr>
          <w:sz w:val="21"/>
          <w:szCs w:val="21"/>
        </w:rPr>
        <w:t>3.</w:t>
      </w:r>
      <w:r>
        <w:rPr>
          <w:rFonts w:hint="eastAsia"/>
          <w:sz w:val="21"/>
          <w:szCs w:val="21"/>
        </w:rPr>
        <w:t>4</w:t>
      </w:r>
      <w:r>
        <w:rPr>
          <w:sz w:val="21"/>
          <w:szCs w:val="21"/>
        </w:rPr>
        <w:t>.3</w:t>
      </w:r>
      <w:r>
        <w:rPr>
          <w:rFonts w:hAnsi="宋体"/>
          <w:sz w:val="21"/>
          <w:szCs w:val="21"/>
        </w:rPr>
        <w:t>响应文件应用不褪色的材料书写或打印，并由</w:t>
      </w:r>
      <w:r>
        <w:rPr>
          <w:rFonts w:hint="eastAsia" w:hAnsi="宋体"/>
          <w:sz w:val="21"/>
          <w:szCs w:val="21"/>
        </w:rPr>
        <w:t>谈判</w:t>
      </w:r>
      <w:r>
        <w:rPr>
          <w:rFonts w:hAnsi="宋体"/>
          <w:sz w:val="21"/>
          <w:szCs w:val="21"/>
        </w:rPr>
        <w:t>响应方的法定代表人或其委托代理人签字（盖章）并盖单位章。委托代理人签字的，响应文件应附法定代表人签署的授权委托书。响应文件应尽量避免涂改、行间插字或删除。如果出现上述情况，改动之处应加盖单位章</w:t>
      </w:r>
      <w:r>
        <w:rPr>
          <w:rFonts w:hint="eastAsia" w:hAnsi="宋体"/>
          <w:sz w:val="21"/>
          <w:szCs w:val="21"/>
        </w:rPr>
        <w:t>或</w:t>
      </w:r>
      <w:r>
        <w:rPr>
          <w:rFonts w:hAnsi="宋体"/>
          <w:sz w:val="21"/>
          <w:szCs w:val="21"/>
        </w:rPr>
        <w:t>由</w:t>
      </w:r>
      <w:r>
        <w:rPr>
          <w:rFonts w:hint="eastAsia" w:hAnsi="宋体"/>
          <w:sz w:val="21"/>
          <w:szCs w:val="21"/>
        </w:rPr>
        <w:t>谈判</w:t>
      </w:r>
      <w:r>
        <w:rPr>
          <w:rFonts w:hAnsi="宋体"/>
          <w:sz w:val="21"/>
          <w:szCs w:val="21"/>
        </w:rPr>
        <w:t>响应方的法定代表人或其授权的代理人签字（盖章）确认。</w:t>
      </w:r>
    </w:p>
    <w:p>
      <w:pPr>
        <w:pStyle w:val="30"/>
        <w:pBdr>
          <w:bottom w:val="none" w:color="auto" w:sz="0" w:space="0"/>
        </w:pBdr>
        <w:tabs>
          <w:tab w:val="clear" w:pos="4153"/>
          <w:tab w:val="clear" w:pos="8306"/>
        </w:tabs>
        <w:snapToGrid/>
        <w:ind w:firstLine="420" w:firstLineChars="200"/>
        <w:jc w:val="both"/>
        <w:rPr>
          <w:rFonts w:eastAsiaTheme="minorEastAsia"/>
          <w:sz w:val="21"/>
          <w:szCs w:val="21"/>
        </w:rPr>
      </w:pPr>
      <w:r>
        <w:rPr>
          <w:sz w:val="21"/>
          <w:szCs w:val="21"/>
        </w:rPr>
        <w:t>3.</w:t>
      </w:r>
      <w:r>
        <w:rPr>
          <w:rFonts w:hint="eastAsia"/>
          <w:sz w:val="21"/>
          <w:szCs w:val="21"/>
        </w:rPr>
        <w:t>4</w:t>
      </w:r>
      <w:r>
        <w:rPr>
          <w:sz w:val="21"/>
          <w:szCs w:val="21"/>
        </w:rPr>
        <w:t>.4</w:t>
      </w:r>
      <w:r>
        <w:rPr>
          <w:rFonts w:eastAsiaTheme="minorEastAsia"/>
          <w:sz w:val="21"/>
          <w:szCs w:val="21"/>
        </w:rPr>
        <w:t>响应文件份数见</w:t>
      </w:r>
      <w:r>
        <w:rPr>
          <w:rFonts w:hint="eastAsia" w:eastAsiaTheme="minorEastAsia"/>
          <w:sz w:val="21"/>
          <w:szCs w:val="21"/>
        </w:rPr>
        <w:t>谈判</w:t>
      </w:r>
      <w:r>
        <w:rPr>
          <w:rFonts w:eastAsiaTheme="minorEastAsia"/>
          <w:sz w:val="21"/>
          <w:szCs w:val="21"/>
        </w:rPr>
        <w:t>响应方须知前附表。正本和副本的封面右上角上应清楚地标记“正本”或“副本”的字样。并加盖</w:t>
      </w:r>
      <w:r>
        <w:rPr>
          <w:rFonts w:hint="eastAsia" w:eastAsiaTheme="minorEastAsia"/>
          <w:sz w:val="21"/>
          <w:szCs w:val="21"/>
        </w:rPr>
        <w:t>谈判</w:t>
      </w:r>
      <w:r>
        <w:rPr>
          <w:rFonts w:eastAsiaTheme="minorEastAsia"/>
          <w:sz w:val="21"/>
          <w:szCs w:val="21"/>
        </w:rPr>
        <w:t>响应方单位公章、法定代表人印章。</w:t>
      </w:r>
      <w:r>
        <w:rPr>
          <w:rFonts w:hint="eastAsia" w:eastAsiaTheme="minorEastAsia"/>
          <w:sz w:val="21"/>
          <w:szCs w:val="21"/>
        </w:rPr>
        <w:t>谈判</w:t>
      </w:r>
      <w:r>
        <w:rPr>
          <w:rFonts w:eastAsiaTheme="minorEastAsia"/>
          <w:sz w:val="21"/>
          <w:szCs w:val="21"/>
        </w:rPr>
        <w:t>响应方应根据</w:t>
      </w:r>
      <w:r>
        <w:rPr>
          <w:rFonts w:hint="eastAsia" w:eastAsiaTheme="minorEastAsia"/>
          <w:sz w:val="21"/>
          <w:szCs w:val="21"/>
        </w:rPr>
        <w:t>谈判</w:t>
      </w:r>
      <w:r>
        <w:rPr>
          <w:rFonts w:eastAsiaTheme="minorEastAsia"/>
          <w:sz w:val="21"/>
          <w:szCs w:val="21"/>
        </w:rPr>
        <w:t>响应方须知前附表要求提供电子版文件。响应文件当副本和正本不一致或电子版文件和纸质正本文件不一致时，以纸质正本文件为准。</w:t>
      </w:r>
    </w:p>
    <w:p>
      <w:pPr>
        <w:spacing w:line="360" w:lineRule="auto"/>
        <w:ind w:firstLine="480"/>
        <w:rPr>
          <w:rFonts w:eastAsiaTheme="minorEastAsia"/>
          <w:b/>
          <w:szCs w:val="21"/>
        </w:rPr>
      </w:pPr>
      <w:r>
        <w:rPr>
          <w:rFonts w:eastAsiaTheme="minorEastAsia"/>
          <w:szCs w:val="21"/>
        </w:rPr>
        <w:t>3.</w:t>
      </w:r>
      <w:r>
        <w:rPr>
          <w:rFonts w:hint="eastAsia" w:eastAsiaTheme="minorEastAsia"/>
          <w:szCs w:val="21"/>
        </w:rPr>
        <w:t>4</w:t>
      </w:r>
      <w:r>
        <w:rPr>
          <w:rFonts w:eastAsiaTheme="minorEastAsia"/>
          <w:szCs w:val="21"/>
        </w:rPr>
        <w:t>.5</w:t>
      </w:r>
      <w:r>
        <w:rPr>
          <w:rFonts w:eastAsiaTheme="minorEastAsia"/>
          <w:b/>
          <w:szCs w:val="21"/>
        </w:rPr>
        <w:t xml:space="preserve"> 响应文件的资信</w:t>
      </w:r>
      <w:r>
        <w:rPr>
          <w:rFonts w:hint="eastAsia" w:eastAsiaTheme="minorEastAsia"/>
          <w:b/>
          <w:szCs w:val="21"/>
        </w:rPr>
        <w:t>文件、</w:t>
      </w:r>
      <w:r>
        <w:rPr>
          <w:rFonts w:eastAsiaTheme="minorEastAsia"/>
          <w:b/>
          <w:szCs w:val="21"/>
        </w:rPr>
        <w:t>技术</w:t>
      </w:r>
      <w:r>
        <w:rPr>
          <w:rFonts w:hint="eastAsia" w:eastAsiaTheme="minorEastAsia"/>
          <w:b/>
          <w:szCs w:val="21"/>
        </w:rPr>
        <w:t>文件</w:t>
      </w:r>
      <w:r>
        <w:rPr>
          <w:rFonts w:eastAsiaTheme="minorEastAsia"/>
          <w:b/>
          <w:szCs w:val="21"/>
        </w:rPr>
        <w:t>合订成一册</w:t>
      </w:r>
      <w:r>
        <w:rPr>
          <w:rFonts w:hint="eastAsia" w:eastAsiaTheme="minorEastAsia"/>
          <w:b/>
          <w:szCs w:val="21"/>
        </w:rPr>
        <w:t>，</w:t>
      </w:r>
      <w:r>
        <w:rPr>
          <w:rFonts w:eastAsiaTheme="minorEastAsia"/>
          <w:b/>
          <w:szCs w:val="21"/>
        </w:rPr>
        <w:t>商务文件单独装订</w:t>
      </w:r>
      <w:r>
        <w:rPr>
          <w:rFonts w:hint="eastAsia" w:eastAsiaTheme="minorEastAsia"/>
          <w:b/>
          <w:szCs w:val="21"/>
        </w:rPr>
        <w:t>，</w:t>
      </w:r>
      <w:r>
        <w:rPr>
          <w:rFonts w:eastAsiaTheme="minorEastAsia"/>
          <w:b/>
          <w:szCs w:val="21"/>
        </w:rPr>
        <w:t>且分别密封。</w:t>
      </w:r>
    </w:p>
    <w:p>
      <w:pPr>
        <w:pStyle w:val="30"/>
        <w:pBdr>
          <w:bottom w:val="none" w:color="auto" w:sz="0" w:space="0"/>
        </w:pBdr>
        <w:tabs>
          <w:tab w:val="clear" w:pos="4153"/>
          <w:tab w:val="clear" w:pos="8306"/>
        </w:tabs>
        <w:snapToGrid/>
        <w:ind w:firstLine="361" w:firstLineChars="200"/>
        <w:jc w:val="both"/>
        <w:rPr>
          <w:rFonts w:eastAsiaTheme="minorEastAsia"/>
          <w:b/>
          <w:sz w:val="21"/>
          <w:szCs w:val="21"/>
        </w:rPr>
      </w:pPr>
      <w:r>
        <w:rPr>
          <w:rFonts w:hint="eastAsia"/>
          <w:b/>
        </w:rPr>
        <w:t>▲</w:t>
      </w:r>
      <w:r>
        <w:rPr>
          <w:rFonts w:hint="eastAsia" w:eastAsiaTheme="minorEastAsia"/>
          <w:b/>
          <w:sz w:val="21"/>
          <w:szCs w:val="21"/>
        </w:rPr>
        <w:t>3.4.6响应文件必须采用胶印装订，不得采用任何形式的活页装订，任何形式的活页装订标书将按无效标处理。</w:t>
      </w:r>
    </w:p>
    <w:p>
      <w:pPr>
        <w:pStyle w:val="3"/>
        <w:spacing w:before="120" w:after="120"/>
      </w:pPr>
      <w:bookmarkStart w:id="77" w:name="_Toc12951290"/>
      <w:bookmarkStart w:id="78" w:name="_Toc3993771"/>
      <w:r>
        <w:t>4.投    标</w:t>
      </w:r>
      <w:bookmarkEnd w:id="77"/>
      <w:bookmarkEnd w:id="78"/>
    </w:p>
    <w:p>
      <w:pPr>
        <w:pStyle w:val="5"/>
      </w:pPr>
      <w:r>
        <w:t>4.1 响应文件的密封和标记</w:t>
      </w:r>
    </w:p>
    <w:p>
      <w:pPr>
        <w:ind w:firstLine="420" w:firstLineChars="200"/>
      </w:pPr>
      <w:r>
        <w:t>4.1.1 响应文件应密封包装</w:t>
      </w:r>
      <w:r>
        <w:rPr>
          <w:rFonts w:hint="eastAsia"/>
        </w:rPr>
        <w:t>：</w:t>
      </w:r>
      <w:r>
        <w:rPr>
          <w:rFonts w:hint="eastAsia" w:eastAsiaTheme="minorEastAsia"/>
          <w:szCs w:val="21"/>
        </w:rPr>
        <w:t>资信及技术文件</w:t>
      </w:r>
      <w:r>
        <w:rPr>
          <w:rFonts w:hint="eastAsia"/>
        </w:rPr>
        <w:t>、响应文件电子稿密封在同一个密封袋内，商务文件密封在一个密封袋内。在响应文件的密封袋上清楚标明“资信及技术文件”、“商务文件”。</w:t>
      </w:r>
      <w:r>
        <w:t>并在</w:t>
      </w:r>
      <w:r>
        <w:rPr>
          <w:rFonts w:hint="eastAsia"/>
        </w:rPr>
        <w:t>密封袋</w:t>
      </w:r>
      <w:r>
        <w:t>的封口处加盖</w:t>
      </w:r>
      <w:r>
        <w:rPr>
          <w:rFonts w:hint="eastAsia"/>
        </w:rPr>
        <w:t>谈判</w:t>
      </w:r>
      <w:r>
        <w:t>响应方单位</w:t>
      </w:r>
      <w:r>
        <w:rPr>
          <w:rFonts w:hint="eastAsia"/>
        </w:rPr>
        <w:t>公</w:t>
      </w:r>
      <w:r>
        <w:t>章</w:t>
      </w:r>
      <w:r>
        <w:rPr>
          <w:rFonts w:hint="eastAsia"/>
        </w:rPr>
        <w:t>、法定代表人印章</w:t>
      </w:r>
      <w:r>
        <w:t>。</w:t>
      </w:r>
    </w:p>
    <w:p>
      <w:pPr>
        <w:ind w:firstLine="420" w:firstLineChars="200"/>
      </w:pPr>
      <w:r>
        <w:t>4.1.2 响应文件封套上应写明</w:t>
      </w:r>
      <w:r>
        <w:rPr>
          <w:rFonts w:hint="eastAsia"/>
        </w:rPr>
        <w:t>：</w:t>
      </w:r>
    </w:p>
    <w:p>
      <w:pPr>
        <w:ind w:firstLine="420" w:firstLineChars="200"/>
      </w:pPr>
      <w:r>
        <w:rPr>
          <w:rFonts w:hint="eastAsia"/>
        </w:rPr>
        <w:t>（1）</w:t>
      </w:r>
      <w:r>
        <w:t>写明</w:t>
      </w:r>
      <w:r>
        <w:rPr>
          <w:rFonts w:hint="eastAsia"/>
        </w:rPr>
        <w:t>谈判响应方</w:t>
      </w:r>
      <w:r>
        <w:t>名称</w:t>
      </w:r>
      <w:r>
        <w:rPr>
          <w:rFonts w:hint="eastAsia"/>
        </w:rPr>
        <w:t>和地址</w:t>
      </w:r>
      <w:r>
        <w:t>；</w:t>
      </w:r>
    </w:p>
    <w:p>
      <w:pPr>
        <w:ind w:firstLine="420" w:firstLineChars="200"/>
      </w:pPr>
      <w:r>
        <w:rPr>
          <w:rFonts w:hint="eastAsia"/>
        </w:rPr>
        <w:t>（2）</w:t>
      </w:r>
      <w:r>
        <w:t>注明下列识别标志；</w:t>
      </w:r>
    </w:p>
    <w:p>
      <w:pPr>
        <w:ind w:firstLine="420" w:firstLineChars="200"/>
      </w:pPr>
      <w:r>
        <w:rPr>
          <w:rFonts w:hint="eastAsia"/>
        </w:rPr>
        <w:t>A. 项目</w:t>
      </w:r>
      <w:r>
        <w:t>编号；</w:t>
      </w:r>
    </w:p>
    <w:p>
      <w:pPr>
        <w:ind w:firstLine="420" w:firstLineChars="200"/>
      </w:pPr>
      <w:r>
        <w:rPr>
          <w:rFonts w:hint="eastAsia"/>
        </w:rPr>
        <w:t xml:space="preserve">B. </w:t>
      </w:r>
      <w:r>
        <w:t>项目名称；</w:t>
      </w:r>
    </w:p>
    <w:p>
      <w:pPr>
        <w:ind w:firstLine="420" w:firstLineChars="200"/>
      </w:pPr>
      <w:r>
        <w:rPr>
          <w:rFonts w:hint="eastAsia"/>
        </w:rPr>
        <w:t>C. _____</w:t>
      </w:r>
      <w:r>
        <w:t>年</w:t>
      </w:r>
      <w:r>
        <w:rPr>
          <w:rFonts w:hint="eastAsia"/>
        </w:rPr>
        <w:t>_____</w:t>
      </w:r>
      <w:r>
        <w:t>月</w:t>
      </w:r>
      <w:r>
        <w:rPr>
          <w:rFonts w:hint="eastAsia"/>
        </w:rPr>
        <w:t>_____</w:t>
      </w:r>
      <w:r>
        <w:t>日</w:t>
      </w:r>
      <w:r>
        <w:rPr>
          <w:rFonts w:hint="eastAsia"/>
        </w:rPr>
        <w:t>_____</w:t>
      </w:r>
      <w:r>
        <w:t>时</w:t>
      </w:r>
      <w:r>
        <w:rPr>
          <w:rFonts w:hint="eastAsia"/>
        </w:rPr>
        <w:t>_____</w:t>
      </w:r>
      <w:r>
        <w:t>分开标</w:t>
      </w:r>
      <w:r>
        <w:rPr>
          <w:rFonts w:hint="eastAsia"/>
        </w:rPr>
        <w:t>，</w:t>
      </w:r>
      <w:r>
        <w:t>此时间以前不得开封。</w:t>
      </w:r>
    </w:p>
    <w:p>
      <w:pPr>
        <w:ind w:firstLine="422" w:firstLineChars="200"/>
        <w:rPr>
          <w:rFonts w:eastAsiaTheme="minorEastAsia"/>
          <w:b/>
          <w:szCs w:val="21"/>
        </w:rPr>
      </w:pPr>
      <w:r>
        <w:rPr>
          <w:rFonts w:hint="eastAsia"/>
          <w:b/>
        </w:rPr>
        <w:t>▲4.1.3</w:t>
      </w:r>
      <w:r>
        <w:rPr>
          <w:rFonts w:eastAsiaTheme="minorEastAsia"/>
          <w:b/>
          <w:szCs w:val="21"/>
        </w:rPr>
        <w:t>未按本章第4.1.1 项要求密封的响应文件，</w:t>
      </w:r>
      <w:r>
        <w:rPr>
          <w:rFonts w:hint="eastAsia" w:eastAsiaTheme="minorEastAsia"/>
          <w:b/>
          <w:szCs w:val="21"/>
        </w:rPr>
        <w:t>招标人</w:t>
      </w:r>
      <w:r>
        <w:rPr>
          <w:rFonts w:eastAsiaTheme="minorEastAsia"/>
          <w:b/>
          <w:szCs w:val="21"/>
        </w:rPr>
        <w:t>将予以拒收。</w:t>
      </w:r>
    </w:p>
    <w:p>
      <w:pPr>
        <w:pStyle w:val="5"/>
      </w:pPr>
      <w:r>
        <w:t>4.2 响应文件的递交</w:t>
      </w:r>
    </w:p>
    <w:p>
      <w:pPr>
        <w:pStyle w:val="79"/>
        <w:ind w:firstLine="420"/>
      </w:pPr>
      <w:r>
        <w:t xml:space="preserve">4.2.1 </w:t>
      </w:r>
      <w:r>
        <w:rPr>
          <w:rFonts w:hint="eastAsia"/>
        </w:rPr>
        <w:t>谈判</w:t>
      </w:r>
      <w:r>
        <w:t>响应方应在</w:t>
      </w:r>
      <w:r>
        <w:rPr>
          <w:rFonts w:hint="eastAsia"/>
        </w:rPr>
        <w:t>谈判</w:t>
      </w:r>
      <w:r>
        <w:t>响应方须知前附表规定的响应截止时间前递交响应文件。</w:t>
      </w:r>
    </w:p>
    <w:p>
      <w:pPr>
        <w:pStyle w:val="79"/>
        <w:ind w:firstLine="420"/>
      </w:pPr>
      <w:r>
        <w:t xml:space="preserve">4.2.2 </w:t>
      </w:r>
      <w:r>
        <w:rPr>
          <w:rFonts w:hint="eastAsia"/>
        </w:rPr>
        <w:t>谈判</w:t>
      </w:r>
      <w:r>
        <w:t>响应方递交响应文件的地点：见响应方须知前附表。</w:t>
      </w:r>
    </w:p>
    <w:p>
      <w:pPr>
        <w:pStyle w:val="79"/>
        <w:ind w:firstLine="420"/>
      </w:pPr>
      <w:r>
        <w:t>4.2.3 除响应方须知前附表另有规定外，</w:t>
      </w:r>
      <w:r>
        <w:rPr>
          <w:rFonts w:hint="eastAsia"/>
        </w:rPr>
        <w:t>谈判</w:t>
      </w:r>
      <w:r>
        <w:t>响应方所递交的响应文件不予退还。</w:t>
      </w:r>
    </w:p>
    <w:p>
      <w:pPr>
        <w:pStyle w:val="79"/>
        <w:ind w:firstLine="422"/>
        <w:rPr>
          <w:b/>
        </w:rPr>
      </w:pPr>
      <w:r>
        <w:rPr>
          <w:b/>
        </w:rPr>
        <w:t>4.2.4 逾期送达的响应文件，</w:t>
      </w:r>
      <w:r>
        <w:rPr>
          <w:rFonts w:hint="eastAsia"/>
          <w:b/>
        </w:rPr>
        <w:t>招标人</w:t>
      </w:r>
      <w:r>
        <w:rPr>
          <w:b/>
        </w:rPr>
        <w:t>将予以拒收。</w:t>
      </w:r>
    </w:p>
    <w:p>
      <w:pPr>
        <w:pStyle w:val="5"/>
      </w:pPr>
      <w:r>
        <w:t>4.3 响应文件的修改与撤回</w:t>
      </w:r>
    </w:p>
    <w:p>
      <w:pPr>
        <w:pStyle w:val="79"/>
        <w:ind w:firstLine="420"/>
      </w:pPr>
      <w:r>
        <w:t>4.3.1 在响应截止时间前，</w:t>
      </w:r>
      <w:r>
        <w:rPr>
          <w:rFonts w:hint="eastAsia"/>
        </w:rPr>
        <w:t>谈判</w:t>
      </w:r>
      <w:r>
        <w:t>响应方可以修改或撤回已递交的响应文件，但应以书面形式通知</w:t>
      </w:r>
      <w:r>
        <w:rPr>
          <w:rFonts w:hint="eastAsia"/>
        </w:rPr>
        <w:t>招标人</w:t>
      </w:r>
      <w:r>
        <w:t>。</w:t>
      </w:r>
    </w:p>
    <w:p>
      <w:pPr>
        <w:pStyle w:val="79"/>
        <w:ind w:firstLine="420"/>
      </w:pPr>
      <w:r>
        <w:t xml:space="preserve">4.3.2 </w:t>
      </w:r>
      <w:r>
        <w:rPr>
          <w:rFonts w:hint="eastAsia"/>
        </w:rPr>
        <w:t>谈判</w:t>
      </w:r>
      <w:r>
        <w:t>响应方修改或撤回已递交响应文件的书面通知应按照本章第3.</w:t>
      </w:r>
      <w:r>
        <w:rPr>
          <w:rFonts w:hint="eastAsia"/>
        </w:rPr>
        <w:t>4</w:t>
      </w:r>
      <w:r>
        <w:t>.3项的要求签字或盖章。</w:t>
      </w:r>
    </w:p>
    <w:p>
      <w:pPr>
        <w:pStyle w:val="79"/>
        <w:ind w:firstLine="420"/>
      </w:pPr>
      <w:r>
        <w:t>4.3.3 修改的内容为响应文件的组成部分。修改的响应文件应按照本章第3条、第4条的规定进行编制、密封、标记和递交，并标明“修改”字样。</w:t>
      </w:r>
    </w:p>
    <w:p>
      <w:pPr>
        <w:pStyle w:val="3"/>
        <w:spacing w:before="120" w:after="120"/>
      </w:pPr>
      <w:bookmarkStart w:id="79" w:name="_Toc12951291"/>
      <w:bookmarkStart w:id="80" w:name="_Toc3993772"/>
      <w:bookmarkStart w:id="81" w:name="_Toc21804"/>
      <w:bookmarkStart w:id="82" w:name="_Toc160940642"/>
      <w:r>
        <w:rPr>
          <w:rFonts w:hint="eastAsia"/>
        </w:rPr>
        <w:t>5.</w:t>
      </w:r>
      <w:r>
        <w:t>开    标</w:t>
      </w:r>
      <w:bookmarkEnd w:id="79"/>
      <w:bookmarkEnd w:id="80"/>
    </w:p>
    <w:bookmarkEnd w:id="81"/>
    <w:bookmarkEnd w:id="82"/>
    <w:p>
      <w:pPr>
        <w:pStyle w:val="5"/>
      </w:pPr>
      <w:r>
        <w:t>5.1 开标时间和地点</w:t>
      </w:r>
    </w:p>
    <w:p>
      <w:pPr>
        <w:pStyle w:val="79"/>
        <w:ind w:firstLine="420"/>
      </w:pPr>
      <w:r>
        <w:t xml:space="preserve">5.1.1 </w:t>
      </w:r>
      <w:r>
        <w:rPr>
          <w:rFonts w:hint="eastAsia"/>
        </w:rPr>
        <w:t>招标人</w:t>
      </w:r>
      <w:r>
        <w:t>将于响应截止时间的同一时间即按照本</w:t>
      </w:r>
      <w:r>
        <w:rPr>
          <w:rFonts w:hint="eastAsia"/>
        </w:rPr>
        <w:t>响应方</w:t>
      </w:r>
      <w:r>
        <w:t>须知前附表所规定的时间和地点公开举行开标会议</w:t>
      </w:r>
      <w:r>
        <w:rPr>
          <w:rFonts w:hint="eastAsia"/>
        </w:rPr>
        <w:t>，</w:t>
      </w:r>
      <w:r>
        <w:t>并邀请所有</w:t>
      </w:r>
      <w:r>
        <w:rPr>
          <w:rFonts w:hint="eastAsia"/>
        </w:rPr>
        <w:t>谈判响应方</w:t>
      </w:r>
      <w:r>
        <w:t>代表参加开标会议；</w:t>
      </w:r>
    </w:p>
    <w:p>
      <w:pPr>
        <w:pStyle w:val="79"/>
        <w:ind w:firstLine="422"/>
        <w:rPr>
          <w:b/>
        </w:rPr>
      </w:pPr>
      <w:r>
        <w:rPr>
          <w:b/>
        </w:rPr>
        <w:t xml:space="preserve">5.1.2 </w:t>
      </w:r>
      <w:r>
        <w:rPr>
          <w:rFonts w:hint="eastAsia"/>
          <w:b/>
        </w:rPr>
        <w:t>谈判</w:t>
      </w:r>
      <w:r>
        <w:rPr>
          <w:b/>
        </w:rPr>
        <w:t>响应方的法定代表人或其委托代理人必须参加开标会议，并随带本人身份证（原件）和授权委托书原件</w:t>
      </w:r>
      <w:r>
        <w:rPr>
          <w:rFonts w:hint="eastAsia"/>
          <w:b/>
        </w:rPr>
        <w:t>（</w:t>
      </w:r>
      <w:r>
        <w:rPr>
          <w:b/>
        </w:rPr>
        <w:t>委托代理人</w:t>
      </w:r>
      <w:r>
        <w:rPr>
          <w:rFonts w:hint="eastAsia"/>
          <w:b/>
        </w:rPr>
        <w:t>参加的提供）</w:t>
      </w:r>
      <w:r>
        <w:rPr>
          <w:b/>
        </w:rPr>
        <w:t>以证明其身份，签字确认。</w:t>
      </w:r>
    </w:p>
    <w:p>
      <w:pPr>
        <w:pStyle w:val="5"/>
      </w:pPr>
      <w:r>
        <w:t>5.2 开标</w:t>
      </w:r>
    </w:p>
    <w:p>
      <w:pPr>
        <w:autoSpaceDE w:val="0"/>
        <w:autoSpaceDN w:val="0"/>
        <w:ind w:firstLine="420" w:firstLineChars="200"/>
        <w:rPr>
          <w:rFonts w:eastAsiaTheme="minorEastAsia"/>
          <w:szCs w:val="21"/>
        </w:rPr>
      </w:pPr>
      <w:r>
        <w:rPr>
          <w:rFonts w:eastAsiaTheme="minorEastAsia"/>
          <w:szCs w:val="21"/>
        </w:rPr>
        <w:t>5.2.1</w:t>
      </w:r>
      <w:r>
        <w:rPr>
          <w:rFonts w:hint="eastAsia" w:eastAsiaTheme="minorEastAsia"/>
          <w:szCs w:val="21"/>
        </w:rPr>
        <w:t xml:space="preserve"> </w:t>
      </w:r>
      <w:r>
        <w:rPr>
          <w:rFonts w:hAnsiTheme="minorEastAsia" w:eastAsiaTheme="minorEastAsia"/>
          <w:kern w:val="0"/>
          <w:szCs w:val="21"/>
        </w:rPr>
        <w:t>开标由</w:t>
      </w:r>
      <w:r>
        <w:rPr>
          <w:rFonts w:hint="eastAsia" w:hAnsiTheme="minorEastAsia" w:eastAsiaTheme="minorEastAsia"/>
          <w:kern w:val="0"/>
          <w:szCs w:val="21"/>
        </w:rPr>
        <w:t>招标人</w:t>
      </w:r>
      <w:r>
        <w:rPr>
          <w:rFonts w:hAnsiTheme="minorEastAsia" w:eastAsiaTheme="minorEastAsia"/>
          <w:kern w:val="0"/>
          <w:szCs w:val="21"/>
        </w:rPr>
        <w:t>主持，邀请所有</w:t>
      </w:r>
      <w:r>
        <w:rPr>
          <w:rFonts w:hint="eastAsia" w:hAnsiTheme="minorEastAsia" w:eastAsiaTheme="minorEastAsia"/>
          <w:kern w:val="0"/>
          <w:szCs w:val="21"/>
        </w:rPr>
        <w:t>谈判</w:t>
      </w:r>
      <w:r>
        <w:rPr>
          <w:rFonts w:hAnsiTheme="minorEastAsia" w:eastAsiaTheme="minorEastAsia"/>
          <w:kern w:val="0"/>
          <w:szCs w:val="21"/>
        </w:rPr>
        <w:t>响应方参加</w:t>
      </w:r>
      <w:r>
        <w:rPr>
          <w:rFonts w:hAnsiTheme="minorEastAsia" w:eastAsiaTheme="minorEastAsia"/>
          <w:szCs w:val="21"/>
        </w:rPr>
        <w:t>；</w:t>
      </w:r>
    </w:p>
    <w:p>
      <w:pPr>
        <w:autoSpaceDE w:val="0"/>
        <w:autoSpaceDN w:val="0"/>
        <w:ind w:firstLine="420" w:firstLineChars="200"/>
        <w:rPr>
          <w:rFonts w:eastAsiaTheme="minorEastAsia"/>
          <w:szCs w:val="21"/>
        </w:rPr>
      </w:pPr>
      <w:r>
        <w:rPr>
          <w:rFonts w:eastAsiaTheme="minorEastAsia"/>
          <w:szCs w:val="21"/>
        </w:rPr>
        <w:t xml:space="preserve">5.2.2 </w:t>
      </w:r>
      <w:r>
        <w:rPr>
          <w:rFonts w:hAnsiTheme="minorEastAsia" w:eastAsiaTheme="minorEastAsia"/>
          <w:szCs w:val="21"/>
        </w:rPr>
        <w:t>由</w:t>
      </w:r>
      <w:r>
        <w:rPr>
          <w:rFonts w:hint="eastAsia" w:hAnsiTheme="minorEastAsia" w:eastAsiaTheme="minorEastAsia"/>
          <w:szCs w:val="21"/>
        </w:rPr>
        <w:t>谈判</w:t>
      </w:r>
      <w:r>
        <w:rPr>
          <w:rFonts w:hAnsiTheme="minorEastAsia" w:eastAsiaTheme="minorEastAsia"/>
          <w:szCs w:val="21"/>
        </w:rPr>
        <w:t>响应方或者其集体推选的代表检查响应文件的密封情况；</w:t>
      </w:r>
    </w:p>
    <w:p>
      <w:pPr>
        <w:autoSpaceDE w:val="0"/>
        <w:autoSpaceDN w:val="0"/>
        <w:ind w:firstLine="420" w:firstLineChars="200"/>
        <w:rPr>
          <w:rFonts w:hAnsiTheme="minorEastAsia" w:eastAsiaTheme="minorEastAsia"/>
          <w:kern w:val="0"/>
          <w:szCs w:val="21"/>
        </w:rPr>
      </w:pPr>
      <w:r>
        <w:rPr>
          <w:rFonts w:eastAsiaTheme="minorEastAsia"/>
          <w:szCs w:val="21"/>
        </w:rPr>
        <w:t xml:space="preserve">5.2.3 </w:t>
      </w:r>
      <w:r>
        <w:rPr>
          <w:rFonts w:hAnsiTheme="minorEastAsia" w:eastAsiaTheme="minorEastAsia"/>
          <w:szCs w:val="21"/>
        </w:rPr>
        <w:t>经确认无误后，</w:t>
      </w:r>
      <w:r>
        <w:rPr>
          <w:rFonts w:hAnsiTheme="minorEastAsia" w:eastAsiaTheme="minorEastAsia"/>
          <w:kern w:val="0"/>
          <w:szCs w:val="21"/>
        </w:rPr>
        <w:t>由工作人员当众拆封</w:t>
      </w:r>
      <w:r>
        <w:rPr>
          <w:rFonts w:hint="eastAsia" w:hAnsiTheme="minorEastAsia" w:eastAsiaTheme="minorEastAsia"/>
          <w:kern w:val="0"/>
          <w:szCs w:val="21"/>
        </w:rPr>
        <w:t>、清点竞争性谈判响应文件（包括正本、副本）数量，谈判响应方代表</w:t>
      </w:r>
      <w:r>
        <w:rPr>
          <w:rFonts w:hint="eastAsia"/>
          <w:szCs w:val="21"/>
        </w:rPr>
        <w:t>退出开标室，由谈判小组对响应文件进行评审</w:t>
      </w:r>
      <w:r>
        <w:rPr>
          <w:rFonts w:hAnsiTheme="minorEastAsia" w:eastAsiaTheme="minorEastAsia"/>
          <w:kern w:val="0"/>
          <w:szCs w:val="21"/>
        </w:rPr>
        <w:t>。</w:t>
      </w:r>
    </w:p>
    <w:p>
      <w:pPr>
        <w:pStyle w:val="24"/>
        <w:snapToGrid w:val="0"/>
        <w:spacing w:line="460" w:lineRule="exact"/>
        <w:ind w:firstLine="412" w:firstLineChars="196"/>
        <w:rPr>
          <w:rFonts w:ascii="Times New Roman" w:cs="Times New Roman" w:hAnsiTheme="minorEastAsia" w:eastAsiaTheme="minorEastAsia"/>
        </w:rPr>
      </w:pPr>
      <w:r>
        <w:rPr>
          <w:rFonts w:hint="eastAsia" w:ascii="Times New Roman" w:cs="Times New Roman" w:hAnsiTheme="minorEastAsia" w:eastAsiaTheme="minorEastAsia"/>
        </w:rPr>
        <w:t>5.2.4谈判小组对所提交的谈判响应文件审查结束后，主持人宣布无效谈判响应方名称及理由，无效响应方</w:t>
      </w:r>
      <w:r>
        <w:rPr>
          <w:rFonts w:ascii="Times New Roman" w:cs="Times New Roman" w:hAnsiTheme="minorEastAsia" w:eastAsiaTheme="minorEastAsia"/>
        </w:rPr>
        <w:t>代表</w:t>
      </w:r>
      <w:r>
        <w:rPr>
          <w:rFonts w:hint="eastAsia" w:ascii="Times New Roman" w:cs="Times New Roman" w:hAnsiTheme="minorEastAsia" w:eastAsiaTheme="minorEastAsia"/>
        </w:rPr>
        <w:t>现场签字确认。</w:t>
      </w:r>
    </w:p>
    <w:p>
      <w:pPr>
        <w:pStyle w:val="24"/>
        <w:snapToGrid w:val="0"/>
        <w:spacing w:line="460" w:lineRule="exact"/>
        <w:ind w:firstLine="412" w:firstLineChars="196"/>
        <w:rPr>
          <w:rFonts w:ascii="Times New Roman" w:cs="Times New Roman" w:hAnsiTheme="minorEastAsia" w:eastAsiaTheme="minorEastAsia"/>
        </w:rPr>
      </w:pPr>
      <w:r>
        <w:rPr>
          <w:rFonts w:hint="eastAsia" w:ascii="Times New Roman" w:cs="Times New Roman" w:hAnsiTheme="minorEastAsia" w:eastAsiaTheme="minorEastAsia"/>
        </w:rPr>
        <w:t>5.2.5谈判</w:t>
      </w:r>
      <w:r>
        <w:rPr>
          <w:rFonts w:ascii="Times New Roman" w:cs="Times New Roman" w:hAnsiTheme="minorEastAsia" w:eastAsiaTheme="minorEastAsia"/>
        </w:rPr>
        <w:t>结束后，主持人公布</w:t>
      </w:r>
      <w:r>
        <w:rPr>
          <w:rFonts w:hint="eastAsia" w:ascii="Times New Roman" w:cs="Times New Roman" w:hAnsiTheme="minorEastAsia" w:eastAsiaTheme="minorEastAsia"/>
        </w:rPr>
        <w:t>有效谈判响应方的评分结果和最终报价</w:t>
      </w:r>
      <w:r>
        <w:rPr>
          <w:rFonts w:ascii="Times New Roman" w:cs="Times New Roman" w:hAnsiTheme="minorEastAsia" w:eastAsiaTheme="minorEastAsia"/>
        </w:rPr>
        <w:t>，及</w:t>
      </w:r>
      <w:r>
        <w:rPr>
          <w:rFonts w:hint="eastAsia" w:ascii="Times New Roman" w:cs="Times New Roman" w:hAnsiTheme="minorEastAsia" w:eastAsiaTheme="minorEastAsia"/>
        </w:rPr>
        <w:t>招标人</w:t>
      </w:r>
      <w:r>
        <w:rPr>
          <w:rFonts w:ascii="Times New Roman" w:cs="Times New Roman" w:hAnsiTheme="minorEastAsia" w:eastAsiaTheme="minorEastAsia"/>
        </w:rPr>
        <w:t>最终确定成交</w:t>
      </w:r>
      <w:r>
        <w:rPr>
          <w:rFonts w:hint="eastAsia" w:ascii="Times New Roman" w:cs="Times New Roman" w:hAnsiTheme="minorEastAsia" w:eastAsiaTheme="minorEastAsia"/>
        </w:rPr>
        <w:t>响应方</w:t>
      </w:r>
      <w:r>
        <w:rPr>
          <w:rFonts w:ascii="Times New Roman" w:cs="Times New Roman" w:hAnsiTheme="minorEastAsia" w:eastAsiaTheme="minorEastAsia"/>
        </w:rPr>
        <w:t>名单的时间和公告方式等。</w:t>
      </w:r>
    </w:p>
    <w:p>
      <w:pPr>
        <w:widowControl/>
        <w:ind w:firstLine="420" w:firstLineChars="200"/>
        <w:rPr>
          <w:rFonts w:eastAsiaTheme="minorEastAsia"/>
          <w:kern w:val="0"/>
          <w:szCs w:val="21"/>
        </w:rPr>
      </w:pPr>
      <w:r>
        <w:rPr>
          <w:rFonts w:eastAsiaTheme="minorEastAsia"/>
          <w:szCs w:val="21"/>
        </w:rPr>
        <w:t>5.2.</w:t>
      </w:r>
      <w:r>
        <w:rPr>
          <w:rFonts w:hint="eastAsia" w:eastAsiaTheme="minorEastAsia"/>
          <w:szCs w:val="21"/>
        </w:rPr>
        <w:t>6</w:t>
      </w:r>
      <w:r>
        <w:rPr>
          <w:rFonts w:hint="eastAsia" w:hAnsiTheme="minorEastAsia" w:eastAsiaTheme="minorEastAsia"/>
          <w:kern w:val="0"/>
          <w:szCs w:val="21"/>
        </w:rPr>
        <w:t>招标人</w:t>
      </w:r>
      <w:r>
        <w:rPr>
          <w:rFonts w:hAnsiTheme="minorEastAsia" w:eastAsiaTheme="minorEastAsia"/>
          <w:kern w:val="0"/>
          <w:szCs w:val="21"/>
        </w:rPr>
        <w:t>在</w:t>
      </w:r>
      <w:r>
        <w:rPr>
          <w:rFonts w:hint="eastAsia"/>
        </w:rPr>
        <w:t>谈判</w:t>
      </w:r>
      <w:r>
        <w:rPr>
          <w:rFonts w:hAnsiTheme="minorEastAsia" w:eastAsiaTheme="minorEastAsia"/>
          <w:kern w:val="0"/>
          <w:szCs w:val="21"/>
        </w:rPr>
        <w:t>文件要求提交响应文件的截止时间前收到的所有响应文件，开标时都应当众予以拆封、宣读。</w:t>
      </w:r>
    </w:p>
    <w:p>
      <w:pPr>
        <w:autoSpaceDE w:val="0"/>
        <w:autoSpaceDN w:val="0"/>
        <w:ind w:firstLine="420" w:firstLineChars="200"/>
        <w:rPr>
          <w:rFonts w:eastAsiaTheme="minorEastAsia"/>
          <w:szCs w:val="21"/>
        </w:rPr>
      </w:pPr>
      <w:r>
        <w:rPr>
          <w:rFonts w:eastAsiaTheme="minorEastAsia"/>
          <w:szCs w:val="21"/>
        </w:rPr>
        <w:t>5.2.</w:t>
      </w:r>
      <w:r>
        <w:rPr>
          <w:rFonts w:hint="eastAsia" w:eastAsiaTheme="minorEastAsia"/>
          <w:szCs w:val="21"/>
        </w:rPr>
        <w:t xml:space="preserve">7 </w:t>
      </w:r>
      <w:r>
        <w:rPr>
          <w:rFonts w:hint="eastAsia" w:hAnsiTheme="minorEastAsia" w:eastAsiaTheme="minorEastAsia"/>
          <w:szCs w:val="21"/>
        </w:rPr>
        <w:t>招标人</w:t>
      </w:r>
      <w:r>
        <w:rPr>
          <w:rFonts w:hAnsiTheme="minorEastAsia" w:eastAsiaTheme="minorEastAsia"/>
          <w:szCs w:val="21"/>
        </w:rPr>
        <w:t>将对开标过程进行记录，并由</w:t>
      </w:r>
      <w:r>
        <w:rPr>
          <w:rFonts w:hint="eastAsia" w:hAnsiTheme="minorEastAsia" w:eastAsiaTheme="minorEastAsia"/>
          <w:szCs w:val="21"/>
        </w:rPr>
        <w:t>招标人</w:t>
      </w:r>
      <w:r>
        <w:rPr>
          <w:rFonts w:hAnsiTheme="minorEastAsia" w:eastAsiaTheme="minorEastAsia"/>
          <w:szCs w:val="21"/>
        </w:rPr>
        <w:t>和</w:t>
      </w:r>
      <w:r>
        <w:rPr>
          <w:rFonts w:hint="eastAsia" w:hAnsiTheme="minorEastAsia" w:eastAsiaTheme="minorEastAsia"/>
          <w:szCs w:val="21"/>
        </w:rPr>
        <w:t>谈判</w:t>
      </w:r>
      <w:r>
        <w:rPr>
          <w:rFonts w:hAnsiTheme="minorEastAsia" w:eastAsiaTheme="minorEastAsia"/>
          <w:szCs w:val="21"/>
        </w:rPr>
        <w:t>响应方签字确认后存档备查。</w:t>
      </w:r>
    </w:p>
    <w:p>
      <w:pPr>
        <w:pStyle w:val="5"/>
        <w:rPr>
          <w:rStyle w:val="60"/>
          <w:rFonts w:ascii="Times New Roman" w:hAnsi="Times New Roman" w:eastAsia="宋体"/>
          <w:bCs/>
          <w:color w:val="auto"/>
          <w:sz w:val="21"/>
        </w:rPr>
      </w:pPr>
      <w:r>
        <w:rPr>
          <w:rStyle w:val="60"/>
          <w:rFonts w:hint="eastAsia" w:ascii="Times New Roman" w:hAnsi="Times New Roman" w:eastAsia="宋体"/>
          <w:bCs/>
          <w:color w:val="auto"/>
          <w:sz w:val="21"/>
        </w:rPr>
        <w:t>5.3</w:t>
      </w:r>
      <w:r>
        <w:rPr>
          <w:rStyle w:val="60"/>
          <w:rFonts w:ascii="Times New Roman" w:hAnsi="Times New Roman" w:eastAsia="宋体"/>
          <w:bCs/>
          <w:color w:val="auto"/>
          <w:sz w:val="21"/>
        </w:rPr>
        <w:t>响应文件出现下列情况之一的，其</w:t>
      </w:r>
      <w:r>
        <w:rPr>
          <w:rStyle w:val="60"/>
          <w:rFonts w:hint="eastAsia" w:ascii="Times New Roman" w:hAnsi="Times New Roman" w:eastAsia="宋体"/>
          <w:bCs/>
          <w:color w:val="auto"/>
          <w:sz w:val="21"/>
        </w:rPr>
        <w:t>响应文件</w:t>
      </w:r>
      <w:r>
        <w:rPr>
          <w:rStyle w:val="60"/>
          <w:rFonts w:ascii="Times New Roman" w:hAnsi="Times New Roman" w:eastAsia="宋体"/>
          <w:bCs/>
          <w:color w:val="auto"/>
          <w:sz w:val="21"/>
        </w:rPr>
        <w:t>作为无效标处理，</w:t>
      </w:r>
      <w:r>
        <w:rPr>
          <w:rStyle w:val="60"/>
          <w:rFonts w:hint="eastAsia" w:ascii="Times New Roman" w:hAnsi="Times New Roman" w:eastAsia="宋体"/>
          <w:bCs/>
          <w:color w:val="auto"/>
          <w:sz w:val="21"/>
        </w:rPr>
        <w:t>招标人</w:t>
      </w:r>
      <w:r>
        <w:rPr>
          <w:rStyle w:val="60"/>
          <w:rFonts w:ascii="Times New Roman" w:hAnsi="Times New Roman" w:eastAsia="宋体"/>
          <w:bCs/>
          <w:color w:val="auto"/>
          <w:sz w:val="21"/>
        </w:rPr>
        <w:t>不予受理：</w:t>
      </w:r>
    </w:p>
    <w:p>
      <w:pPr>
        <w:ind w:firstLine="420" w:firstLineChars="200"/>
      </w:pPr>
      <w:r>
        <w:rPr>
          <w:rFonts w:hint="eastAsia"/>
        </w:rPr>
        <w:t>5.3.1</w:t>
      </w:r>
      <w:r>
        <w:t>逾期送达的或者未送达指定地点的；</w:t>
      </w:r>
    </w:p>
    <w:p>
      <w:pPr>
        <w:ind w:firstLine="420" w:firstLineChars="200"/>
      </w:pPr>
      <w:r>
        <w:rPr>
          <w:rFonts w:hint="eastAsia"/>
        </w:rPr>
        <w:t>5.3.2</w:t>
      </w:r>
      <w:r>
        <w:t>响应文件未按</w:t>
      </w:r>
      <w:r>
        <w:rPr>
          <w:rFonts w:hint="eastAsia"/>
        </w:rPr>
        <w:t>谈判</w:t>
      </w:r>
      <w:r>
        <w:t>文件的要求予以密封的</w:t>
      </w:r>
      <w:r>
        <w:rPr>
          <w:rFonts w:hint="eastAsia"/>
        </w:rPr>
        <w:t>，</w:t>
      </w:r>
      <w:r>
        <w:rPr>
          <w:szCs w:val="21"/>
        </w:rPr>
        <w:t>或者由于包装不妥在送交途中严重破损或失散的</w:t>
      </w:r>
      <w:r>
        <w:t>；</w:t>
      </w:r>
    </w:p>
    <w:p>
      <w:pPr>
        <w:ind w:firstLine="420" w:firstLineChars="200"/>
      </w:pPr>
      <w:r>
        <w:rPr>
          <w:rFonts w:hint="eastAsia"/>
        </w:rPr>
        <w:t>5.3.3</w:t>
      </w:r>
      <w:r>
        <w:t>违反有关规定的其他情况。</w:t>
      </w:r>
    </w:p>
    <w:p>
      <w:pPr>
        <w:pStyle w:val="3"/>
        <w:spacing w:before="120" w:after="120"/>
      </w:pPr>
      <w:bookmarkStart w:id="83" w:name="_Toc12951292"/>
      <w:r>
        <w:rPr>
          <w:rFonts w:hint="eastAsia"/>
        </w:rPr>
        <w:t>6.评    标</w:t>
      </w:r>
      <w:bookmarkEnd w:id="83"/>
    </w:p>
    <w:p>
      <w:pPr>
        <w:pStyle w:val="5"/>
      </w:pPr>
      <w:r>
        <w:t xml:space="preserve">6.1 </w:t>
      </w:r>
      <w:r>
        <w:rPr>
          <w:rFonts w:hint="eastAsia" w:hAnsiTheme="minorEastAsia" w:eastAsiaTheme="minorEastAsia"/>
        </w:rPr>
        <w:t>谈判小组</w:t>
      </w:r>
    </w:p>
    <w:p>
      <w:pPr>
        <w:ind w:firstLine="420" w:firstLineChars="200"/>
        <w:rPr>
          <w:rFonts w:eastAsiaTheme="minorEastAsia"/>
          <w:szCs w:val="21"/>
        </w:rPr>
      </w:pPr>
      <w:r>
        <w:rPr>
          <w:rFonts w:hint="eastAsia" w:hAnsiTheme="minorEastAsia" w:eastAsiaTheme="minorEastAsia"/>
          <w:szCs w:val="21"/>
        </w:rPr>
        <w:t>谈判</w:t>
      </w:r>
      <w:r>
        <w:rPr>
          <w:rFonts w:hAnsiTheme="minorEastAsia" w:eastAsiaTheme="minorEastAsia"/>
          <w:szCs w:val="21"/>
        </w:rPr>
        <w:t>小组由</w:t>
      </w:r>
      <w:r>
        <w:rPr>
          <w:rFonts w:hint="eastAsia" w:hAnsiTheme="minorEastAsia" w:eastAsiaTheme="minorEastAsia"/>
          <w:szCs w:val="21"/>
        </w:rPr>
        <w:t>招标人</w:t>
      </w:r>
      <w:r>
        <w:rPr>
          <w:rFonts w:hAnsiTheme="minorEastAsia" w:eastAsiaTheme="minorEastAsia"/>
          <w:szCs w:val="21"/>
        </w:rPr>
        <w:t>依据有关法律规定组织，成员人数为</w:t>
      </w:r>
      <w:r>
        <w:rPr>
          <w:rFonts w:eastAsiaTheme="minorEastAsia"/>
          <w:szCs w:val="21"/>
        </w:rPr>
        <w:t>3</w:t>
      </w:r>
      <w:r>
        <w:rPr>
          <w:rFonts w:hAnsiTheme="minorEastAsia" w:eastAsiaTheme="minorEastAsia"/>
          <w:szCs w:val="21"/>
        </w:rPr>
        <w:t>人以上</w:t>
      </w:r>
      <w:r>
        <w:rPr>
          <w:rFonts w:hint="eastAsia" w:hAnsiTheme="minorEastAsia" w:eastAsiaTheme="minorEastAsia"/>
          <w:szCs w:val="21"/>
        </w:rPr>
        <w:t>（含3人）</w:t>
      </w:r>
      <w:r>
        <w:rPr>
          <w:rFonts w:hAnsiTheme="minorEastAsia" w:eastAsiaTheme="minorEastAsia"/>
          <w:szCs w:val="21"/>
        </w:rPr>
        <w:t>单数。</w:t>
      </w:r>
    </w:p>
    <w:p>
      <w:pPr>
        <w:pStyle w:val="5"/>
      </w:pPr>
      <w:r>
        <w:t xml:space="preserve">6.2 </w:t>
      </w:r>
      <w:r>
        <w:rPr>
          <w:rFonts w:hAnsiTheme="minorEastAsia"/>
        </w:rPr>
        <w:t>评标</w:t>
      </w:r>
      <w:r>
        <w:rPr>
          <w:rFonts w:hint="eastAsia" w:hAnsiTheme="minorEastAsia"/>
        </w:rPr>
        <w:t>原则</w:t>
      </w:r>
    </w:p>
    <w:p>
      <w:pPr>
        <w:pStyle w:val="24"/>
        <w:snapToGrid w:val="0"/>
        <w:ind w:firstLine="420" w:firstLineChars="200"/>
        <w:rPr>
          <w:rFonts w:ascii="Times New Roman" w:cs="Times New Roman" w:hAnsiTheme="minorEastAsia" w:eastAsiaTheme="minorEastAsia"/>
        </w:rPr>
      </w:pPr>
      <w:r>
        <w:rPr>
          <w:rFonts w:ascii="Times New Roman" w:cs="Times New Roman" w:hAnsiTheme="minorEastAsia" w:eastAsiaTheme="minorEastAsia"/>
        </w:rPr>
        <w:t>6.2.1</w:t>
      </w:r>
      <w:r>
        <w:rPr>
          <w:rFonts w:hint="eastAsia" w:hAnsiTheme="minorEastAsia" w:eastAsiaTheme="minorEastAsia"/>
        </w:rPr>
        <w:t>谈判</w:t>
      </w:r>
      <w:r>
        <w:rPr>
          <w:rFonts w:hAnsiTheme="minorEastAsia" w:eastAsiaTheme="minorEastAsia"/>
        </w:rPr>
        <w:t>小组</w:t>
      </w:r>
      <w:r>
        <w:rPr>
          <w:rFonts w:hint="eastAsia" w:ascii="Times New Roman" w:cs="Times New Roman" w:hAnsiTheme="minorEastAsia" w:eastAsiaTheme="minorEastAsia"/>
        </w:rPr>
        <w:t>必须公平、公正、客观，不带任何倾向性和启发性；不得向外界透露任何与谈判有关的内容；任何单位和个人不得干扰、影响谈判的正常进行。</w:t>
      </w:r>
    </w:p>
    <w:p>
      <w:pPr>
        <w:pStyle w:val="24"/>
        <w:snapToGrid w:val="0"/>
        <w:ind w:firstLine="412" w:firstLineChars="196"/>
        <w:rPr>
          <w:rFonts w:ascii="Times New Roman" w:cs="Times New Roman" w:hAnsiTheme="minorEastAsia" w:eastAsiaTheme="minorEastAsia"/>
        </w:rPr>
      </w:pPr>
      <w:r>
        <w:rPr>
          <w:rFonts w:hint="eastAsia" w:ascii="Times New Roman" w:cs="Times New Roman" w:hAnsiTheme="minorEastAsia" w:eastAsiaTheme="minorEastAsia"/>
        </w:rPr>
        <w:t>6.2.2</w:t>
      </w:r>
      <w:r>
        <w:rPr>
          <w:rFonts w:hint="eastAsia" w:hAnsiTheme="minorEastAsia" w:eastAsiaTheme="minorEastAsia"/>
        </w:rPr>
        <w:t>谈判</w:t>
      </w:r>
      <w:r>
        <w:rPr>
          <w:rFonts w:hAnsiTheme="minorEastAsia" w:eastAsiaTheme="minorEastAsia"/>
        </w:rPr>
        <w:t>小组</w:t>
      </w:r>
      <w:r>
        <w:rPr>
          <w:rFonts w:hint="eastAsia" w:ascii="Times New Roman" w:cs="Times New Roman" w:hAnsiTheme="minorEastAsia" w:eastAsiaTheme="minorEastAsia"/>
        </w:rPr>
        <w:t>专家</w:t>
      </w:r>
      <w:r>
        <w:rPr>
          <w:rFonts w:ascii="Times New Roman" w:cs="Times New Roman" w:hAnsiTheme="minorEastAsia" w:eastAsiaTheme="minorEastAsia"/>
        </w:rPr>
        <w:t>对有关</w:t>
      </w:r>
      <w:r>
        <w:rPr>
          <w:rFonts w:hint="eastAsia" w:ascii="Times New Roman" w:cs="Times New Roman" w:hAnsiTheme="minorEastAsia" w:eastAsiaTheme="minorEastAsia"/>
        </w:rPr>
        <w:t>谈判</w:t>
      </w:r>
      <w:r>
        <w:rPr>
          <w:rFonts w:ascii="Times New Roman" w:cs="Times New Roman" w:hAnsiTheme="minorEastAsia" w:eastAsiaTheme="minorEastAsia"/>
        </w:rPr>
        <w:t>文件、</w:t>
      </w:r>
      <w:r>
        <w:rPr>
          <w:rFonts w:hint="eastAsia" w:ascii="Times New Roman" w:cs="Times New Roman" w:hAnsiTheme="minorEastAsia" w:eastAsiaTheme="minorEastAsia"/>
        </w:rPr>
        <w:t>谈判响应</w:t>
      </w:r>
      <w:r>
        <w:rPr>
          <w:rFonts w:ascii="Times New Roman" w:cs="Times New Roman" w:hAnsiTheme="minorEastAsia" w:eastAsiaTheme="minorEastAsia"/>
        </w:rPr>
        <w:t>文件、现场的说明、解释、要求、标准存在不同意见的，持不同意见的</w:t>
      </w:r>
      <w:r>
        <w:rPr>
          <w:rFonts w:hint="eastAsia" w:ascii="Times New Roman" w:cs="Times New Roman" w:hAnsiTheme="minorEastAsia" w:eastAsiaTheme="minorEastAsia"/>
        </w:rPr>
        <w:t>谈判专家</w:t>
      </w:r>
      <w:r>
        <w:rPr>
          <w:rFonts w:ascii="Times New Roman" w:cs="Times New Roman" w:hAnsiTheme="minorEastAsia" w:eastAsiaTheme="minorEastAsia"/>
        </w:rPr>
        <w:t>及其意见或理由应予以完整记录，并在</w:t>
      </w:r>
      <w:r>
        <w:rPr>
          <w:rFonts w:hint="eastAsia" w:ascii="Times New Roman" w:cs="Times New Roman" w:hAnsiTheme="minorEastAsia" w:eastAsiaTheme="minorEastAsia"/>
        </w:rPr>
        <w:t>谈判</w:t>
      </w:r>
      <w:r>
        <w:rPr>
          <w:rFonts w:ascii="Times New Roman" w:cs="Times New Roman" w:hAnsiTheme="minorEastAsia" w:eastAsiaTheme="minorEastAsia"/>
        </w:rPr>
        <w:t>过程中按照少数服从多数的原则表决执行。对</w:t>
      </w:r>
      <w:r>
        <w:rPr>
          <w:rFonts w:hint="eastAsia" w:ascii="Times New Roman" w:cs="Times New Roman" w:hAnsiTheme="minorEastAsia" w:eastAsiaTheme="minorEastAsia"/>
        </w:rPr>
        <w:t>谈判</w:t>
      </w:r>
      <w:r>
        <w:rPr>
          <w:rFonts w:ascii="Times New Roman" w:cs="Times New Roman" w:hAnsiTheme="minorEastAsia" w:eastAsiaTheme="minorEastAsia"/>
        </w:rPr>
        <w:t>文件本身不明确或存在歧义、矛盾的内容，应作对</w:t>
      </w:r>
      <w:r>
        <w:rPr>
          <w:rFonts w:hint="eastAsia" w:ascii="Times New Roman" w:cs="Times New Roman" w:hAnsiTheme="minorEastAsia" w:eastAsiaTheme="minorEastAsia"/>
        </w:rPr>
        <w:t>响应方</w:t>
      </w:r>
      <w:r>
        <w:rPr>
          <w:rFonts w:ascii="Times New Roman" w:cs="Times New Roman" w:hAnsiTheme="minorEastAsia" w:eastAsiaTheme="minorEastAsia"/>
        </w:rPr>
        <w:t>而非</w:t>
      </w:r>
      <w:r>
        <w:rPr>
          <w:rFonts w:hint="eastAsia" w:ascii="Times New Roman" w:cs="Times New Roman" w:hAnsiTheme="minorEastAsia" w:eastAsiaTheme="minorEastAsia"/>
        </w:rPr>
        <w:t>招标人</w:t>
      </w:r>
      <w:r>
        <w:rPr>
          <w:rFonts w:ascii="Times New Roman" w:cs="Times New Roman" w:hAnsiTheme="minorEastAsia" w:eastAsiaTheme="minorEastAsia"/>
        </w:rPr>
        <w:t>有利的解释。</w:t>
      </w:r>
    </w:p>
    <w:p>
      <w:pPr>
        <w:pStyle w:val="5"/>
      </w:pPr>
      <w:r>
        <w:rPr>
          <w:rFonts w:hint="eastAsia"/>
        </w:rPr>
        <w:t>6.3 组织谈判程序</w:t>
      </w:r>
    </w:p>
    <w:p>
      <w:pPr>
        <w:pStyle w:val="24"/>
        <w:ind w:firstLine="412" w:firstLineChars="196"/>
        <w:rPr>
          <w:rFonts w:ascii="Times New Roman" w:hAnsi="Times New Roman" w:cs="Times New Roman"/>
          <w:kern w:val="0"/>
          <w:szCs w:val="22"/>
          <w:lang w:val="zh-CN"/>
        </w:rPr>
      </w:pPr>
      <w:r>
        <w:rPr>
          <w:rFonts w:hint="eastAsia" w:ascii="Times New Roman" w:hAnsi="Times New Roman" w:cs="Times New Roman"/>
          <w:kern w:val="0"/>
          <w:szCs w:val="22"/>
          <w:lang w:val="zh-CN"/>
        </w:rPr>
        <w:t xml:space="preserve">6.3.1 </w:t>
      </w:r>
      <w:r>
        <w:rPr>
          <w:rFonts w:ascii="Times New Roman" w:hAnsi="Times New Roman" w:cs="Times New Roman"/>
          <w:kern w:val="0"/>
          <w:szCs w:val="22"/>
          <w:lang w:val="zh-CN"/>
        </w:rPr>
        <w:t>按规定统一收缴、保存评标现场相关人员通讯工具。</w:t>
      </w:r>
    </w:p>
    <w:p>
      <w:pPr>
        <w:pStyle w:val="24"/>
        <w:ind w:firstLine="412" w:firstLineChars="196"/>
        <w:rPr>
          <w:rFonts w:ascii="Times New Roman" w:hAnsi="Times New Roman" w:cs="Times New Roman"/>
          <w:kern w:val="0"/>
          <w:szCs w:val="22"/>
          <w:lang w:val="zh-CN"/>
        </w:rPr>
      </w:pPr>
      <w:r>
        <w:rPr>
          <w:rFonts w:hint="eastAsia" w:ascii="Times New Roman" w:hAnsi="Times New Roman" w:cs="Times New Roman"/>
          <w:kern w:val="0"/>
          <w:szCs w:val="22"/>
          <w:lang w:val="zh-CN"/>
        </w:rPr>
        <w:t xml:space="preserve">6.3.2 </w:t>
      </w:r>
      <w:r>
        <w:rPr>
          <w:rFonts w:ascii="Times New Roman" w:hAnsi="Times New Roman" w:cs="Times New Roman"/>
          <w:kern w:val="0"/>
          <w:szCs w:val="22"/>
          <w:lang w:val="zh-CN"/>
        </w:rPr>
        <w:t>介绍</w:t>
      </w:r>
      <w:r>
        <w:rPr>
          <w:rFonts w:hint="eastAsia" w:ascii="Times New Roman" w:cs="Times New Roman" w:hAnsiTheme="minorEastAsia" w:eastAsiaTheme="minorEastAsia"/>
        </w:rPr>
        <w:t>谈判</w:t>
      </w:r>
      <w:r>
        <w:rPr>
          <w:rFonts w:ascii="Times New Roman" w:hAnsi="Times New Roman" w:cs="Times New Roman"/>
          <w:kern w:val="0"/>
          <w:szCs w:val="22"/>
          <w:lang w:val="zh-CN"/>
        </w:rPr>
        <w:t>现场的人员情况，宣布</w:t>
      </w:r>
      <w:r>
        <w:rPr>
          <w:rFonts w:hint="eastAsia" w:ascii="Times New Roman" w:cs="Times New Roman" w:hAnsiTheme="minorEastAsia" w:eastAsiaTheme="minorEastAsia"/>
        </w:rPr>
        <w:t>谈判</w:t>
      </w:r>
      <w:r>
        <w:rPr>
          <w:rFonts w:ascii="Times New Roman" w:hAnsi="Times New Roman" w:cs="Times New Roman"/>
          <w:kern w:val="0"/>
          <w:szCs w:val="22"/>
          <w:lang w:val="zh-CN"/>
        </w:rPr>
        <w:t>工作纪律，告知</w:t>
      </w:r>
      <w:r>
        <w:rPr>
          <w:rFonts w:hint="eastAsia" w:ascii="Times New Roman" w:cs="Times New Roman" w:hAnsiTheme="minorEastAsia" w:eastAsiaTheme="minorEastAsia"/>
        </w:rPr>
        <w:t>谈判</w:t>
      </w:r>
      <w:r>
        <w:rPr>
          <w:rFonts w:ascii="Times New Roman" w:hAnsi="Times New Roman" w:cs="Times New Roman"/>
          <w:kern w:val="0"/>
          <w:szCs w:val="22"/>
          <w:lang w:val="zh-CN"/>
        </w:rPr>
        <w:t>人员应当回避情形；组织推选</w:t>
      </w:r>
      <w:r>
        <w:rPr>
          <w:rFonts w:hint="eastAsia" w:ascii="Times New Roman" w:hAnsi="Times New Roman" w:cs="Times New Roman"/>
          <w:kern w:val="0"/>
          <w:szCs w:val="22"/>
          <w:lang w:val="zh-CN"/>
        </w:rPr>
        <w:t>谈判</w:t>
      </w:r>
      <w:r>
        <w:rPr>
          <w:rFonts w:ascii="Times New Roman" w:hAnsi="Times New Roman" w:cs="Times New Roman"/>
          <w:kern w:val="0"/>
          <w:szCs w:val="22"/>
          <w:lang w:val="zh-CN"/>
        </w:rPr>
        <w:t>小组组长。</w:t>
      </w:r>
    </w:p>
    <w:p>
      <w:pPr>
        <w:pStyle w:val="24"/>
        <w:ind w:firstLine="412" w:firstLineChars="196"/>
        <w:rPr>
          <w:rFonts w:ascii="Times New Roman" w:hAnsi="Times New Roman" w:cs="Times New Roman"/>
          <w:kern w:val="0"/>
          <w:szCs w:val="22"/>
          <w:lang w:val="zh-CN"/>
        </w:rPr>
      </w:pPr>
      <w:r>
        <w:rPr>
          <w:rFonts w:hint="eastAsia" w:ascii="Times New Roman" w:hAnsi="Times New Roman" w:cs="Times New Roman"/>
          <w:kern w:val="0"/>
          <w:szCs w:val="22"/>
          <w:lang w:val="zh-CN"/>
        </w:rPr>
        <w:t>6.3.</w:t>
      </w:r>
      <w:r>
        <w:rPr>
          <w:rFonts w:hint="eastAsia" w:ascii="Times New Roman" w:hAnsi="Times New Roman" w:cs="Times New Roman"/>
          <w:kern w:val="0"/>
          <w:szCs w:val="22"/>
        </w:rPr>
        <w:t>3</w:t>
      </w:r>
      <w:r>
        <w:rPr>
          <w:rFonts w:ascii="Times New Roman" w:hAnsi="Times New Roman" w:cs="Times New Roman"/>
          <w:kern w:val="0"/>
          <w:szCs w:val="22"/>
          <w:lang w:val="zh-CN"/>
        </w:rPr>
        <w:t>根据需要简要介绍</w:t>
      </w:r>
      <w:r>
        <w:rPr>
          <w:rFonts w:hint="eastAsia"/>
        </w:rPr>
        <w:t>谈判</w:t>
      </w:r>
      <w:r>
        <w:rPr>
          <w:rFonts w:ascii="Times New Roman" w:hAnsi="Times New Roman" w:cs="Times New Roman"/>
          <w:kern w:val="0"/>
          <w:szCs w:val="22"/>
          <w:lang w:val="zh-CN"/>
        </w:rPr>
        <w:t>文件(含补充文件)制定及质疑答复情况、按书面陈述项目基本情况及</w:t>
      </w:r>
      <w:r>
        <w:rPr>
          <w:rFonts w:hint="eastAsia" w:ascii="Times New Roman" w:hAnsi="Times New Roman" w:cs="Times New Roman"/>
          <w:kern w:val="0"/>
          <w:szCs w:val="22"/>
          <w:lang w:val="zh-CN"/>
        </w:rPr>
        <w:t>谈判</w:t>
      </w:r>
      <w:r>
        <w:rPr>
          <w:rFonts w:ascii="Times New Roman" w:hAnsi="Times New Roman" w:cs="Times New Roman"/>
          <w:kern w:val="0"/>
          <w:szCs w:val="22"/>
          <w:lang w:val="zh-CN"/>
        </w:rPr>
        <w:t>工作需注意事项等，让</w:t>
      </w:r>
      <w:r>
        <w:rPr>
          <w:rFonts w:hint="eastAsia" w:ascii="Times New Roman" w:hAnsi="Times New Roman" w:cs="Times New Roman"/>
          <w:kern w:val="0"/>
          <w:szCs w:val="22"/>
          <w:lang w:val="zh-CN"/>
        </w:rPr>
        <w:t>谈判小组</w:t>
      </w:r>
      <w:r>
        <w:rPr>
          <w:rFonts w:ascii="Times New Roman" w:hAnsi="Times New Roman" w:cs="Times New Roman"/>
          <w:kern w:val="0"/>
          <w:szCs w:val="22"/>
          <w:lang w:val="zh-CN"/>
        </w:rPr>
        <w:t>尽快知悉和了解所评审项目的</w:t>
      </w:r>
      <w:r>
        <w:rPr>
          <w:rFonts w:hint="eastAsia" w:ascii="Times New Roman" w:hAnsi="Times New Roman" w:cs="Times New Roman"/>
          <w:kern w:val="0"/>
          <w:szCs w:val="22"/>
          <w:lang w:val="zh-CN"/>
        </w:rPr>
        <w:t>项目需求</w:t>
      </w:r>
      <w:r>
        <w:rPr>
          <w:rFonts w:ascii="Times New Roman" w:hAnsi="Times New Roman" w:cs="Times New Roman"/>
          <w:kern w:val="0"/>
          <w:szCs w:val="22"/>
          <w:lang w:val="zh-CN"/>
        </w:rPr>
        <w:t>、评审依据、评审标准、工作程序等；提醒</w:t>
      </w:r>
      <w:r>
        <w:rPr>
          <w:rFonts w:hint="eastAsia" w:ascii="Times New Roman" w:hAnsi="Times New Roman" w:cs="Times New Roman"/>
          <w:kern w:val="0"/>
          <w:szCs w:val="22"/>
          <w:lang w:val="zh-CN"/>
        </w:rPr>
        <w:t>谈判</w:t>
      </w:r>
      <w:r>
        <w:rPr>
          <w:rFonts w:ascii="Times New Roman" w:hAnsi="Times New Roman" w:cs="Times New Roman"/>
          <w:kern w:val="0"/>
          <w:szCs w:val="22"/>
          <w:lang w:val="zh-CN"/>
        </w:rPr>
        <w:t>小组对客观评审项目应统一评审依据和评审标准，对主观评审项目应确定大致的评审要求和评审尺度；对</w:t>
      </w:r>
      <w:r>
        <w:rPr>
          <w:rFonts w:hint="eastAsia" w:ascii="Times New Roman" w:hAnsi="Times New Roman" w:cs="Times New Roman"/>
          <w:kern w:val="0"/>
          <w:szCs w:val="22"/>
          <w:lang w:val="zh-CN"/>
        </w:rPr>
        <w:t>谈判小组</w:t>
      </w:r>
      <w:r>
        <w:rPr>
          <w:rFonts w:ascii="Times New Roman" w:hAnsi="Times New Roman" w:cs="Times New Roman"/>
          <w:kern w:val="0"/>
          <w:szCs w:val="22"/>
          <w:lang w:val="zh-CN"/>
        </w:rPr>
        <w:t>人员提出的有关</w:t>
      </w:r>
      <w:r>
        <w:rPr>
          <w:rFonts w:hint="eastAsia"/>
        </w:rPr>
        <w:t>谈判</w:t>
      </w:r>
      <w:r>
        <w:rPr>
          <w:rFonts w:ascii="Times New Roman" w:hAnsi="Times New Roman" w:cs="Times New Roman"/>
          <w:kern w:val="0"/>
          <w:szCs w:val="22"/>
          <w:lang w:val="zh-CN"/>
        </w:rPr>
        <w:t>文件、</w:t>
      </w:r>
      <w:r>
        <w:rPr>
          <w:rFonts w:hint="eastAsia" w:ascii="Times New Roman" w:hAnsi="Times New Roman" w:cs="Times New Roman"/>
          <w:kern w:val="0"/>
          <w:szCs w:val="22"/>
          <w:lang w:val="zh-CN"/>
        </w:rPr>
        <w:t>响应</w:t>
      </w:r>
      <w:r>
        <w:rPr>
          <w:rFonts w:ascii="Times New Roman" w:hAnsi="Times New Roman" w:cs="Times New Roman"/>
          <w:kern w:val="0"/>
          <w:szCs w:val="22"/>
          <w:lang w:val="zh-CN"/>
        </w:rPr>
        <w:t>文件的问题进行必要的说明、解释或讨论。</w:t>
      </w:r>
    </w:p>
    <w:p>
      <w:pPr>
        <w:pStyle w:val="24"/>
        <w:ind w:firstLine="412" w:firstLineChars="196"/>
        <w:rPr>
          <w:rFonts w:ascii="Times New Roman" w:hAnsi="Times New Roman" w:cs="Times New Roman"/>
          <w:kern w:val="0"/>
          <w:szCs w:val="22"/>
          <w:lang w:val="zh-CN"/>
        </w:rPr>
      </w:pPr>
      <w:r>
        <w:rPr>
          <w:rFonts w:hint="eastAsia" w:ascii="Times New Roman" w:hAnsi="Times New Roman" w:cs="Times New Roman"/>
          <w:kern w:val="0"/>
          <w:szCs w:val="22"/>
          <w:lang w:val="zh-CN"/>
        </w:rPr>
        <w:t>6.3.</w:t>
      </w:r>
      <w:r>
        <w:rPr>
          <w:rFonts w:hint="eastAsia" w:ascii="Times New Roman" w:hAnsi="Times New Roman" w:cs="Times New Roman"/>
          <w:kern w:val="0"/>
          <w:szCs w:val="22"/>
        </w:rPr>
        <w:t>4</w:t>
      </w:r>
      <w:r>
        <w:rPr>
          <w:rFonts w:hint="eastAsia" w:ascii="Times New Roman" w:hAnsi="Times New Roman" w:cs="Times New Roman"/>
          <w:kern w:val="0"/>
          <w:szCs w:val="22"/>
          <w:lang w:val="zh-CN"/>
        </w:rPr>
        <w:t>谈判</w:t>
      </w:r>
      <w:r>
        <w:rPr>
          <w:rFonts w:ascii="Times New Roman" w:hAnsi="Times New Roman" w:cs="Times New Roman"/>
          <w:kern w:val="0"/>
          <w:szCs w:val="22"/>
          <w:lang w:val="zh-CN"/>
        </w:rPr>
        <w:t>小组组长组织</w:t>
      </w:r>
      <w:r>
        <w:rPr>
          <w:rFonts w:hint="eastAsia" w:ascii="Times New Roman" w:hAnsi="Times New Roman" w:cs="Times New Roman"/>
          <w:kern w:val="0"/>
          <w:szCs w:val="22"/>
          <w:lang w:val="zh-CN"/>
        </w:rPr>
        <w:t>谈判小组</w:t>
      </w:r>
      <w:r>
        <w:rPr>
          <w:rFonts w:ascii="Times New Roman" w:hAnsi="Times New Roman" w:cs="Times New Roman"/>
          <w:kern w:val="0"/>
          <w:szCs w:val="22"/>
          <w:lang w:val="zh-CN"/>
        </w:rPr>
        <w:t>人员独立评审。</w:t>
      </w:r>
      <w:r>
        <w:rPr>
          <w:rFonts w:hint="eastAsia" w:ascii="Times New Roman" w:hAnsi="Times New Roman" w:cs="Times New Roman"/>
          <w:kern w:val="0"/>
          <w:szCs w:val="22"/>
          <w:lang w:val="zh-CN"/>
        </w:rPr>
        <w:t>谈判</w:t>
      </w:r>
      <w:r>
        <w:rPr>
          <w:rFonts w:ascii="Times New Roman" w:hAnsi="Times New Roman" w:cs="Times New Roman"/>
          <w:kern w:val="0"/>
          <w:szCs w:val="22"/>
          <w:lang w:val="zh-CN"/>
        </w:rPr>
        <w:t>小组对拟认定为</w:t>
      </w:r>
      <w:r>
        <w:rPr>
          <w:rFonts w:hint="eastAsia" w:ascii="Times New Roman" w:hAnsi="Times New Roman" w:cs="Times New Roman"/>
          <w:kern w:val="0"/>
          <w:szCs w:val="22"/>
          <w:lang w:val="zh-CN"/>
        </w:rPr>
        <w:t>响应</w:t>
      </w:r>
      <w:r>
        <w:rPr>
          <w:rFonts w:ascii="Times New Roman" w:hAnsi="Times New Roman" w:cs="Times New Roman"/>
          <w:kern w:val="0"/>
          <w:szCs w:val="22"/>
          <w:lang w:val="zh-CN"/>
        </w:rPr>
        <w:t>文件无效、</w:t>
      </w:r>
      <w:r>
        <w:rPr>
          <w:rFonts w:hint="eastAsia" w:ascii="Times New Roman" w:hAnsi="Times New Roman" w:cs="Times New Roman"/>
          <w:kern w:val="0"/>
          <w:szCs w:val="22"/>
          <w:lang w:val="zh-CN"/>
        </w:rPr>
        <w:t>响应方</w:t>
      </w:r>
      <w:r>
        <w:rPr>
          <w:rFonts w:ascii="Times New Roman" w:hAnsi="Times New Roman" w:cs="Times New Roman"/>
          <w:kern w:val="0"/>
          <w:szCs w:val="22"/>
          <w:lang w:val="zh-CN"/>
        </w:rPr>
        <w:t>资格不符合的，应组织相关</w:t>
      </w:r>
      <w:r>
        <w:rPr>
          <w:rFonts w:hint="eastAsia" w:ascii="Times New Roman" w:hAnsi="Times New Roman" w:cs="Times New Roman"/>
          <w:kern w:val="0"/>
          <w:szCs w:val="22"/>
          <w:lang w:val="zh-CN"/>
        </w:rPr>
        <w:t>响应方</w:t>
      </w:r>
      <w:r>
        <w:rPr>
          <w:rFonts w:ascii="Times New Roman" w:hAnsi="Times New Roman" w:cs="Times New Roman"/>
          <w:kern w:val="0"/>
          <w:szCs w:val="22"/>
          <w:lang w:val="zh-CN"/>
        </w:rPr>
        <w:t>代表进行陈述、澄清或申辩；</w:t>
      </w:r>
      <w:r>
        <w:rPr>
          <w:rFonts w:hint="eastAsia" w:ascii="Times New Roman" w:hAnsi="Times New Roman" w:cs="Times New Roman"/>
          <w:kern w:val="0"/>
          <w:szCs w:val="22"/>
          <w:lang w:val="zh-CN"/>
        </w:rPr>
        <w:t>招标</w:t>
      </w:r>
      <w:r>
        <w:rPr>
          <w:rFonts w:hint="eastAsia" w:ascii="Times New Roman" w:hAnsi="Times New Roman" w:cs="Times New Roman"/>
          <w:kern w:val="0"/>
          <w:szCs w:val="22"/>
        </w:rPr>
        <w:t>代理机构</w:t>
      </w:r>
      <w:r>
        <w:rPr>
          <w:rFonts w:ascii="Times New Roman" w:hAnsi="Times New Roman" w:cs="Times New Roman"/>
          <w:kern w:val="0"/>
          <w:szCs w:val="22"/>
          <w:lang w:val="zh-CN"/>
        </w:rPr>
        <w:t>协助</w:t>
      </w:r>
      <w:r>
        <w:rPr>
          <w:rFonts w:hint="eastAsia" w:ascii="Times New Roman" w:hAnsi="Times New Roman" w:cs="Times New Roman"/>
          <w:kern w:val="0"/>
          <w:szCs w:val="22"/>
          <w:lang w:val="zh-CN"/>
        </w:rPr>
        <w:t>谈判</w:t>
      </w:r>
      <w:r>
        <w:rPr>
          <w:rFonts w:ascii="Times New Roman" w:hAnsi="Times New Roman" w:cs="Times New Roman"/>
          <w:kern w:val="0"/>
          <w:szCs w:val="22"/>
          <w:lang w:val="zh-CN"/>
        </w:rPr>
        <w:t>小组组长对打分结果进行校对、核对并汇总统计；</w:t>
      </w:r>
      <w:r>
        <w:rPr>
          <w:rFonts w:hint="eastAsia" w:ascii="Times New Roman" w:hAnsi="Times New Roman" w:cs="Times New Roman"/>
          <w:kern w:val="0"/>
          <w:szCs w:val="22"/>
          <w:lang w:val="zh-CN"/>
        </w:rPr>
        <w:t>谈判小组人</w:t>
      </w:r>
      <w:r>
        <w:rPr>
          <w:rFonts w:ascii="Times New Roman" w:hAnsi="Times New Roman" w:cs="Times New Roman"/>
          <w:kern w:val="0"/>
          <w:szCs w:val="22"/>
          <w:lang w:val="zh-CN"/>
        </w:rPr>
        <w:t>员的评审、修改记录应保留原件，随项目其他资料一并存档。</w:t>
      </w:r>
    </w:p>
    <w:p>
      <w:pPr>
        <w:pStyle w:val="24"/>
        <w:ind w:firstLine="412" w:firstLineChars="196"/>
        <w:rPr>
          <w:rFonts w:ascii="Times New Roman" w:hAnsi="Times New Roman" w:cs="Times New Roman"/>
          <w:kern w:val="0"/>
          <w:szCs w:val="22"/>
          <w:lang w:val="zh-CN"/>
        </w:rPr>
      </w:pPr>
      <w:r>
        <w:rPr>
          <w:rFonts w:hint="eastAsia" w:ascii="Times New Roman" w:hAnsi="Times New Roman" w:cs="Times New Roman"/>
          <w:kern w:val="0"/>
          <w:szCs w:val="22"/>
          <w:lang w:val="zh-CN"/>
        </w:rPr>
        <w:t>6.3.</w:t>
      </w:r>
      <w:r>
        <w:rPr>
          <w:rFonts w:hint="eastAsia" w:ascii="Times New Roman" w:hAnsi="Times New Roman" w:cs="Times New Roman"/>
          <w:kern w:val="0"/>
          <w:szCs w:val="22"/>
        </w:rPr>
        <w:t>5</w:t>
      </w:r>
      <w:r>
        <w:rPr>
          <w:rFonts w:ascii="Times New Roman" w:hAnsi="Times New Roman" w:cs="Times New Roman"/>
          <w:kern w:val="0"/>
          <w:szCs w:val="22"/>
          <w:lang w:val="zh-CN"/>
        </w:rPr>
        <w:t>做好</w:t>
      </w:r>
      <w:r>
        <w:rPr>
          <w:rFonts w:hint="eastAsia" w:ascii="Times New Roman" w:hAnsi="Times New Roman" w:cs="Times New Roman"/>
          <w:kern w:val="0"/>
          <w:szCs w:val="22"/>
          <w:lang w:val="zh-CN"/>
        </w:rPr>
        <w:t>谈判</w:t>
      </w:r>
      <w:r>
        <w:rPr>
          <w:rFonts w:ascii="Times New Roman" w:hAnsi="Times New Roman" w:cs="Times New Roman"/>
          <w:kern w:val="0"/>
          <w:szCs w:val="22"/>
          <w:lang w:val="zh-CN"/>
        </w:rPr>
        <w:t>现场相关记录，协助</w:t>
      </w:r>
      <w:r>
        <w:rPr>
          <w:rFonts w:hint="eastAsia" w:ascii="Times New Roman" w:hAnsi="Times New Roman" w:cs="Times New Roman"/>
          <w:kern w:val="0"/>
          <w:szCs w:val="22"/>
          <w:lang w:val="zh-CN"/>
        </w:rPr>
        <w:t>谈判</w:t>
      </w:r>
      <w:r>
        <w:rPr>
          <w:rFonts w:ascii="Times New Roman" w:hAnsi="Times New Roman" w:cs="Times New Roman"/>
          <w:kern w:val="0"/>
          <w:szCs w:val="22"/>
          <w:lang w:val="zh-CN"/>
        </w:rPr>
        <w:t>小组组长做好评审报告起草、有关内容电脑文字录入等工作，并要求</w:t>
      </w:r>
      <w:r>
        <w:rPr>
          <w:rFonts w:hint="eastAsia" w:ascii="Times New Roman" w:hAnsi="Times New Roman" w:cs="Times New Roman"/>
          <w:kern w:val="0"/>
          <w:szCs w:val="22"/>
          <w:lang w:val="zh-CN"/>
        </w:rPr>
        <w:t>谈判</w:t>
      </w:r>
      <w:r>
        <w:rPr>
          <w:rFonts w:ascii="Times New Roman" w:hAnsi="Times New Roman" w:cs="Times New Roman"/>
          <w:kern w:val="0"/>
          <w:szCs w:val="22"/>
          <w:lang w:val="zh-CN"/>
        </w:rPr>
        <w:t>小组各成员签字确认。</w:t>
      </w:r>
    </w:p>
    <w:p>
      <w:pPr>
        <w:pStyle w:val="24"/>
        <w:outlineLvl w:val="2"/>
        <w:rPr>
          <w:rFonts w:ascii="Times New Roman" w:hAnsi="Times New Roman" w:cs="Times New Roman"/>
          <w:b/>
          <w:bCs/>
          <w:szCs w:val="32"/>
        </w:rPr>
      </w:pPr>
      <w:r>
        <w:rPr>
          <w:rFonts w:hint="eastAsia" w:ascii="Times New Roman" w:hAnsi="Times New Roman" w:cs="Times New Roman"/>
          <w:b/>
          <w:bCs/>
          <w:szCs w:val="32"/>
        </w:rPr>
        <w:t>6.4 谈判</w:t>
      </w:r>
      <w:r>
        <w:rPr>
          <w:rFonts w:ascii="Times New Roman" w:hAnsi="Times New Roman" w:cs="Times New Roman"/>
          <w:b/>
          <w:bCs/>
          <w:szCs w:val="32"/>
        </w:rPr>
        <w:t>程序</w:t>
      </w:r>
    </w:p>
    <w:p>
      <w:pPr>
        <w:pStyle w:val="24"/>
        <w:ind w:firstLine="412" w:firstLineChars="196"/>
        <w:rPr>
          <w:rFonts w:ascii="Times New Roman" w:hAnsi="Times New Roman" w:cs="Times New Roman"/>
          <w:kern w:val="0"/>
          <w:szCs w:val="22"/>
          <w:lang w:val="zh-CN"/>
        </w:rPr>
      </w:pPr>
      <w:r>
        <w:rPr>
          <w:rFonts w:hint="eastAsia" w:ascii="Times New Roman" w:hAnsi="Times New Roman" w:cs="Times New Roman"/>
          <w:kern w:val="0"/>
          <w:szCs w:val="22"/>
          <w:lang w:val="zh-CN"/>
        </w:rPr>
        <w:t xml:space="preserve">6.4.1 </w:t>
      </w:r>
      <w:r>
        <w:rPr>
          <w:rFonts w:ascii="Times New Roman" w:hAnsi="Times New Roman" w:cs="Times New Roman"/>
          <w:kern w:val="0"/>
          <w:szCs w:val="22"/>
          <w:lang w:val="zh-CN"/>
        </w:rPr>
        <w:t>在评审专家中推选</w:t>
      </w:r>
      <w:r>
        <w:rPr>
          <w:rFonts w:hint="eastAsia" w:ascii="Times New Roman" w:hAnsi="Times New Roman" w:cs="Times New Roman"/>
          <w:kern w:val="0"/>
          <w:szCs w:val="22"/>
          <w:lang w:val="zh-CN"/>
        </w:rPr>
        <w:t>谈判</w:t>
      </w:r>
      <w:r>
        <w:rPr>
          <w:rFonts w:ascii="Times New Roman" w:hAnsi="Times New Roman" w:cs="Times New Roman"/>
          <w:kern w:val="0"/>
          <w:szCs w:val="22"/>
          <w:lang w:val="zh-CN"/>
        </w:rPr>
        <w:t>小组组长。</w:t>
      </w:r>
    </w:p>
    <w:p>
      <w:pPr>
        <w:pStyle w:val="24"/>
        <w:ind w:firstLine="412" w:firstLineChars="196"/>
        <w:rPr>
          <w:rFonts w:ascii="Times New Roman" w:hAnsi="Times New Roman" w:cs="Times New Roman"/>
          <w:kern w:val="0"/>
          <w:szCs w:val="22"/>
          <w:lang w:val="zh-CN"/>
        </w:rPr>
      </w:pPr>
      <w:r>
        <w:rPr>
          <w:rFonts w:hint="eastAsia" w:ascii="Times New Roman" w:hAnsi="Times New Roman" w:cs="Times New Roman"/>
          <w:kern w:val="0"/>
          <w:szCs w:val="22"/>
          <w:lang w:val="zh-CN"/>
        </w:rPr>
        <w:t>6.4.2 谈判</w:t>
      </w:r>
      <w:r>
        <w:rPr>
          <w:rFonts w:ascii="Times New Roman" w:hAnsi="Times New Roman" w:cs="Times New Roman"/>
          <w:kern w:val="0"/>
          <w:szCs w:val="22"/>
          <w:lang w:val="zh-CN"/>
        </w:rPr>
        <w:t>小组组长召集成员认真阅读</w:t>
      </w:r>
      <w:r>
        <w:rPr>
          <w:rFonts w:hint="eastAsia"/>
        </w:rPr>
        <w:t>谈判</w:t>
      </w:r>
      <w:r>
        <w:rPr>
          <w:rFonts w:ascii="Times New Roman" w:hAnsi="Times New Roman" w:cs="Times New Roman"/>
          <w:kern w:val="0"/>
          <w:szCs w:val="22"/>
          <w:lang w:val="zh-CN"/>
        </w:rPr>
        <w:t>文件以及相关补充、质疑、答复文件、项目书面说明等材料，熟悉</w:t>
      </w:r>
      <w:r>
        <w:rPr>
          <w:rFonts w:hint="eastAsia" w:ascii="Times New Roman" w:hAnsi="Times New Roman" w:cs="Times New Roman"/>
          <w:kern w:val="0"/>
          <w:szCs w:val="22"/>
          <w:lang w:val="zh-CN"/>
        </w:rPr>
        <w:t>招标项目</w:t>
      </w:r>
      <w:r>
        <w:rPr>
          <w:rFonts w:ascii="Times New Roman" w:hAnsi="Times New Roman" w:cs="Times New Roman"/>
          <w:kern w:val="0"/>
          <w:szCs w:val="22"/>
          <w:lang w:val="zh-CN"/>
        </w:rPr>
        <w:t>的基本概况，</w:t>
      </w:r>
      <w:r>
        <w:rPr>
          <w:rFonts w:hint="eastAsia" w:ascii="Times New Roman" w:hAnsi="Times New Roman" w:cs="Times New Roman"/>
          <w:kern w:val="0"/>
          <w:szCs w:val="22"/>
          <w:lang w:val="zh-CN"/>
        </w:rPr>
        <w:t>招标项目</w:t>
      </w:r>
      <w:r>
        <w:rPr>
          <w:rFonts w:ascii="Times New Roman" w:hAnsi="Times New Roman" w:cs="Times New Roman"/>
          <w:kern w:val="0"/>
          <w:szCs w:val="22"/>
          <w:lang w:val="zh-CN"/>
        </w:rPr>
        <w:t>的</w:t>
      </w:r>
      <w:r>
        <w:rPr>
          <w:rFonts w:hint="eastAsia" w:ascii="Times New Roman" w:hAnsi="Times New Roman" w:cs="Times New Roman"/>
          <w:kern w:val="0"/>
          <w:szCs w:val="22"/>
          <w:lang w:val="zh-CN"/>
        </w:rPr>
        <w:t>项目需求与标准、招标范围、主要合同条款</w:t>
      </w:r>
      <w:r>
        <w:rPr>
          <w:rFonts w:ascii="Times New Roman" w:hAnsi="Times New Roman" w:cs="Times New Roman"/>
          <w:kern w:val="0"/>
          <w:szCs w:val="22"/>
          <w:lang w:val="zh-CN"/>
        </w:rPr>
        <w:t>，</w:t>
      </w:r>
      <w:r>
        <w:rPr>
          <w:rFonts w:hint="eastAsia" w:ascii="Times New Roman" w:hAnsi="Times New Roman" w:cs="Times New Roman"/>
          <w:kern w:val="0"/>
          <w:szCs w:val="22"/>
          <w:lang w:val="zh-CN"/>
        </w:rPr>
        <w:t>响应文件</w:t>
      </w:r>
      <w:r>
        <w:rPr>
          <w:rFonts w:ascii="Times New Roman" w:hAnsi="Times New Roman" w:cs="Times New Roman"/>
          <w:kern w:val="0"/>
          <w:szCs w:val="22"/>
          <w:lang w:val="zh-CN"/>
        </w:rPr>
        <w:t>无效情形，评审方法、评审依据、评审标准等。</w:t>
      </w:r>
    </w:p>
    <w:p>
      <w:pPr>
        <w:pStyle w:val="24"/>
        <w:ind w:firstLine="412" w:firstLineChars="196"/>
        <w:rPr>
          <w:rFonts w:ascii="Times New Roman" w:hAnsi="Times New Roman" w:cs="Times New Roman"/>
          <w:kern w:val="0"/>
          <w:szCs w:val="22"/>
          <w:lang w:val="zh-CN"/>
        </w:rPr>
      </w:pPr>
      <w:r>
        <w:rPr>
          <w:rFonts w:hint="eastAsia" w:ascii="Times New Roman" w:hAnsi="Times New Roman" w:cs="Times New Roman"/>
          <w:kern w:val="0"/>
          <w:szCs w:val="22"/>
          <w:lang w:val="zh-CN"/>
        </w:rPr>
        <w:t>6.4.3谈判小组</w:t>
      </w:r>
      <w:r>
        <w:rPr>
          <w:rFonts w:ascii="Times New Roman" w:hAnsi="Times New Roman" w:cs="Times New Roman"/>
          <w:kern w:val="0"/>
          <w:szCs w:val="22"/>
          <w:lang w:val="zh-CN"/>
        </w:rPr>
        <w:t>人员对各</w:t>
      </w:r>
      <w:r>
        <w:rPr>
          <w:rFonts w:hint="eastAsia" w:ascii="Times New Roman" w:hAnsi="Times New Roman" w:cs="Times New Roman"/>
          <w:kern w:val="0"/>
          <w:szCs w:val="22"/>
          <w:lang w:val="zh-CN"/>
        </w:rPr>
        <w:t>谈判响应方响应</w:t>
      </w:r>
      <w:r>
        <w:rPr>
          <w:rFonts w:ascii="Times New Roman" w:hAnsi="Times New Roman" w:cs="Times New Roman"/>
          <w:kern w:val="0"/>
          <w:szCs w:val="22"/>
          <w:lang w:val="zh-CN"/>
        </w:rPr>
        <w:t>文件的有效性、完整性和响应程度进行审查，确定是否对</w:t>
      </w:r>
      <w:r>
        <w:rPr>
          <w:rFonts w:hint="eastAsia"/>
        </w:rPr>
        <w:t>谈判</w:t>
      </w:r>
      <w:r>
        <w:rPr>
          <w:rFonts w:ascii="Times New Roman" w:hAnsi="Times New Roman" w:cs="Times New Roman"/>
          <w:kern w:val="0"/>
          <w:szCs w:val="22"/>
          <w:lang w:val="zh-CN"/>
        </w:rPr>
        <w:t>文件作出实质性响应。</w:t>
      </w:r>
    </w:p>
    <w:p>
      <w:pPr>
        <w:pStyle w:val="24"/>
        <w:ind w:firstLine="412" w:firstLineChars="196"/>
        <w:rPr>
          <w:rFonts w:ascii="Times New Roman" w:hAnsi="Times New Roman" w:cs="Times New Roman"/>
          <w:kern w:val="0"/>
          <w:szCs w:val="22"/>
          <w:lang w:val="zh-CN"/>
        </w:rPr>
      </w:pPr>
      <w:r>
        <w:rPr>
          <w:rFonts w:hint="eastAsia" w:ascii="Times New Roman" w:hAnsi="Times New Roman" w:cs="Times New Roman"/>
          <w:kern w:val="0"/>
          <w:szCs w:val="22"/>
          <w:lang w:val="zh-CN"/>
        </w:rPr>
        <w:t>6.4.4谈判小组</w:t>
      </w:r>
      <w:r>
        <w:rPr>
          <w:rFonts w:ascii="Times New Roman" w:hAnsi="Times New Roman" w:cs="Times New Roman"/>
          <w:kern w:val="0"/>
          <w:szCs w:val="22"/>
          <w:lang w:val="zh-CN"/>
        </w:rPr>
        <w:t>人员按</w:t>
      </w:r>
      <w:r>
        <w:rPr>
          <w:rFonts w:hint="eastAsia"/>
        </w:rPr>
        <w:t>谈判</w:t>
      </w:r>
      <w:r>
        <w:rPr>
          <w:rFonts w:ascii="Times New Roman" w:hAnsi="Times New Roman" w:cs="Times New Roman"/>
          <w:kern w:val="0"/>
          <w:szCs w:val="22"/>
          <w:lang w:val="zh-CN"/>
        </w:rPr>
        <w:t>文件规定的评审方法和评审标准，依法独立对</w:t>
      </w:r>
      <w:r>
        <w:rPr>
          <w:rFonts w:hint="eastAsia" w:ascii="Times New Roman" w:hAnsi="Times New Roman" w:cs="Times New Roman"/>
          <w:kern w:val="0"/>
          <w:szCs w:val="22"/>
          <w:lang w:val="zh-CN"/>
        </w:rPr>
        <w:t>谈判响应方响应</w:t>
      </w:r>
      <w:r>
        <w:rPr>
          <w:rFonts w:ascii="Times New Roman" w:hAnsi="Times New Roman" w:cs="Times New Roman"/>
          <w:kern w:val="0"/>
          <w:szCs w:val="22"/>
          <w:lang w:val="zh-CN"/>
        </w:rPr>
        <w:t>文件进行评估、比较，并给予评价或打分。</w:t>
      </w:r>
    </w:p>
    <w:p>
      <w:pPr>
        <w:pStyle w:val="24"/>
        <w:ind w:firstLine="412" w:firstLineChars="196"/>
        <w:rPr>
          <w:rFonts w:ascii="Times New Roman" w:hAnsi="Times New Roman" w:cs="Times New Roman"/>
          <w:kern w:val="0"/>
          <w:szCs w:val="22"/>
          <w:lang w:val="zh-CN"/>
        </w:rPr>
      </w:pPr>
      <w:r>
        <w:rPr>
          <w:rFonts w:hint="eastAsia" w:ascii="Times New Roman" w:hAnsi="Times New Roman" w:cs="Times New Roman"/>
          <w:kern w:val="0"/>
          <w:szCs w:val="22"/>
          <w:lang w:val="zh-CN"/>
        </w:rPr>
        <w:t>6.4.5谈判小组</w:t>
      </w:r>
      <w:r>
        <w:rPr>
          <w:rFonts w:ascii="Times New Roman" w:hAnsi="Times New Roman" w:cs="Times New Roman"/>
          <w:kern w:val="0"/>
          <w:szCs w:val="22"/>
          <w:lang w:val="zh-CN"/>
        </w:rPr>
        <w:t>人员对各</w:t>
      </w:r>
      <w:r>
        <w:rPr>
          <w:rFonts w:hint="eastAsia" w:ascii="Times New Roman" w:hAnsi="Times New Roman" w:cs="Times New Roman"/>
          <w:kern w:val="0"/>
          <w:szCs w:val="22"/>
          <w:lang w:val="zh-CN"/>
        </w:rPr>
        <w:t>谈判响应方响应</w:t>
      </w:r>
      <w:r>
        <w:rPr>
          <w:rFonts w:ascii="Times New Roman" w:hAnsi="Times New Roman" w:cs="Times New Roman"/>
          <w:kern w:val="0"/>
          <w:szCs w:val="22"/>
          <w:lang w:val="zh-CN"/>
        </w:rPr>
        <w:t>文件非实质性内容有疑议或异议，或者审查发现明显的文字或计算错误等，及时向</w:t>
      </w:r>
      <w:r>
        <w:rPr>
          <w:rFonts w:hint="eastAsia" w:ascii="Times New Roman" w:hAnsi="Times New Roman" w:cs="Times New Roman"/>
          <w:kern w:val="0"/>
          <w:szCs w:val="22"/>
          <w:lang w:val="zh-CN"/>
        </w:rPr>
        <w:t>谈判</w:t>
      </w:r>
      <w:r>
        <w:rPr>
          <w:rFonts w:ascii="Times New Roman" w:hAnsi="Times New Roman" w:cs="Times New Roman"/>
          <w:kern w:val="0"/>
          <w:szCs w:val="22"/>
          <w:lang w:val="zh-CN"/>
        </w:rPr>
        <w:t>小组组长提出。经</w:t>
      </w:r>
      <w:r>
        <w:rPr>
          <w:rFonts w:hint="eastAsia" w:ascii="Times New Roman" w:hAnsi="Times New Roman" w:cs="Times New Roman"/>
          <w:kern w:val="0"/>
          <w:szCs w:val="22"/>
          <w:lang w:val="zh-CN"/>
        </w:rPr>
        <w:t>谈判</w:t>
      </w:r>
      <w:r>
        <w:rPr>
          <w:rFonts w:ascii="Times New Roman" w:hAnsi="Times New Roman" w:cs="Times New Roman"/>
          <w:kern w:val="0"/>
          <w:szCs w:val="22"/>
          <w:lang w:val="zh-CN"/>
        </w:rPr>
        <w:t>小组商议认为需要</w:t>
      </w:r>
      <w:r>
        <w:rPr>
          <w:rFonts w:hint="eastAsia" w:ascii="Times New Roman" w:hAnsi="Times New Roman" w:cs="Times New Roman"/>
          <w:kern w:val="0"/>
          <w:szCs w:val="22"/>
          <w:lang w:val="zh-CN"/>
        </w:rPr>
        <w:t>响应方</w:t>
      </w:r>
      <w:r>
        <w:rPr>
          <w:rFonts w:ascii="Times New Roman" w:hAnsi="Times New Roman" w:cs="Times New Roman"/>
          <w:kern w:val="0"/>
          <w:szCs w:val="22"/>
          <w:lang w:val="zh-CN"/>
        </w:rPr>
        <w:t>作出必要澄清或说明的，应通知该</w:t>
      </w:r>
      <w:r>
        <w:rPr>
          <w:rFonts w:hint="eastAsia" w:ascii="Times New Roman" w:hAnsi="Times New Roman" w:cs="Times New Roman"/>
          <w:kern w:val="0"/>
          <w:szCs w:val="22"/>
          <w:lang w:val="zh-CN"/>
        </w:rPr>
        <w:t>响应方</w:t>
      </w:r>
      <w:r>
        <w:rPr>
          <w:rFonts w:ascii="Times New Roman" w:hAnsi="Times New Roman" w:cs="Times New Roman"/>
          <w:kern w:val="0"/>
          <w:szCs w:val="22"/>
          <w:lang w:val="zh-CN"/>
        </w:rPr>
        <w:t>以书面形式作出澄清或说明。授权代表未到场或拒绝澄清说明或澄清说明的内容改变了</w:t>
      </w:r>
      <w:r>
        <w:rPr>
          <w:rFonts w:hint="eastAsia" w:ascii="Times New Roman" w:hAnsi="Times New Roman" w:cs="Times New Roman"/>
          <w:kern w:val="0"/>
          <w:szCs w:val="22"/>
          <w:lang w:val="zh-CN"/>
        </w:rPr>
        <w:t>响应</w:t>
      </w:r>
      <w:r>
        <w:rPr>
          <w:rFonts w:ascii="Times New Roman" w:hAnsi="Times New Roman" w:cs="Times New Roman"/>
          <w:kern w:val="0"/>
          <w:szCs w:val="22"/>
          <w:lang w:val="zh-CN"/>
        </w:rPr>
        <w:t>文件的实质性内容的，</w:t>
      </w:r>
      <w:r>
        <w:rPr>
          <w:rFonts w:hint="eastAsia" w:ascii="Times New Roman" w:hAnsi="Times New Roman" w:cs="Times New Roman"/>
          <w:kern w:val="0"/>
          <w:szCs w:val="22"/>
          <w:lang w:val="zh-CN"/>
        </w:rPr>
        <w:t>谈判</w:t>
      </w:r>
      <w:r>
        <w:rPr>
          <w:rFonts w:ascii="Times New Roman" w:hAnsi="Times New Roman" w:cs="Times New Roman"/>
          <w:kern w:val="0"/>
          <w:szCs w:val="22"/>
          <w:lang w:val="zh-CN"/>
        </w:rPr>
        <w:t>小组有权对该</w:t>
      </w:r>
      <w:r>
        <w:rPr>
          <w:rFonts w:hint="eastAsia" w:ascii="Times New Roman" w:hAnsi="Times New Roman" w:cs="Times New Roman"/>
          <w:kern w:val="0"/>
          <w:szCs w:val="22"/>
          <w:lang w:val="zh-CN"/>
        </w:rPr>
        <w:t>响应</w:t>
      </w:r>
      <w:r>
        <w:rPr>
          <w:rFonts w:ascii="Times New Roman" w:hAnsi="Times New Roman" w:cs="Times New Roman"/>
          <w:kern w:val="0"/>
          <w:szCs w:val="22"/>
          <w:lang w:val="zh-CN"/>
        </w:rPr>
        <w:t>文件作出不利于</w:t>
      </w:r>
      <w:r>
        <w:rPr>
          <w:rFonts w:hint="eastAsia" w:ascii="Times New Roman" w:hAnsi="Times New Roman" w:cs="Times New Roman"/>
          <w:kern w:val="0"/>
          <w:szCs w:val="22"/>
          <w:lang w:val="zh-CN"/>
        </w:rPr>
        <w:t>响应方</w:t>
      </w:r>
      <w:r>
        <w:rPr>
          <w:rFonts w:ascii="Times New Roman" w:hAnsi="Times New Roman" w:cs="Times New Roman"/>
          <w:kern w:val="0"/>
          <w:szCs w:val="22"/>
          <w:lang w:val="zh-CN"/>
        </w:rPr>
        <w:t>的评判。书面通知及澄清说明文件应作为</w:t>
      </w:r>
      <w:r>
        <w:rPr>
          <w:rFonts w:hint="eastAsia" w:ascii="Times New Roman" w:hAnsi="Times New Roman" w:cs="Times New Roman"/>
          <w:kern w:val="0"/>
          <w:szCs w:val="22"/>
          <w:lang w:val="zh-CN"/>
        </w:rPr>
        <w:t>招标项目</w:t>
      </w:r>
      <w:r>
        <w:rPr>
          <w:rFonts w:ascii="Times New Roman" w:hAnsi="Times New Roman" w:cs="Times New Roman"/>
          <w:kern w:val="0"/>
          <w:szCs w:val="22"/>
          <w:lang w:val="zh-CN"/>
        </w:rPr>
        <w:t>档案归档留存。</w:t>
      </w:r>
    </w:p>
    <w:p>
      <w:pPr>
        <w:ind w:firstLine="420" w:firstLineChars="200"/>
        <w:rPr>
          <w:kern w:val="0"/>
          <w:szCs w:val="22"/>
          <w:lang w:val="zh-CN"/>
        </w:rPr>
      </w:pPr>
      <w:r>
        <w:rPr>
          <w:rFonts w:hint="eastAsia"/>
          <w:kern w:val="0"/>
          <w:szCs w:val="22"/>
          <w:lang w:val="zh-CN"/>
        </w:rPr>
        <w:t>6.4.6谈判小组所有人员将遵循“公开、公平、公正”的原则，采用相同的程序和标准，所有人员按顺序与单一谈判响应方分别进行单独封闭式谈判。谈判内容包括投标报价、</w:t>
      </w:r>
      <w:r>
        <w:rPr>
          <w:rFonts w:hint="eastAsia"/>
          <w:kern w:val="0"/>
          <w:szCs w:val="22"/>
        </w:rPr>
        <w:t>技术方案、</w:t>
      </w:r>
      <w:r>
        <w:rPr>
          <w:rFonts w:hint="eastAsia"/>
          <w:kern w:val="0"/>
          <w:szCs w:val="22"/>
          <w:lang w:val="zh-CN"/>
        </w:rPr>
        <w:t>项目需求与标准、招标范围、主要合同条款等方面进行谈判和综合分析考评，以确定是否满足招标要求。在谈判过程中，谈判的任何一方都不得透露与谈判有关的其他响应方的技术资料、报价和其他信息。谈判响应方在谈判过程中所作出的各种承诺都必须用书面形式，并由谈判响应方代表签字。谈判轮次最多不超过3轮。</w:t>
      </w:r>
    </w:p>
    <w:p>
      <w:pPr>
        <w:ind w:firstLine="420" w:firstLineChars="200"/>
        <w:rPr>
          <w:kern w:val="0"/>
          <w:szCs w:val="22"/>
          <w:lang w:val="zh-CN"/>
        </w:rPr>
      </w:pPr>
      <w:r>
        <w:rPr>
          <w:rFonts w:hint="eastAsia"/>
          <w:kern w:val="0"/>
          <w:szCs w:val="22"/>
          <w:lang w:val="zh-CN"/>
        </w:rPr>
        <w:t>6.4.7在谈判过程中，谈判小组可以根据谈判文件和谈判情况实质性变动项目需求中的技术要求以及合同草案条款，但不得变动谈判文件中的其他内容。实质性变动的内容，须经招标人代表确认。对谈判文件作出的实质性变动是谈判文件的有效组成部分，谈判小组应当及时以书面形式同时通知所有参加谈判的响应方。谈判响应方应当按照谈判文件的变动情况和谈判小组的要求重新提交响应文件，并由其法定代表人或授权代表签字或者加盖公章。由授权代表签字的，应当附法定代表人授权书。谈判响应方为自然人的，应当由本人签字并附身份证明。</w:t>
      </w:r>
    </w:p>
    <w:p>
      <w:pPr>
        <w:ind w:firstLine="420" w:firstLineChars="200"/>
        <w:rPr>
          <w:kern w:val="0"/>
          <w:szCs w:val="22"/>
          <w:lang w:val="zh-CN"/>
        </w:rPr>
      </w:pPr>
      <w:r>
        <w:rPr>
          <w:rFonts w:hint="eastAsia"/>
          <w:kern w:val="0"/>
          <w:szCs w:val="22"/>
          <w:lang w:val="zh-CN"/>
        </w:rPr>
        <w:t>6.4.8在谈判过程中，谈判响应方不得向谈判小组成员询问谈判情况，不得进行旨在影响谈判结果的活动，否则将取消其谈判资格。</w:t>
      </w:r>
    </w:p>
    <w:p>
      <w:pPr>
        <w:ind w:firstLine="420" w:firstLineChars="200"/>
        <w:rPr>
          <w:kern w:val="0"/>
          <w:szCs w:val="22"/>
          <w:lang w:val="zh-CN"/>
        </w:rPr>
      </w:pPr>
      <w:r>
        <w:rPr>
          <w:rFonts w:hint="eastAsia"/>
          <w:kern w:val="0"/>
          <w:szCs w:val="22"/>
          <w:lang w:val="zh-CN"/>
        </w:rPr>
        <w:t>6.4.9在谈判过程中，谈判小组成员不得与谈判响应方私下交换意见，在竞争性谈判结束后，凡与谈判情况有接触的人不得将谈判情况扩散出谈判小组成员外。</w:t>
      </w:r>
    </w:p>
    <w:p>
      <w:pPr>
        <w:ind w:firstLine="420" w:firstLineChars="200"/>
        <w:rPr>
          <w:kern w:val="0"/>
          <w:szCs w:val="22"/>
          <w:lang w:val="zh-CN"/>
        </w:rPr>
      </w:pPr>
      <w:r>
        <w:rPr>
          <w:rFonts w:hint="eastAsia"/>
          <w:kern w:val="0"/>
          <w:szCs w:val="22"/>
          <w:lang w:val="zh-CN"/>
        </w:rPr>
        <w:t>6.4.10谈判结束后，谈判小组将要求谈判响应方在规定的时间内，以密封书面形式统一进行最后报价，最后报价不得高于一次报价（谈判小组另有决议的除外）。</w:t>
      </w:r>
    </w:p>
    <w:p>
      <w:pPr>
        <w:ind w:firstLine="420" w:firstLineChars="200"/>
        <w:rPr>
          <w:kern w:val="0"/>
          <w:szCs w:val="22"/>
          <w:lang w:val="zh-CN"/>
        </w:rPr>
      </w:pPr>
      <w:r>
        <w:rPr>
          <w:rFonts w:hint="eastAsia"/>
          <w:kern w:val="0"/>
          <w:szCs w:val="22"/>
          <w:lang w:val="zh-CN"/>
        </w:rPr>
        <w:t>6.4.11宣布最终报价时邀请所有谈判响应方代表参加，参加的代表应准时出席并签名报到以证明其出席。谈判响应方代表未参加谈判会的，事后不得对谈判结果提出异议。谈判响应方代表应对最终报价的内容及记录结果当场进行校核和签字确认，如有异议应当场提出，否则视为默许同意。</w:t>
      </w:r>
    </w:p>
    <w:p>
      <w:pPr>
        <w:pStyle w:val="24"/>
        <w:ind w:firstLine="412" w:firstLineChars="196"/>
        <w:rPr>
          <w:rFonts w:ascii="Times New Roman" w:hAnsi="Times New Roman" w:cs="Times New Roman"/>
          <w:kern w:val="0"/>
          <w:szCs w:val="22"/>
          <w:lang w:val="zh-CN"/>
        </w:rPr>
      </w:pPr>
      <w:r>
        <w:rPr>
          <w:rFonts w:hint="eastAsia" w:ascii="Times New Roman" w:hAnsi="Times New Roman" w:cs="Times New Roman"/>
          <w:kern w:val="0"/>
          <w:szCs w:val="22"/>
          <w:lang w:val="zh-CN"/>
        </w:rPr>
        <w:t>6.4.12谈判</w:t>
      </w:r>
      <w:r>
        <w:rPr>
          <w:rFonts w:hint="eastAsia" w:ascii="Times New Roman" w:hAnsi="Times New Roman" w:cs="Times New Roman"/>
          <w:kern w:val="0"/>
          <w:szCs w:val="22"/>
        </w:rPr>
        <w:t>过程中</w:t>
      </w:r>
      <w:r>
        <w:rPr>
          <w:rFonts w:ascii="Times New Roman" w:hAnsi="Times New Roman" w:cs="Times New Roman"/>
          <w:kern w:val="0"/>
          <w:szCs w:val="22"/>
          <w:lang w:val="zh-CN"/>
        </w:rPr>
        <w:t>如发现分值汇总计算错误、分项评分超出评分标准范围、客观评分不一致以及存在评分畸高、畸低情形的，应由相关人员当场改正或作出说明。</w:t>
      </w:r>
    </w:p>
    <w:p>
      <w:pPr>
        <w:pStyle w:val="24"/>
        <w:ind w:firstLine="412" w:firstLineChars="196"/>
        <w:rPr>
          <w:rFonts w:ascii="Times New Roman" w:hAnsi="Times New Roman" w:cs="Times New Roman"/>
          <w:kern w:val="0"/>
          <w:szCs w:val="22"/>
          <w:lang w:val="zh-CN"/>
        </w:rPr>
      </w:pPr>
      <w:r>
        <w:rPr>
          <w:rFonts w:hint="eastAsia" w:ascii="Times New Roman" w:hAnsi="Times New Roman" w:cs="Times New Roman"/>
          <w:kern w:val="0"/>
          <w:szCs w:val="22"/>
          <w:lang w:val="zh-CN"/>
        </w:rPr>
        <w:t>6.4.13谈判</w:t>
      </w:r>
      <w:r>
        <w:rPr>
          <w:rFonts w:ascii="Times New Roman" w:hAnsi="Times New Roman" w:cs="Times New Roman"/>
          <w:kern w:val="0"/>
          <w:szCs w:val="22"/>
          <w:lang w:val="zh-CN"/>
        </w:rPr>
        <w:t>小组根据评审汇总情况和</w:t>
      </w:r>
      <w:r>
        <w:rPr>
          <w:rFonts w:hint="eastAsia" w:ascii="Times New Roman" w:hAnsi="Times New Roman" w:cs="Times New Roman"/>
          <w:kern w:val="0"/>
          <w:szCs w:val="22"/>
          <w:lang w:val="zh-CN"/>
        </w:rPr>
        <w:t>谈判</w:t>
      </w:r>
      <w:r>
        <w:rPr>
          <w:rFonts w:ascii="Times New Roman" w:hAnsi="Times New Roman" w:cs="Times New Roman"/>
          <w:kern w:val="0"/>
          <w:szCs w:val="22"/>
          <w:lang w:val="zh-CN"/>
        </w:rPr>
        <w:t>文件规定确定中标候选</w:t>
      </w:r>
      <w:r>
        <w:rPr>
          <w:rFonts w:hint="eastAsia" w:ascii="Times New Roman" w:cs="Times New Roman" w:hAnsiTheme="minorEastAsia" w:eastAsiaTheme="minorEastAsia"/>
        </w:rPr>
        <w:t>响应方</w:t>
      </w:r>
      <w:r>
        <w:rPr>
          <w:rFonts w:ascii="Times New Roman" w:hAnsi="Times New Roman" w:cs="Times New Roman"/>
          <w:kern w:val="0"/>
          <w:szCs w:val="22"/>
          <w:lang w:val="zh-CN"/>
        </w:rPr>
        <w:t>排序名单。</w:t>
      </w:r>
    </w:p>
    <w:p>
      <w:pPr>
        <w:pStyle w:val="24"/>
        <w:ind w:firstLine="412" w:firstLineChars="196"/>
        <w:rPr>
          <w:rFonts w:ascii="Times New Roman" w:hAnsi="Times New Roman" w:cs="Times New Roman"/>
          <w:kern w:val="0"/>
          <w:szCs w:val="22"/>
          <w:lang w:val="zh-CN"/>
        </w:rPr>
      </w:pPr>
      <w:r>
        <w:rPr>
          <w:rFonts w:hint="eastAsia" w:ascii="Times New Roman" w:hAnsi="Times New Roman" w:cs="Times New Roman"/>
          <w:kern w:val="0"/>
          <w:szCs w:val="22"/>
          <w:lang w:val="zh-CN"/>
        </w:rPr>
        <w:t>6.4.14</w:t>
      </w:r>
      <w:r>
        <w:rPr>
          <w:rFonts w:ascii="Times New Roman" w:hAnsi="Times New Roman" w:cs="Times New Roman"/>
          <w:kern w:val="0"/>
          <w:szCs w:val="22"/>
          <w:lang w:val="zh-CN"/>
        </w:rPr>
        <w:t>起草评审报告，所有</w:t>
      </w:r>
      <w:r>
        <w:rPr>
          <w:rFonts w:hint="eastAsia" w:ascii="Times New Roman" w:hAnsi="Times New Roman" w:cs="Times New Roman"/>
          <w:kern w:val="0"/>
          <w:szCs w:val="22"/>
          <w:lang w:val="zh-CN"/>
        </w:rPr>
        <w:t>谈判小组</w:t>
      </w:r>
      <w:r>
        <w:rPr>
          <w:rFonts w:ascii="Times New Roman" w:hAnsi="Times New Roman" w:cs="Times New Roman"/>
          <w:kern w:val="0"/>
          <w:szCs w:val="22"/>
          <w:lang w:val="zh-CN"/>
        </w:rPr>
        <w:t>人员须在评审报告上签字确认。</w:t>
      </w:r>
    </w:p>
    <w:p>
      <w:pPr>
        <w:pStyle w:val="5"/>
      </w:pPr>
      <w:r>
        <w:rPr>
          <w:rFonts w:hint="eastAsia"/>
        </w:rPr>
        <w:t>6.5</w:t>
      </w:r>
      <w:r>
        <w:t>响应文件出现下列情形之一的，由</w:t>
      </w:r>
      <w:r>
        <w:rPr>
          <w:rFonts w:hint="eastAsia"/>
        </w:rPr>
        <w:t>谈判小组</w:t>
      </w:r>
      <w:r>
        <w:t>初审后按废标处理：</w:t>
      </w:r>
    </w:p>
    <w:p>
      <w:pPr>
        <w:pStyle w:val="79"/>
        <w:ind w:firstLine="420"/>
        <w:rPr>
          <w:kern w:val="2"/>
          <w:szCs w:val="21"/>
        </w:rPr>
      </w:pPr>
      <w:r>
        <w:rPr>
          <w:rFonts w:hint="eastAsia"/>
          <w:kern w:val="2"/>
          <w:szCs w:val="21"/>
        </w:rPr>
        <w:t xml:space="preserve">6.5.1 </w:t>
      </w:r>
      <w:r>
        <w:rPr>
          <w:kern w:val="2"/>
          <w:szCs w:val="21"/>
        </w:rPr>
        <w:t xml:space="preserve">响应文件仅以非纸制文本形式投标的； </w:t>
      </w:r>
    </w:p>
    <w:p>
      <w:pPr>
        <w:pStyle w:val="79"/>
        <w:ind w:firstLine="420"/>
        <w:rPr>
          <w:kern w:val="2"/>
          <w:szCs w:val="21"/>
        </w:rPr>
      </w:pPr>
      <w:r>
        <w:rPr>
          <w:rFonts w:hint="eastAsia"/>
          <w:kern w:val="2"/>
          <w:szCs w:val="21"/>
        </w:rPr>
        <w:t>6.5.2 谈判</w:t>
      </w:r>
      <w:r>
        <w:rPr>
          <w:kern w:val="2"/>
          <w:szCs w:val="21"/>
        </w:rPr>
        <w:t>响应方未能提供满足</w:t>
      </w:r>
      <w:r>
        <w:rPr>
          <w:rFonts w:hint="eastAsia"/>
        </w:rPr>
        <w:t>谈判</w:t>
      </w:r>
      <w:r>
        <w:rPr>
          <w:kern w:val="2"/>
          <w:szCs w:val="21"/>
        </w:rPr>
        <w:t>文件的资格要求的响应文件；未采用人民币报价或未按</w:t>
      </w:r>
      <w:r>
        <w:rPr>
          <w:rFonts w:hint="eastAsia"/>
          <w:kern w:val="2"/>
          <w:szCs w:val="21"/>
        </w:rPr>
        <w:t>谈判</w:t>
      </w:r>
      <w:r>
        <w:rPr>
          <w:kern w:val="2"/>
          <w:szCs w:val="21"/>
        </w:rPr>
        <w:t>文件标明的币种报价；</w:t>
      </w:r>
    </w:p>
    <w:p>
      <w:pPr>
        <w:pStyle w:val="79"/>
        <w:ind w:firstLine="420"/>
        <w:rPr>
          <w:szCs w:val="21"/>
        </w:rPr>
      </w:pPr>
      <w:r>
        <w:rPr>
          <w:rFonts w:hint="eastAsia"/>
          <w:szCs w:val="21"/>
        </w:rPr>
        <w:t xml:space="preserve">6.5.3 </w:t>
      </w:r>
      <w:r>
        <w:rPr>
          <w:szCs w:val="21"/>
        </w:rPr>
        <w:t>响应文件有关内容未按</w:t>
      </w:r>
      <w:r>
        <w:rPr>
          <w:rFonts w:hint="eastAsia"/>
          <w:kern w:val="2"/>
          <w:szCs w:val="21"/>
        </w:rPr>
        <w:t>谈判</w:t>
      </w:r>
      <w:r>
        <w:rPr>
          <w:szCs w:val="21"/>
        </w:rPr>
        <w:t xml:space="preserve">文件的要求签署或盖章的，响应文件未按规定的格式填写，内容不全或关键字迹模糊、无法辨认的； </w:t>
      </w:r>
    </w:p>
    <w:p>
      <w:pPr>
        <w:pStyle w:val="79"/>
        <w:ind w:firstLine="420"/>
        <w:rPr>
          <w:szCs w:val="21"/>
        </w:rPr>
      </w:pPr>
      <w:r>
        <w:rPr>
          <w:rFonts w:hint="eastAsia"/>
          <w:szCs w:val="21"/>
        </w:rPr>
        <w:t>6.3.4 谈判响应方法人代表或委托代理人未准时参加开标会议，或</w:t>
      </w:r>
      <w:r>
        <w:rPr>
          <w:szCs w:val="21"/>
        </w:rPr>
        <w:t>未随响应文件一起提供有效的“授权委托书”原件或有效身份证明的；</w:t>
      </w:r>
    </w:p>
    <w:p>
      <w:pPr>
        <w:pStyle w:val="79"/>
        <w:ind w:firstLine="420"/>
        <w:rPr>
          <w:szCs w:val="21"/>
        </w:rPr>
      </w:pPr>
      <w:r>
        <w:rPr>
          <w:rFonts w:hint="eastAsia"/>
          <w:szCs w:val="21"/>
        </w:rPr>
        <w:t>6.5.5 谈判</w:t>
      </w:r>
      <w:r>
        <w:rPr>
          <w:szCs w:val="21"/>
        </w:rPr>
        <w:t>响应方递交两份或多份内容不同的响应文件，或在一份响应文件中对同一</w:t>
      </w:r>
      <w:r>
        <w:rPr>
          <w:rFonts w:hint="eastAsia"/>
          <w:szCs w:val="21"/>
        </w:rPr>
        <w:t>招标项目</w:t>
      </w:r>
      <w:r>
        <w:rPr>
          <w:szCs w:val="21"/>
        </w:rPr>
        <w:t>报有两个或多个报价，且未声明哪一个有效；</w:t>
      </w:r>
    </w:p>
    <w:p>
      <w:pPr>
        <w:pStyle w:val="79"/>
        <w:ind w:firstLine="420"/>
        <w:rPr>
          <w:szCs w:val="21"/>
        </w:rPr>
      </w:pPr>
      <w:r>
        <w:rPr>
          <w:rFonts w:hint="eastAsia"/>
          <w:szCs w:val="21"/>
        </w:rPr>
        <w:t xml:space="preserve">6.5.6 </w:t>
      </w:r>
      <w:r>
        <w:rPr>
          <w:szCs w:val="21"/>
        </w:rPr>
        <w:t>响应文件有</w:t>
      </w:r>
      <w:r>
        <w:rPr>
          <w:rFonts w:hint="eastAsia"/>
          <w:szCs w:val="21"/>
        </w:rPr>
        <w:t>招标人</w:t>
      </w:r>
      <w:r>
        <w:rPr>
          <w:szCs w:val="21"/>
        </w:rPr>
        <w:t>不能接受的附加条件的；</w:t>
      </w:r>
    </w:p>
    <w:p>
      <w:pPr>
        <w:pStyle w:val="79"/>
        <w:ind w:firstLine="420"/>
        <w:rPr>
          <w:szCs w:val="21"/>
        </w:rPr>
      </w:pPr>
      <w:r>
        <w:rPr>
          <w:rFonts w:hint="eastAsia"/>
          <w:szCs w:val="21"/>
        </w:rPr>
        <w:t xml:space="preserve">6.5.7 </w:t>
      </w:r>
      <w:r>
        <w:rPr>
          <w:szCs w:val="21"/>
        </w:rPr>
        <w:t>投标报价超过最高限价的；</w:t>
      </w:r>
    </w:p>
    <w:p>
      <w:pPr>
        <w:pStyle w:val="79"/>
        <w:ind w:firstLine="420"/>
        <w:rPr>
          <w:szCs w:val="21"/>
        </w:rPr>
      </w:pPr>
      <w:r>
        <w:rPr>
          <w:rFonts w:hint="eastAsia"/>
          <w:szCs w:val="21"/>
        </w:rPr>
        <w:t xml:space="preserve">6.5.8 </w:t>
      </w:r>
      <w:r>
        <w:rPr>
          <w:szCs w:val="21"/>
        </w:rPr>
        <w:t>响应文件未响应</w:t>
      </w:r>
      <w:r>
        <w:rPr>
          <w:rFonts w:hint="eastAsia"/>
          <w:kern w:val="2"/>
          <w:szCs w:val="21"/>
        </w:rPr>
        <w:t>谈判</w:t>
      </w:r>
      <w:r>
        <w:rPr>
          <w:szCs w:val="21"/>
        </w:rPr>
        <w:t>文件的实质性要求和条件的。</w:t>
      </w:r>
    </w:p>
    <w:p>
      <w:pPr>
        <w:pStyle w:val="79"/>
        <w:ind w:firstLine="420"/>
        <w:rPr>
          <w:szCs w:val="21"/>
        </w:rPr>
      </w:pPr>
      <w:r>
        <w:rPr>
          <w:rFonts w:hint="eastAsia"/>
          <w:szCs w:val="21"/>
        </w:rPr>
        <w:t>6.5.9最终报价明显高于其市场报价或低于成本价且不能合理说明原因并提供证明材料的；</w:t>
      </w:r>
    </w:p>
    <w:p>
      <w:pPr>
        <w:pStyle w:val="79"/>
        <w:ind w:firstLine="420"/>
        <w:rPr>
          <w:snapToGrid w:val="0"/>
          <w:szCs w:val="21"/>
        </w:rPr>
      </w:pPr>
      <w:r>
        <w:rPr>
          <w:rFonts w:hint="eastAsia"/>
          <w:szCs w:val="21"/>
        </w:rPr>
        <w:t>6.5.10</w:t>
      </w:r>
      <w:r>
        <w:rPr>
          <w:snapToGrid w:val="0"/>
          <w:szCs w:val="21"/>
        </w:rPr>
        <w:t>存在法律、法规、规章规定的其它无效投标情况的。</w:t>
      </w:r>
    </w:p>
    <w:p>
      <w:pPr>
        <w:pStyle w:val="5"/>
      </w:pPr>
      <w:r>
        <w:rPr>
          <w:rFonts w:hint="eastAsia"/>
        </w:rPr>
        <w:t>6</w:t>
      </w:r>
      <w:r>
        <w:t>.</w:t>
      </w:r>
      <w:r>
        <w:rPr>
          <w:rFonts w:hint="eastAsia"/>
        </w:rPr>
        <w:t>6</w:t>
      </w:r>
      <w:r>
        <w:t xml:space="preserve"> 响应文件的澄清</w:t>
      </w:r>
    </w:p>
    <w:p>
      <w:pPr>
        <w:pStyle w:val="79"/>
        <w:ind w:firstLine="420"/>
      </w:pPr>
      <w:r>
        <w:rPr>
          <w:rFonts w:hint="eastAsia"/>
        </w:rPr>
        <w:t>6.6</w:t>
      </w:r>
      <w:r>
        <w:t>.1 在评标过程中，</w:t>
      </w:r>
      <w:r>
        <w:rPr>
          <w:rFonts w:hint="eastAsia"/>
        </w:rPr>
        <w:t>谈判</w:t>
      </w:r>
      <w:r>
        <w:t>小组可以书面形式要求</w:t>
      </w:r>
      <w:r>
        <w:rPr>
          <w:rFonts w:hint="eastAsia"/>
        </w:rPr>
        <w:t>谈判</w:t>
      </w:r>
      <w:r>
        <w:t>响应方对响应文件中含义不明确、对同类问题表述不一致或者有明显文字和计算错误的内容作必要的澄清、说明或补正。澄清、说明或补正应以书面方式进行。</w:t>
      </w:r>
      <w:r>
        <w:rPr>
          <w:rFonts w:hint="eastAsia"/>
        </w:rPr>
        <w:t>谈判</w:t>
      </w:r>
      <w:r>
        <w:t>小组不接受</w:t>
      </w:r>
      <w:r>
        <w:rPr>
          <w:rFonts w:hint="eastAsia"/>
        </w:rPr>
        <w:t>谈判</w:t>
      </w:r>
      <w:r>
        <w:t>响应方主动提出的澄清、说明或补正。</w:t>
      </w:r>
    </w:p>
    <w:p>
      <w:pPr>
        <w:pStyle w:val="79"/>
        <w:ind w:firstLine="420"/>
      </w:pPr>
      <w:r>
        <w:rPr>
          <w:rFonts w:hint="eastAsia"/>
        </w:rPr>
        <w:t>6.6.</w:t>
      </w:r>
      <w:r>
        <w:t>2 澄清、说明或补正不得超出响应文件的范围且不得改变响应文件的实质性内容，并构成响应文件的组成部分。</w:t>
      </w:r>
    </w:p>
    <w:p>
      <w:pPr>
        <w:pStyle w:val="79"/>
        <w:ind w:firstLine="420"/>
      </w:pPr>
      <w:r>
        <w:rPr>
          <w:rFonts w:hint="eastAsia"/>
        </w:rPr>
        <w:t>6.6.</w:t>
      </w:r>
      <w:r>
        <w:t>3 如</w:t>
      </w:r>
      <w:r>
        <w:rPr>
          <w:rFonts w:hint="eastAsia"/>
        </w:rPr>
        <w:t>谈判</w:t>
      </w:r>
      <w:r>
        <w:t>响应方不提交对质疑函的书面解答或其书面解答不为</w:t>
      </w:r>
      <w:r>
        <w:rPr>
          <w:rFonts w:hint="eastAsia"/>
        </w:rPr>
        <w:t>谈判</w:t>
      </w:r>
      <w:r>
        <w:t>小组接受，其投标有可能被拒绝。</w:t>
      </w:r>
    </w:p>
    <w:p>
      <w:pPr>
        <w:pStyle w:val="5"/>
      </w:pPr>
      <w:r>
        <w:rPr>
          <w:rFonts w:hint="eastAsia"/>
        </w:rPr>
        <w:t>6.7 确定成交</w:t>
      </w:r>
      <w:r>
        <w:rPr>
          <w:rFonts w:hint="eastAsia" w:hAnsiTheme="minorEastAsia" w:eastAsiaTheme="minorEastAsia"/>
        </w:rPr>
        <w:t>响应方</w:t>
      </w:r>
      <w:r>
        <w:rPr>
          <w:rFonts w:hint="eastAsia"/>
        </w:rPr>
        <w:t>的原则</w:t>
      </w:r>
    </w:p>
    <w:p>
      <w:pPr>
        <w:pStyle w:val="79"/>
        <w:ind w:firstLine="420"/>
      </w:pPr>
      <w:r>
        <w:rPr>
          <w:rFonts w:hint="eastAsia"/>
        </w:rPr>
        <w:t>6.7.1 招标结果经招标人确认后，将在相关网站上发布成交公告，并向成交方签发书面《中标通知书》。</w:t>
      </w:r>
    </w:p>
    <w:p>
      <w:pPr>
        <w:pStyle w:val="3"/>
        <w:spacing w:before="120" w:after="120"/>
      </w:pPr>
      <w:bookmarkStart w:id="84" w:name="_Toc12951293"/>
      <w:bookmarkStart w:id="85" w:name="_Toc3993775"/>
      <w:r>
        <w:rPr>
          <w:rFonts w:hint="eastAsia"/>
        </w:rPr>
        <w:t>7</w:t>
      </w:r>
      <w:r>
        <w:t>.合同授予</w:t>
      </w:r>
      <w:bookmarkEnd w:id="84"/>
      <w:bookmarkEnd w:id="85"/>
    </w:p>
    <w:p>
      <w:pPr>
        <w:pStyle w:val="5"/>
        <w:spacing w:before="120" w:after="120"/>
      </w:pPr>
      <w:r>
        <w:rPr>
          <w:rFonts w:hint="eastAsia"/>
        </w:rPr>
        <w:t>7</w:t>
      </w:r>
      <w:r>
        <w:t>.1 签订合同</w:t>
      </w:r>
    </w:p>
    <w:p>
      <w:pPr>
        <w:pStyle w:val="79"/>
        <w:ind w:firstLine="420"/>
      </w:pPr>
      <w:r>
        <w:rPr>
          <w:rFonts w:hint="eastAsia"/>
        </w:rPr>
        <w:t>7</w:t>
      </w:r>
      <w:r>
        <w:t xml:space="preserve">.1.1 </w:t>
      </w:r>
      <w:r>
        <w:rPr>
          <w:rFonts w:hint="eastAsia"/>
        </w:rPr>
        <w:t>招标人</w:t>
      </w:r>
      <w:r>
        <w:t>和中标人应当在中标通知书发出</w:t>
      </w:r>
      <w:r>
        <w:rPr>
          <w:rFonts w:hint="eastAsia"/>
          <w:lang w:val="en-US"/>
        </w:rPr>
        <w:t>后</w:t>
      </w:r>
      <w:r>
        <w:t>根据《中华人民共和国合同法》及</w:t>
      </w:r>
      <w:r>
        <w:rPr>
          <w:rFonts w:hint="eastAsia"/>
          <w:kern w:val="2"/>
          <w:szCs w:val="21"/>
        </w:rPr>
        <w:t>谈判</w:t>
      </w:r>
      <w:r>
        <w:t>文件和中标人的响应文件订立书面合同。中标人无正当理由拒签合同，在签订合同时向</w:t>
      </w:r>
      <w:r>
        <w:rPr>
          <w:rFonts w:hint="eastAsia"/>
        </w:rPr>
        <w:t>招标人</w:t>
      </w:r>
      <w:r>
        <w:t>提出附加条件</w:t>
      </w:r>
      <w:r>
        <w:rPr>
          <w:rFonts w:hint="eastAsia"/>
        </w:rPr>
        <w:t>的</w:t>
      </w:r>
      <w:r>
        <w:t>，</w:t>
      </w:r>
      <w:r>
        <w:rPr>
          <w:rFonts w:hint="eastAsia"/>
        </w:rPr>
        <w:t>招标人</w:t>
      </w:r>
      <w:r>
        <w:t>有权取消其中标资格。</w:t>
      </w:r>
    </w:p>
    <w:p>
      <w:pPr>
        <w:ind w:firstLine="420" w:firstLineChars="200"/>
        <w:rPr>
          <w:kern w:val="0"/>
          <w:szCs w:val="22"/>
          <w:lang w:val="zh-CN"/>
        </w:rPr>
      </w:pPr>
      <w:r>
        <w:rPr>
          <w:rFonts w:hint="eastAsia"/>
          <w:kern w:val="0"/>
          <w:szCs w:val="22"/>
          <w:lang w:val="zh-CN"/>
        </w:rPr>
        <w:t>7</w:t>
      </w:r>
      <w:r>
        <w:rPr>
          <w:kern w:val="0"/>
          <w:szCs w:val="22"/>
          <w:lang w:val="zh-CN"/>
        </w:rPr>
        <w:t>.1.</w:t>
      </w:r>
      <w:r>
        <w:rPr>
          <w:rFonts w:hint="eastAsia"/>
          <w:kern w:val="0"/>
          <w:szCs w:val="22"/>
          <w:lang w:val="zh-CN"/>
        </w:rPr>
        <w:t>2排名第一的中标候选人放弃中标或因不可抗力提出不能履行合同；或未能在规定时间内与招标人签订合同的；或者经质疑，招标人审查后，确认因排名第一的候选人在本次</w:t>
      </w:r>
      <w:r>
        <w:rPr>
          <w:rFonts w:hint="eastAsia"/>
          <w:kern w:val="0"/>
          <w:szCs w:val="22"/>
        </w:rPr>
        <w:t>招标</w:t>
      </w:r>
      <w:r>
        <w:rPr>
          <w:rFonts w:hint="eastAsia"/>
          <w:kern w:val="0"/>
          <w:szCs w:val="22"/>
          <w:lang w:val="zh-CN"/>
        </w:rPr>
        <w:t>活动中存在违法违规行为或其他原因使质疑成立的，招标人可以视情况确定排名第二的中标候选人为中标人，或者选择重新招标。</w:t>
      </w:r>
    </w:p>
    <w:p>
      <w:pPr>
        <w:pStyle w:val="79"/>
        <w:ind w:firstLine="420"/>
      </w:pPr>
      <w:r>
        <w:rPr>
          <w:rFonts w:hint="eastAsia"/>
        </w:rPr>
        <w:t>7</w:t>
      </w:r>
      <w:r>
        <w:t>.1.</w:t>
      </w:r>
      <w:r>
        <w:rPr>
          <w:rFonts w:hint="eastAsia"/>
        </w:rPr>
        <w:t>3</w:t>
      </w:r>
      <w:r>
        <w:t xml:space="preserve"> 发出中标通知书后，</w:t>
      </w:r>
      <w:r>
        <w:rPr>
          <w:rFonts w:hint="eastAsia"/>
        </w:rPr>
        <w:t>招标人</w:t>
      </w:r>
      <w:r>
        <w:t>无正当理由拒签合同，或者在签订合同时向中标人提出附加条件的，</w:t>
      </w:r>
      <w:r>
        <w:rPr>
          <w:rFonts w:hint="eastAsia"/>
        </w:rPr>
        <w:t>若</w:t>
      </w:r>
      <w:r>
        <w:t>给中标人造成损失的，</w:t>
      </w:r>
      <w:r>
        <w:rPr>
          <w:rFonts w:hint="eastAsia"/>
        </w:rPr>
        <w:t>招标人</w:t>
      </w:r>
      <w:r>
        <w:t>应当赔偿损失。</w:t>
      </w:r>
    </w:p>
    <w:p>
      <w:pPr>
        <w:ind w:firstLine="723" w:firstLineChars="200"/>
        <w:rPr>
          <w:rFonts w:hAnsiTheme="minorEastAsia" w:eastAsiaTheme="minorEastAsia"/>
          <w:b/>
          <w:bCs/>
          <w:sz w:val="36"/>
          <w:szCs w:val="32"/>
        </w:rPr>
      </w:pPr>
    </w:p>
    <w:p>
      <w:pPr>
        <w:ind w:firstLine="723" w:firstLineChars="200"/>
        <w:rPr>
          <w:rFonts w:hAnsiTheme="minorEastAsia" w:eastAsiaTheme="minorEastAsia"/>
          <w:b/>
          <w:bCs/>
          <w:sz w:val="36"/>
          <w:szCs w:val="32"/>
        </w:rPr>
        <w:sectPr>
          <w:type w:val="nextColumn"/>
          <w:pgSz w:w="11906" w:h="16838"/>
          <w:pgMar w:top="1440" w:right="1080" w:bottom="1440" w:left="1080" w:header="624" w:footer="624" w:gutter="0"/>
          <w:cols w:space="425" w:num="1"/>
          <w:docGrid w:linePitch="312" w:charSpace="0"/>
        </w:sectPr>
      </w:pPr>
    </w:p>
    <w:p>
      <w:pPr>
        <w:pStyle w:val="2"/>
        <w:spacing w:before="120" w:beforeLines="50" w:after="120" w:afterLines="50" w:line="400" w:lineRule="exact"/>
        <w:jc w:val="center"/>
        <w:rPr>
          <w:rFonts w:asciiTheme="majorHAnsi" w:hAnsiTheme="majorHAnsi" w:cstheme="majorBidi"/>
          <w:kern w:val="2"/>
          <w:sz w:val="36"/>
          <w:szCs w:val="32"/>
        </w:rPr>
      </w:pPr>
      <w:bookmarkStart w:id="86" w:name="_Toc3993777"/>
      <w:bookmarkStart w:id="87" w:name="_Toc12951294"/>
      <w:r>
        <w:rPr>
          <w:rFonts w:asciiTheme="majorHAnsi" w:hAnsiTheme="majorHAnsi" w:cstheme="majorBidi"/>
          <w:kern w:val="2"/>
          <w:sz w:val="36"/>
          <w:szCs w:val="32"/>
        </w:rPr>
        <w:t>第四章 评标办法</w:t>
      </w:r>
      <w:bookmarkEnd w:id="86"/>
      <w:r>
        <w:rPr>
          <w:rFonts w:hint="eastAsia" w:asciiTheme="majorHAnsi" w:hAnsiTheme="majorHAnsi" w:cstheme="majorBidi"/>
          <w:kern w:val="2"/>
          <w:sz w:val="36"/>
          <w:szCs w:val="32"/>
        </w:rPr>
        <w:t>及评分标准</w:t>
      </w:r>
      <w:bookmarkEnd w:id="87"/>
    </w:p>
    <w:p>
      <w:pPr>
        <w:pStyle w:val="3"/>
        <w:spacing w:before="120" w:after="120"/>
      </w:pPr>
      <w:bookmarkStart w:id="88" w:name="_Toc3993778"/>
      <w:bookmarkStart w:id="89" w:name="_Toc12951295"/>
      <w:r>
        <w:t>1.</w:t>
      </w:r>
      <w:bookmarkEnd w:id="88"/>
      <w:r>
        <w:rPr>
          <w:rFonts w:hint="eastAsia"/>
        </w:rPr>
        <w:t>总则</w:t>
      </w:r>
      <w:bookmarkEnd w:id="89"/>
    </w:p>
    <w:p>
      <w:pPr>
        <w:ind w:firstLine="420" w:firstLineChars="200"/>
        <w:rPr>
          <w:kern w:val="0"/>
          <w:szCs w:val="22"/>
          <w:lang w:val="zh-CN"/>
        </w:rPr>
      </w:pPr>
      <w:r>
        <w:rPr>
          <w:rFonts w:hint="eastAsia"/>
          <w:kern w:val="0"/>
          <w:szCs w:val="22"/>
          <w:lang w:val="zh-CN"/>
        </w:rPr>
        <w:t>本次谈判采用综合评分法，总分为100分。合格响应方的得分为综合得分，成交推荐候选资格按得分由高到低顺序排列，推荐两名中标候选人，谈判过程中，出现</w:t>
      </w:r>
      <w:r>
        <w:rPr>
          <w:kern w:val="0"/>
          <w:szCs w:val="22"/>
          <w:lang w:val="zh-CN"/>
        </w:rPr>
        <w:t>综合</w:t>
      </w:r>
      <w:r>
        <w:rPr>
          <w:rFonts w:hint="eastAsia"/>
          <w:kern w:val="0"/>
          <w:szCs w:val="22"/>
          <w:lang w:val="zh-CN"/>
        </w:rPr>
        <w:t>得</w:t>
      </w:r>
      <w:r>
        <w:rPr>
          <w:kern w:val="0"/>
          <w:szCs w:val="22"/>
          <w:lang w:val="zh-CN"/>
        </w:rPr>
        <w:t>分相同</w:t>
      </w:r>
      <w:r>
        <w:rPr>
          <w:rFonts w:hint="eastAsia"/>
          <w:kern w:val="0"/>
          <w:szCs w:val="22"/>
          <w:lang w:val="zh-CN"/>
        </w:rPr>
        <w:t>的情况时</w:t>
      </w:r>
      <w:r>
        <w:rPr>
          <w:kern w:val="0"/>
          <w:szCs w:val="22"/>
          <w:lang w:val="zh-CN"/>
        </w:rPr>
        <w:t>，</w:t>
      </w:r>
      <w:r>
        <w:rPr>
          <w:rFonts w:hint="eastAsia"/>
          <w:kern w:val="0"/>
          <w:szCs w:val="22"/>
          <w:lang w:val="zh-CN"/>
        </w:rPr>
        <w:t>按照最后报价由低到高的顺序推荐。评审得分且最后报价相同的，</w:t>
      </w:r>
      <w:r>
        <w:rPr>
          <w:kern w:val="0"/>
          <w:szCs w:val="22"/>
          <w:lang w:val="zh-CN"/>
        </w:rPr>
        <w:t>由</w:t>
      </w:r>
      <w:r>
        <w:rPr>
          <w:rFonts w:hint="eastAsia"/>
          <w:kern w:val="0"/>
          <w:szCs w:val="22"/>
          <w:lang w:val="zh-CN"/>
        </w:rPr>
        <w:t>谈判小组</w:t>
      </w:r>
      <w:r>
        <w:rPr>
          <w:kern w:val="0"/>
          <w:szCs w:val="22"/>
          <w:lang w:val="zh-CN"/>
        </w:rPr>
        <w:t>投票综合评定。</w:t>
      </w:r>
      <w:r>
        <w:rPr>
          <w:rFonts w:hint="eastAsia"/>
          <w:kern w:val="0"/>
          <w:szCs w:val="22"/>
          <w:lang w:val="zh-CN"/>
        </w:rPr>
        <w:t>评分过程中采用四舍五入法，并保留小数2位。</w:t>
      </w:r>
    </w:p>
    <w:p>
      <w:pPr>
        <w:pStyle w:val="3"/>
        <w:spacing w:before="120" w:after="120"/>
      </w:pPr>
      <w:bookmarkStart w:id="90" w:name="_Toc12951296"/>
      <w:r>
        <w:rPr>
          <w:rFonts w:hint="eastAsia"/>
        </w:rPr>
        <w:t>2</w:t>
      </w:r>
      <w:r>
        <w:t>.</w:t>
      </w:r>
      <w:r>
        <w:rPr>
          <w:rFonts w:hint="eastAsia"/>
        </w:rPr>
        <w:t>分值的计算</w:t>
      </w:r>
      <w:bookmarkEnd w:id="90"/>
      <w:r>
        <w:rPr>
          <w:rFonts w:hint="eastAsia"/>
        </w:rPr>
        <w:t xml:space="preserve"> </w:t>
      </w:r>
    </w:p>
    <w:p>
      <w:pPr>
        <w:ind w:firstLine="420" w:firstLineChars="200"/>
        <w:rPr>
          <w:kern w:val="0"/>
          <w:szCs w:val="22"/>
          <w:lang w:val="zh-CN"/>
        </w:rPr>
      </w:pPr>
      <w:r>
        <w:rPr>
          <w:rFonts w:hint="eastAsia"/>
          <w:kern w:val="0"/>
          <w:szCs w:val="22"/>
          <w:lang w:val="zh-CN"/>
        </w:rPr>
        <w:t>技术、资信部分得分按照谈判小组成员的独立评分结果汇总后的算术平均分计算，计算公式为：</w:t>
      </w:r>
    </w:p>
    <w:p>
      <w:pPr>
        <w:ind w:firstLine="420" w:firstLineChars="200"/>
        <w:rPr>
          <w:kern w:val="0"/>
          <w:szCs w:val="22"/>
          <w:lang w:val="zh-CN"/>
        </w:rPr>
      </w:pPr>
      <w:r>
        <w:rPr>
          <w:rFonts w:hint="eastAsia"/>
          <w:kern w:val="0"/>
          <w:szCs w:val="22"/>
          <w:lang w:val="zh-CN"/>
        </w:rPr>
        <w:t>技术、资信部分得分=谈判小组所有成员评分合计数/谈判小组成员组成人数</w:t>
      </w:r>
    </w:p>
    <w:p>
      <w:pPr>
        <w:ind w:firstLine="420" w:firstLineChars="200"/>
        <w:rPr>
          <w:kern w:val="0"/>
          <w:szCs w:val="22"/>
          <w:lang w:val="zh-CN"/>
        </w:rPr>
      </w:pPr>
      <w:r>
        <w:rPr>
          <w:rFonts w:hint="eastAsia"/>
          <w:kern w:val="0"/>
          <w:szCs w:val="22"/>
          <w:lang w:val="zh-CN"/>
        </w:rPr>
        <w:t>响应方综合得分=价格分+(技术分+</w:t>
      </w:r>
      <w:r>
        <w:rPr>
          <w:rFonts w:hint="eastAsia"/>
          <w:kern w:val="0"/>
          <w:szCs w:val="22"/>
        </w:rPr>
        <w:t>商务</w:t>
      </w:r>
      <w:r>
        <w:rPr>
          <w:rFonts w:hint="eastAsia"/>
          <w:kern w:val="0"/>
          <w:szCs w:val="22"/>
          <w:lang w:val="zh-CN"/>
        </w:rPr>
        <w:t>资信分)</w:t>
      </w:r>
    </w:p>
    <w:p>
      <w:pPr>
        <w:pStyle w:val="3"/>
        <w:numPr>
          <w:ilvl w:val="0"/>
          <w:numId w:val="7"/>
        </w:numPr>
        <w:spacing w:before="120" w:after="120"/>
      </w:pPr>
      <w:bookmarkStart w:id="91" w:name="_Toc12951297"/>
      <w:r>
        <w:rPr>
          <w:rFonts w:hint="eastAsia"/>
        </w:rPr>
        <w:t>评审内容及标准</w:t>
      </w:r>
      <w:bookmarkEnd w:id="91"/>
      <w:r>
        <w:rPr>
          <w:rFonts w:hint="eastAsia"/>
        </w:rPr>
        <w:t xml:space="preserve"> </w:t>
      </w:r>
    </w:p>
    <w:tbl>
      <w:tblPr>
        <w:tblStyle w:val="55"/>
        <w:tblW w:w="10257"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700"/>
        <w:gridCol w:w="915"/>
        <w:gridCol w:w="8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8" w:hRule="atLeast"/>
        </w:trPr>
        <w:tc>
          <w:tcPr>
            <w:tcW w:w="565" w:type="dxa"/>
            <w:vAlign w:val="center"/>
          </w:tcPr>
          <w:p>
            <w:pPr>
              <w:snapToGrid w:val="0"/>
              <w:spacing w:line="360" w:lineRule="auto"/>
              <w:ind w:left="113" w:right="113"/>
              <w:jc w:val="center"/>
              <w:rPr>
                <w:rFonts w:ascii="宋体"/>
              </w:rPr>
            </w:pPr>
            <w:r>
              <w:rPr>
                <w:rFonts w:hint="eastAsia" w:ascii="宋体"/>
              </w:rPr>
              <w:t>1</w:t>
            </w:r>
          </w:p>
        </w:tc>
        <w:tc>
          <w:tcPr>
            <w:tcW w:w="1615" w:type="dxa"/>
            <w:gridSpan w:val="2"/>
            <w:vAlign w:val="center"/>
          </w:tcPr>
          <w:p>
            <w:pPr>
              <w:snapToGrid w:val="0"/>
              <w:spacing w:line="360" w:lineRule="auto"/>
              <w:jc w:val="center"/>
              <w:rPr>
                <w:rFonts w:ascii="宋体" w:cs="宋体"/>
                <w:kern w:val="0"/>
              </w:rPr>
            </w:pPr>
            <w:r>
              <w:rPr>
                <w:rFonts w:hint="eastAsia" w:ascii="宋体" w:cs="宋体"/>
                <w:kern w:val="0"/>
              </w:rPr>
              <w:t>分值构成</w:t>
            </w:r>
          </w:p>
          <w:p>
            <w:pPr>
              <w:snapToGrid w:val="0"/>
              <w:spacing w:line="360" w:lineRule="auto"/>
              <w:jc w:val="center"/>
              <w:rPr>
                <w:rFonts w:ascii="宋体" w:cs="宋体"/>
                <w:kern w:val="0"/>
              </w:rPr>
            </w:pPr>
            <w:r>
              <w:rPr>
                <w:rFonts w:hint="eastAsia" w:ascii="宋体" w:cs="宋体"/>
                <w:kern w:val="0"/>
              </w:rPr>
              <w:t>（总分100分）</w:t>
            </w:r>
          </w:p>
        </w:tc>
        <w:tc>
          <w:tcPr>
            <w:tcW w:w="8077" w:type="dxa"/>
            <w:vAlign w:val="center"/>
          </w:tcPr>
          <w:p>
            <w:pPr>
              <w:snapToGrid w:val="0"/>
              <w:spacing w:before="120" w:beforeLines="50" w:line="360" w:lineRule="auto"/>
              <w:rPr>
                <w:rFonts w:ascii="宋体" w:cs="宋体"/>
                <w:kern w:val="0"/>
                <w:szCs w:val="21"/>
              </w:rPr>
            </w:pPr>
            <w:bookmarkStart w:id="92" w:name="CQZH1_03"/>
            <w:r>
              <w:rPr>
                <w:rFonts w:hint="eastAsia" w:ascii="宋体" w:cs="宋体"/>
                <w:kern w:val="0"/>
                <w:szCs w:val="21"/>
              </w:rPr>
              <w:t>1.价格部分30分(以投标总报价进行计算)</w:t>
            </w:r>
          </w:p>
          <w:p>
            <w:pPr>
              <w:snapToGrid w:val="0"/>
              <w:spacing w:before="120" w:beforeLines="50" w:line="360" w:lineRule="auto"/>
              <w:rPr>
                <w:rFonts w:ascii="宋体" w:cs="宋体"/>
                <w:kern w:val="0"/>
                <w:szCs w:val="21"/>
              </w:rPr>
            </w:pPr>
            <w:r>
              <w:rPr>
                <w:rFonts w:hint="eastAsia" w:ascii="宋体" w:cs="宋体"/>
                <w:kern w:val="0"/>
                <w:szCs w:val="21"/>
              </w:rPr>
              <w:t>2.商务资信部分10分</w:t>
            </w:r>
            <w:bookmarkEnd w:id="92"/>
          </w:p>
          <w:p>
            <w:pPr>
              <w:snapToGrid w:val="0"/>
              <w:spacing w:before="120" w:beforeLines="50" w:line="360" w:lineRule="auto"/>
              <w:rPr>
                <w:rFonts w:ascii="宋体" w:cs="宋体"/>
                <w:kern w:val="0"/>
                <w:szCs w:val="21"/>
              </w:rPr>
            </w:pPr>
            <w:r>
              <w:rPr>
                <w:rFonts w:hint="eastAsia" w:ascii="宋体" w:cs="宋体"/>
                <w:kern w:val="0"/>
                <w:szCs w:val="21"/>
              </w:rPr>
              <w:t>3.技术部分60分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94" w:hRule="atLeast"/>
        </w:trPr>
        <w:tc>
          <w:tcPr>
            <w:tcW w:w="565" w:type="dxa"/>
            <w:vAlign w:val="center"/>
          </w:tcPr>
          <w:p>
            <w:pPr>
              <w:snapToGrid w:val="0"/>
              <w:spacing w:line="360" w:lineRule="auto"/>
              <w:ind w:left="113" w:right="113"/>
              <w:jc w:val="center"/>
              <w:rPr>
                <w:rFonts w:ascii="宋体"/>
              </w:rPr>
            </w:pPr>
            <w:r>
              <w:rPr>
                <w:rFonts w:hint="eastAsia" w:ascii="宋体"/>
              </w:rPr>
              <w:t>2</w:t>
            </w:r>
          </w:p>
        </w:tc>
        <w:tc>
          <w:tcPr>
            <w:tcW w:w="1615" w:type="dxa"/>
            <w:gridSpan w:val="2"/>
            <w:vAlign w:val="center"/>
          </w:tcPr>
          <w:p>
            <w:pPr>
              <w:spacing w:before="120" w:beforeLines="50"/>
              <w:jc w:val="center"/>
              <w:rPr>
                <w:rFonts w:ascii="宋体" w:cs="宋体"/>
                <w:kern w:val="0"/>
              </w:rPr>
            </w:pPr>
            <w:r>
              <w:rPr>
                <w:rFonts w:hint="eastAsia" w:ascii="宋体" w:cs="宋体"/>
                <w:kern w:val="0"/>
                <w:szCs w:val="21"/>
              </w:rPr>
              <w:t>价格部分30 分</w:t>
            </w:r>
          </w:p>
        </w:tc>
        <w:tc>
          <w:tcPr>
            <w:tcW w:w="8077" w:type="dxa"/>
            <w:vAlign w:val="center"/>
          </w:tcPr>
          <w:p>
            <w:pPr>
              <w:snapToGrid w:val="0"/>
              <w:spacing w:before="120" w:beforeLines="50" w:line="360" w:lineRule="auto"/>
              <w:rPr>
                <w:rFonts w:ascii="宋体" w:cs="宋体"/>
                <w:bCs/>
                <w:kern w:val="0"/>
                <w:szCs w:val="21"/>
              </w:rPr>
            </w:pPr>
            <w:r>
              <w:rPr>
                <w:rFonts w:hint="eastAsia" w:ascii="宋体" w:cs="宋体"/>
                <w:kern w:val="0"/>
                <w:szCs w:val="21"/>
              </w:rPr>
              <w:t>所有通过初步评审的投标人</w:t>
            </w:r>
            <w:r>
              <w:rPr>
                <w:rFonts w:hint="eastAsia" w:ascii="宋体"/>
                <w:szCs w:val="21"/>
              </w:rPr>
              <w:t>的投标总报</w:t>
            </w:r>
            <w:r>
              <w:rPr>
                <w:rFonts w:hint="eastAsia" w:ascii="宋体" w:cs="宋体"/>
                <w:kern w:val="0"/>
                <w:szCs w:val="21"/>
              </w:rPr>
              <w:t>价中（四家及以上时去掉一个最高和一个最低后）的算术平均值</w:t>
            </w:r>
            <w:r>
              <w:rPr>
                <w:rFonts w:hint="eastAsia" w:ascii="宋体" w:cs="宋体"/>
                <w:bCs/>
                <w:kern w:val="0"/>
                <w:szCs w:val="21"/>
              </w:rPr>
              <w:t>为投标总报价的评标基准价；</w:t>
            </w:r>
          </w:p>
          <w:p>
            <w:pPr>
              <w:spacing w:before="120" w:beforeLines="50" w:line="360" w:lineRule="auto"/>
              <w:rPr>
                <w:rFonts w:ascii="宋体" w:hAnsi="宋体"/>
                <w:szCs w:val="21"/>
              </w:rPr>
            </w:pPr>
            <w:r>
              <w:rPr>
                <w:rFonts w:hint="eastAsia" w:ascii="宋体" w:hAnsi="宋体"/>
                <w:szCs w:val="21"/>
              </w:rPr>
              <w:t>所有经评审合格的投标报价等于评标基准价的得</w:t>
            </w:r>
            <w:r>
              <w:rPr>
                <w:rFonts w:hint="eastAsia" w:ascii="宋体"/>
                <w:szCs w:val="21"/>
              </w:rPr>
              <w:t>30</w:t>
            </w:r>
            <w:r>
              <w:rPr>
                <w:rFonts w:hint="eastAsia" w:ascii="宋体" w:hAnsi="宋体"/>
                <w:szCs w:val="21"/>
              </w:rPr>
              <w:t>分。</w:t>
            </w:r>
          </w:p>
          <w:p>
            <w:pPr>
              <w:spacing w:before="120" w:beforeLines="50" w:line="360" w:lineRule="auto"/>
              <w:rPr>
                <w:rFonts w:ascii="宋体" w:hAnsi="宋体"/>
                <w:szCs w:val="21"/>
              </w:rPr>
            </w:pPr>
            <w:r>
              <w:rPr>
                <w:rFonts w:hint="eastAsia" w:ascii="宋体" w:hAnsi="宋体"/>
                <w:szCs w:val="21"/>
              </w:rPr>
              <w:t>投标报价与评标准基价相比，每上浮1%扣0.5分，每下浮1%扣</w:t>
            </w:r>
            <w:r>
              <w:rPr>
                <w:rFonts w:ascii="宋体" w:hAnsi="宋体"/>
                <w:szCs w:val="21"/>
              </w:rPr>
              <w:t>0.</w:t>
            </w:r>
            <w:r>
              <w:rPr>
                <w:rFonts w:hint="eastAsia" w:ascii="宋体" w:hAnsi="宋体"/>
                <w:szCs w:val="21"/>
              </w:rPr>
              <w:t>2</w:t>
            </w:r>
            <w:r>
              <w:rPr>
                <w:rFonts w:ascii="宋体" w:hAnsi="宋体"/>
                <w:szCs w:val="21"/>
              </w:rPr>
              <w:t>5</w:t>
            </w:r>
            <w:r>
              <w:rPr>
                <w:rFonts w:hint="eastAsia" w:ascii="宋体" w:hAnsi="宋体"/>
                <w:szCs w:val="21"/>
              </w:rPr>
              <w:t>分。</w:t>
            </w:r>
          </w:p>
          <w:p>
            <w:pPr>
              <w:spacing w:before="120" w:beforeLines="50" w:line="360" w:lineRule="auto"/>
              <w:rPr>
                <w:rFonts w:ascii="宋体"/>
                <w:szCs w:val="21"/>
              </w:rPr>
            </w:pPr>
            <w:r>
              <w:rPr>
                <w:rFonts w:hint="eastAsia" w:ascii="宋体"/>
                <w:szCs w:val="21"/>
              </w:rPr>
              <w:t>按插入法计算得分。</w:t>
            </w:r>
          </w:p>
          <w:p>
            <w:pPr>
              <w:snapToGrid w:val="0"/>
              <w:spacing w:before="120" w:beforeLines="50" w:line="360" w:lineRule="auto"/>
              <w:rPr>
                <w:rFonts w:ascii="宋体" w:cs="宋体"/>
                <w:kern w:val="0"/>
                <w:szCs w:val="21"/>
              </w:rPr>
            </w:pPr>
            <w:r>
              <w:rPr>
                <w:rFonts w:hint="eastAsia" w:ascii="宋体" w:cs="宋体"/>
                <w:kern w:val="0"/>
                <w:szCs w:val="21"/>
              </w:rPr>
              <w:t>以上计算取小数点后两位，第三位四舍五入。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2" w:hRule="atLeast"/>
        </w:trPr>
        <w:tc>
          <w:tcPr>
            <w:tcW w:w="565" w:type="dxa"/>
            <w:vMerge w:val="restart"/>
            <w:vAlign w:val="center"/>
          </w:tcPr>
          <w:p>
            <w:pPr>
              <w:jc w:val="center"/>
            </w:pPr>
            <w:r>
              <w:rPr>
                <w:rFonts w:hint="eastAsia"/>
              </w:rPr>
              <w:t>3</w:t>
            </w:r>
          </w:p>
        </w:tc>
        <w:tc>
          <w:tcPr>
            <w:tcW w:w="700" w:type="dxa"/>
            <w:vMerge w:val="restart"/>
            <w:vAlign w:val="center"/>
          </w:tcPr>
          <w:p>
            <w:pPr>
              <w:snapToGrid w:val="0"/>
              <w:jc w:val="center"/>
              <w:rPr>
                <w:rFonts w:ascii="宋体" w:hAnsi="宋体" w:cs="宋体"/>
                <w:kern w:val="0"/>
              </w:rPr>
            </w:pPr>
            <w:r>
              <w:rPr>
                <w:rFonts w:hint="eastAsia" w:ascii="宋体" w:hAnsi="宋体" w:cs="宋体"/>
                <w:kern w:val="0"/>
              </w:rPr>
              <w:t>商务资信（10分）</w:t>
            </w:r>
          </w:p>
        </w:tc>
        <w:tc>
          <w:tcPr>
            <w:tcW w:w="915" w:type="dxa"/>
            <w:vAlign w:val="center"/>
          </w:tcPr>
          <w:p>
            <w:pPr>
              <w:spacing w:line="276" w:lineRule="auto"/>
              <w:rPr>
                <w:rFonts w:hAnsi="宋体" w:cs="宋体"/>
                <w:szCs w:val="21"/>
              </w:rPr>
            </w:pPr>
            <w:r>
              <w:rPr>
                <w:rFonts w:hint="eastAsia" w:hAnsi="宋体" w:cs="宋体"/>
                <w:szCs w:val="21"/>
              </w:rPr>
              <w:t>类似项目业绩（5分）</w:t>
            </w:r>
          </w:p>
        </w:tc>
        <w:tc>
          <w:tcPr>
            <w:tcW w:w="8077" w:type="dxa"/>
          </w:tcPr>
          <w:p>
            <w:pPr>
              <w:spacing w:line="300" w:lineRule="auto"/>
              <w:jc w:val="left"/>
              <w:rPr>
                <w:rFonts w:ascii="宋体" w:hAnsi="宋体" w:cs="Arial Unicode MS"/>
                <w:b/>
                <w:szCs w:val="21"/>
              </w:rPr>
            </w:pPr>
            <w:r>
              <w:rPr>
                <w:rFonts w:hint="eastAsia" w:ascii="宋体" w:hAnsi="宋体"/>
                <w:kern w:val="0"/>
                <w:szCs w:val="21"/>
              </w:rPr>
              <w:t>在满足公告条件的基础上，投标人每增加1个正在运营的规模面积8000㎡及以上，客房数110间及以上的三星级及以上酒店管理业绩的得1分，本项最多得5分；</w:t>
            </w:r>
            <w:r>
              <w:rPr>
                <w:rFonts w:hint="eastAsia" w:ascii="宋体" w:hAnsi="宋体"/>
                <w:b/>
                <w:kern w:val="0"/>
                <w:szCs w:val="21"/>
              </w:rPr>
              <w:t>（需提供合同协议书复印件。）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5" w:type="dxa"/>
            <w:vMerge w:val="continue"/>
            <w:vAlign w:val="center"/>
          </w:tcPr>
          <w:p>
            <w:pPr>
              <w:jc w:val="center"/>
            </w:pPr>
          </w:p>
        </w:tc>
        <w:tc>
          <w:tcPr>
            <w:tcW w:w="700" w:type="dxa"/>
            <w:vMerge w:val="continue"/>
            <w:vAlign w:val="center"/>
          </w:tcPr>
          <w:p>
            <w:pPr>
              <w:snapToGrid w:val="0"/>
              <w:jc w:val="center"/>
              <w:rPr>
                <w:rFonts w:ascii="宋体" w:hAnsi="宋体" w:cs="宋体"/>
                <w:kern w:val="0"/>
              </w:rPr>
            </w:pPr>
          </w:p>
        </w:tc>
        <w:tc>
          <w:tcPr>
            <w:tcW w:w="915" w:type="dxa"/>
            <w:vAlign w:val="center"/>
          </w:tcPr>
          <w:p>
            <w:pPr>
              <w:spacing w:line="276" w:lineRule="auto"/>
              <w:rPr>
                <w:rFonts w:hAnsi="宋体" w:cs="宋体"/>
                <w:szCs w:val="21"/>
              </w:rPr>
            </w:pPr>
            <w:r>
              <w:rPr>
                <w:rFonts w:hint="eastAsia" w:ascii="宋体" w:hAnsi="宋体" w:cs="宋体"/>
                <w:szCs w:val="21"/>
              </w:rPr>
              <w:t>综合信誉（5分）</w:t>
            </w:r>
          </w:p>
        </w:tc>
        <w:tc>
          <w:tcPr>
            <w:tcW w:w="8077" w:type="dxa"/>
          </w:tcPr>
          <w:p>
            <w:pPr>
              <w:rPr>
                <w:rFonts w:ascii="宋体" w:hAnsi="宋体"/>
                <w:b/>
                <w:kern w:val="0"/>
                <w:szCs w:val="21"/>
              </w:rPr>
            </w:pPr>
            <w:r>
              <w:rPr>
                <w:rFonts w:hint="eastAsia" w:ascii="宋体" w:hAnsi="宋体"/>
                <w:kern w:val="0"/>
                <w:szCs w:val="21"/>
              </w:rPr>
              <w:t>拟引进的酒店整体实力评价，在管理、星级、行业资格认证、获得的行业相关奖项等方面进行对比，优秀的得4-5分，良好的得2-3.9分，一般的得0-1.9分。（提供相关证明材料）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5" w:type="dxa"/>
            <w:vMerge w:val="restart"/>
            <w:vAlign w:val="center"/>
          </w:tcPr>
          <w:p>
            <w:pPr>
              <w:jc w:val="center"/>
            </w:pPr>
            <w:r>
              <w:rPr>
                <w:rFonts w:hint="eastAsia"/>
              </w:rPr>
              <w:t>4</w:t>
            </w:r>
          </w:p>
        </w:tc>
        <w:tc>
          <w:tcPr>
            <w:tcW w:w="1615" w:type="dxa"/>
            <w:gridSpan w:val="2"/>
            <w:vMerge w:val="restart"/>
            <w:vAlign w:val="center"/>
          </w:tcPr>
          <w:p>
            <w:pPr>
              <w:spacing w:line="276" w:lineRule="auto"/>
              <w:rPr>
                <w:rFonts w:ascii="宋体" w:hAnsi="宋体" w:cs="宋体"/>
                <w:szCs w:val="21"/>
              </w:rPr>
            </w:pPr>
            <w:r>
              <w:rPr>
                <w:rFonts w:hint="eastAsia" w:ascii="宋体" w:hAnsi="宋体" w:cs="宋体"/>
                <w:kern w:val="0"/>
              </w:rPr>
              <w:t>技术部分（60分）</w:t>
            </w:r>
          </w:p>
        </w:tc>
        <w:tc>
          <w:tcPr>
            <w:tcW w:w="8077" w:type="dxa"/>
          </w:tcPr>
          <w:p>
            <w:pPr>
              <w:jc w:val="left"/>
              <w:rPr>
                <w:rFonts w:ascii="宋体" w:hAnsi="宋体"/>
                <w:kern w:val="0"/>
                <w:szCs w:val="21"/>
              </w:rPr>
            </w:pPr>
            <w:r>
              <w:rPr>
                <w:rFonts w:ascii="宋体" w:hAnsi="宋体"/>
                <w:kern w:val="0"/>
                <w:szCs w:val="21"/>
              </w:rPr>
              <w:t>对</w:t>
            </w:r>
            <w:r>
              <w:rPr>
                <w:rFonts w:hint="eastAsia" w:ascii="宋体" w:hAnsi="宋体"/>
                <w:kern w:val="0"/>
                <w:szCs w:val="21"/>
              </w:rPr>
              <w:t>本项目</w:t>
            </w:r>
            <w:r>
              <w:rPr>
                <w:rFonts w:ascii="宋体" w:hAnsi="宋体"/>
                <w:kern w:val="0"/>
                <w:szCs w:val="21"/>
              </w:rPr>
              <w:t>市场调查与分析</w:t>
            </w:r>
            <w:r>
              <w:rPr>
                <w:rFonts w:hint="eastAsia" w:ascii="宋体" w:hAnsi="宋体"/>
                <w:kern w:val="0"/>
                <w:szCs w:val="21"/>
              </w:rPr>
              <w:t>的</w:t>
            </w:r>
            <w:r>
              <w:rPr>
                <w:rFonts w:ascii="宋体" w:hAnsi="宋体"/>
                <w:kern w:val="0"/>
                <w:szCs w:val="21"/>
              </w:rPr>
              <w:t>充分</w:t>
            </w:r>
            <w:r>
              <w:rPr>
                <w:rFonts w:hint="eastAsia" w:ascii="宋体" w:hAnsi="宋体"/>
                <w:kern w:val="0"/>
                <w:szCs w:val="21"/>
              </w:rPr>
              <w:t>性，经营</w:t>
            </w:r>
            <w:r>
              <w:rPr>
                <w:rFonts w:ascii="宋体" w:hAnsi="宋体"/>
                <w:kern w:val="0"/>
                <w:szCs w:val="21"/>
              </w:rPr>
              <w:t>管理理念</w:t>
            </w:r>
            <w:r>
              <w:rPr>
                <w:rFonts w:hint="eastAsia" w:ascii="宋体" w:hAnsi="宋体"/>
                <w:kern w:val="0"/>
                <w:szCs w:val="21"/>
              </w:rPr>
              <w:t>的</w:t>
            </w:r>
            <w:r>
              <w:rPr>
                <w:rFonts w:ascii="宋体" w:hAnsi="宋体"/>
                <w:kern w:val="0"/>
                <w:szCs w:val="21"/>
              </w:rPr>
              <w:t>鲜明</w:t>
            </w:r>
            <w:r>
              <w:rPr>
                <w:rFonts w:hint="eastAsia" w:ascii="宋体" w:hAnsi="宋体"/>
                <w:kern w:val="0"/>
                <w:szCs w:val="21"/>
              </w:rPr>
              <w:t>性</w:t>
            </w:r>
            <w:r>
              <w:rPr>
                <w:rFonts w:ascii="宋体" w:hAnsi="宋体"/>
                <w:kern w:val="0"/>
                <w:szCs w:val="21"/>
              </w:rPr>
              <w:t>、突出</w:t>
            </w:r>
            <w:r>
              <w:rPr>
                <w:rFonts w:hint="eastAsia" w:ascii="宋体" w:hAnsi="宋体"/>
                <w:kern w:val="0"/>
                <w:szCs w:val="21"/>
              </w:rPr>
              <w:t>性，</w:t>
            </w:r>
            <w:r>
              <w:rPr>
                <w:rFonts w:ascii="宋体" w:hAnsi="宋体"/>
                <w:kern w:val="0"/>
                <w:szCs w:val="21"/>
              </w:rPr>
              <w:t>管理思路</w:t>
            </w:r>
            <w:r>
              <w:rPr>
                <w:rFonts w:hint="eastAsia" w:ascii="宋体" w:hAnsi="宋体"/>
                <w:kern w:val="0"/>
                <w:szCs w:val="21"/>
              </w:rPr>
              <w:t>的明确可行性。（5分）</w:t>
            </w:r>
          </w:p>
          <w:p>
            <w:pPr>
              <w:jc w:val="left"/>
              <w:rPr>
                <w:rFonts w:ascii="宋体" w:hAnsi="宋体"/>
                <w:kern w:val="0"/>
                <w:szCs w:val="21"/>
              </w:rPr>
            </w:pPr>
            <w:r>
              <w:rPr>
                <w:rFonts w:hint="eastAsia" w:ascii="宋体" w:hAnsi="宋体"/>
                <w:kern w:val="0"/>
                <w:szCs w:val="21"/>
              </w:rPr>
              <w:t>根据投标文件横向比较，优秀的得4.1～5分,良好的得2.1～4,一般的得1～2分。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5" w:type="dxa"/>
            <w:vMerge w:val="continue"/>
            <w:vAlign w:val="center"/>
          </w:tcPr>
          <w:p/>
        </w:tc>
        <w:tc>
          <w:tcPr>
            <w:tcW w:w="1615" w:type="dxa"/>
            <w:gridSpan w:val="2"/>
            <w:vMerge w:val="continue"/>
            <w:vAlign w:val="center"/>
          </w:tcPr>
          <w:p>
            <w:pPr>
              <w:spacing w:line="276" w:lineRule="auto"/>
              <w:rPr>
                <w:rFonts w:ascii="宋体" w:hAnsi="宋体" w:cs="宋体"/>
                <w:szCs w:val="21"/>
              </w:rPr>
            </w:pPr>
          </w:p>
        </w:tc>
        <w:tc>
          <w:tcPr>
            <w:tcW w:w="8077" w:type="dxa"/>
          </w:tcPr>
          <w:p>
            <w:pPr>
              <w:jc w:val="left"/>
              <w:rPr>
                <w:rFonts w:ascii="宋体" w:hAnsi="宋体"/>
                <w:kern w:val="0"/>
                <w:szCs w:val="21"/>
              </w:rPr>
            </w:pPr>
            <w:r>
              <w:rPr>
                <w:rFonts w:hint="eastAsia" w:ascii="宋体" w:hAnsi="宋体"/>
                <w:kern w:val="0"/>
                <w:szCs w:val="21"/>
              </w:rPr>
              <w:t>开业前筹备方案的全面性、科学性、合理性。（5分）</w:t>
            </w:r>
          </w:p>
          <w:p>
            <w:pPr>
              <w:jc w:val="left"/>
              <w:rPr>
                <w:rFonts w:ascii="宋体" w:hAnsi="宋体"/>
                <w:kern w:val="0"/>
                <w:szCs w:val="21"/>
              </w:rPr>
            </w:pPr>
            <w:r>
              <w:rPr>
                <w:rFonts w:hint="eastAsia" w:ascii="宋体" w:hAnsi="宋体"/>
                <w:kern w:val="0"/>
                <w:szCs w:val="21"/>
              </w:rPr>
              <w:t>根据投标文件横向比较，优秀的得4.1～5分,良好的得2.1～4,一般的得1～2分。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5" w:type="dxa"/>
            <w:vMerge w:val="continue"/>
            <w:vAlign w:val="center"/>
          </w:tcPr>
          <w:p/>
        </w:tc>
        <w:tc>
          <w:tcPr>
            <w:tcW w:w="1615" w:type="dxa"/>
            <w:gridSpan w:val="2"/>
            <w:vMerge w:val="continue"/>
            <w:vAlign w:val="center"/>
          </w:tcPr>
          <w:p>
            <w:pPr>
              <w:spacing w:line="276" w:lineRule="auto"/>
              <w:rPr>
                <w:rFonts w:ascii="宋体" w:hAnsi="宋体" w:cs="宋体"/>
                <w:szCs w:val="21"/>
              </w:rPr>
            </w:pPr>
          </w:p>
        </w:tc>
        <w:tc>
          <w:tcPr>
            <w:tcW w:w="8077" w:type="dxa"/>
          </w:tcPr>
          <w:p>
            <w:pPr>
              <w:jc w:val="left"/>
              <w:rPr>
                <w:rFonts w:ascii="宋体" w:hAnsi="宋体"/>
                <w:kern w:val="0"/>
                <w:szCs w:val="21"/>
              </w:rPr>
            </w:pPr>
            <w:r>
              <w:rPr>
                <w:rFonts w:hint="eastAsia" w:ascii="宋体" w:hAnsi="宋体"/>
                <w:kern w:val="0"/>
                <w:szCs w:val="21"/>
              </w:rPr>
              <w:t>酒店经营管理的业绩及实力，包括品牌影响力、以往经营同类酒店业绩等。（10分）</w:t>
            </w:r>
          </w:p>
          <w:p>
            <w:pPr>
              <w:jc w:val="left"/>
              <w:rPr>
                <w:rFonts w:ascii="宋体" w:hAnsi="宋体"/>
                <w:kern w:val="0"/>
                <w:szCs w:val="21"/>
              </w:rPr>
            </w:pPr>
            <w:r>
              <w:rPr>
                <w:rFonts w:hint="eastAsia" w:ascii="宋体" w:hAnsi="宋体"/>
                <w:kern w:val="0"/>
                <w:szCs w:val="21"/>
              </w:rPr>
              <w:t>根据投标文件横向比较，优秀的得8.1～10分,良好的得5.1～8,一般的得1～5分。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5" w:type="dxa"/>
            <w:vMerge w:val="continue"/>
            <w:vAlign w:val="center"/>
          </w:tcPr>
          <w:p/>
        </w:tc>
        <w:tc>
          <w:tcPr>
            <w:tcW w:w="1615" w:type="dxa"/>
            <w:gridSpan w:val="2"/>
            <w:vMerge w:val="continue"/>
            <w:vAlign w:val="center"/>
          </w:tcPr>
          <w:p>
            <w:pPr>
              <w:spacing w:line="276" w:lineRule="auto"/>
              <w:rPr>
                <w:rFonts w:ascii="宋体" w:hAnsi="宋体" w:cs="宋体"/>
                <w:szCs w:val="21"/>
              </w:rPr>
            </w:pPr>
          </w:p>
        </w:tc>
        <w:tc>
          <w:tcPr>
            <w:tcW w:w="8077" w:type="dxa"/>
          </w:tcPr>
          <w:p>
            <w:pPr>
              <w:jc w:val="left"/>
              <w:rPr>
                <w:rFonts w:ascii="宋体" w:hAnsi="宋体"/>
                <w:kern w:val="0"/>
                <w:szCs w:val="21"/>
              </w:rPr>
            </w:pPr>
            <w:r>
              <w:rPr>
                <w:rFonts w:hint="eastAsia" w:ascii="宋体" w:hAnsi="宋体"/>
                <w:kern w:val="0"/>
                <w:szCs w:val="21"/>
              </w:rPr>
              <w:t>营销策略和价格体系的科学合理性、针对性，经营预算的合理性，成本控制的严谨性。（10分）</w:t>
            </w:r>
          </w:p>
          <w:p>
            <w:pPr>
              <w:jc w:val="left"/>
              <w:rPr>
                <w:rFonts w:ascii="宋体" w:hAnsi="宋体"/>
                <w:kern w:val="0"/>
                <w:szCs w:val="21"/>
              </w:rPr>
            </w:pPr>
            <w:r>
              <w:rPr>
                <w:rFonts w:hint="eastAsia" w:ascii="宋体" w:hAnsi="宋体"/>
                <w:kern w:val="0"/>
                <w:szCs w:val="21"/>
              </w:rPr>
              <w:t>根据投标文件横向比较，优秀的得8.1～10分,良好的得5.1～8,一般的得1～5分。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5" w:type="dxa"/>
            <w:vMerge w:val="continue"/>
            <w:vAlign w:val="center"/>
          </w:tcPr>
          <w:p/>
        </w:tc>
        <w:tc>
          <w:tcPr>
            <w:tcW w:w="1615" w:type="dxa"/>
            <w:gridSpan w:val="2"/>
            <w:vMerge w:val="continue"/>
            <w:vAlign w:val="center"/>
          </w:tcPr>
          <w:p>
            <w:pPr>
              <w:spacing w:line="276" w:lineRule="auto"/>
              <w:rPr>
                <w:rFonts w:ascii="宋体" w:hAnsi="宋体" w:cs="宋体"/>
                <w:szCs w:val="21"/>
              </w:rPr>
            </w:pPr>
          </w:p>
        </w:tc>
        <w:tc>
          <w:tcPr>
            <w:tcW w:w="8077" w:type="dxa"/>
          </w:tcPr>
          <w:p>
            <w:pPr>
              <w:jc w:val="left"/>
              <w:rPr>
                <w:rFonts w:ascii="宋体" w:hAnsi="宋体"/>
                <w:kern w:val="0"/>
                <w:szCs w:val="21"/>
              </w:rPr>
            </w:pPr>
            <w:r>
              <w:rPr>
                <w:rFonts w:hint="eastAsia" w:ascii="宋体" w:hAnsi="宋体"/>
                <w:kern w:val="0"/>
                <w:szCs w:val="21"/>
              </w:rPr>
              <w:t>人员配置、培训、薪酬管理方案的科学性、合理性。（10分）</w:t>
            </w:r>
          </w:p>
          <w:p>
            <w:pPr>
              <w:jc w:val="left"/>
              <w:rPr>
                <w:rFonts w:ascii="宋体" w:hAnsi="宋体"/>
                <w:kern w:val="0"/>
                <w:szCs w:val="21"/>
              </w:rPr>
            </w:pPr>
            <w:r>
              <w:rPr>
                <w:rFonts w:hint="eastAsia" w:ascii="宋体" w:hAnsi="宋体"/>
                <w:kern w:val="0"/>
                <w:szCs w:val="21"/>
              </w:rPr>
              <w:t>根据投标文件横向比较，优秀的得8.1～10分,良好的得5.1～8,一般的得1～5分。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5" w:type="dxa"/>
            <w:vMerge w:val="continue"/>
            <w:vAlign w:val="center"/>
          </w:tcPr>
          <w:p/>
        </w:tc>
        <w:tc>
          <w:tcPr>
            <w:tcW w:w="1615" w:type="dxa"/>
            <w:gridSpan w:val="2"/>
            <w:vMerge w:val="continue"/>
            <w:vAlign w:val="center"/>
          </w:tcPr>
          <w:p>
            <w:pPr>
              <w:spacing w:line="276" w:lineRule="auto"/>
              <w:rPr>
                <w:rFonts w:ascii="宋体" w:hAnsi="宋体" w:cs="宋体"/>
                <w:szCs w:val="21"/>
              </w:rPr>
            </w:pPr>
          </w:p>
        </w:tc>
        <w:tc>
          <w:tcPr>
            <w:tcW w:w="8077" w:type="dxa"/>
          </w:tcPr>
          <w:p>
            <w:pPr>
              <w:jc w:val="left"/>
              <w:rPr>
                <w:rFonts w:ascii="宋体" w:hAnsi="宋体"/>
                <w:kern w:val="0"/>
                <w:szCs w:val="21"/>
              </w:rPr>
            </w:pPr>
            <w:r>
              <w:rPr>
                <w:rFonts w:hint="eastAsia" w:ascii="宋体" w:hAnsi="宋体"/>
                <w:kern w:val="0"/>
                <w:szCs w:val="21"/>
              </w:rPr>
              <w:t>保障措施的完整合理性（规避法律、商务风险，保障人员、财产安全等）（5分）。</w:t>
            </w:r>
          </w:p>
          <w:p>
            <w:pPr>
              <w:rPr>
                <w:rFonts w:ascii="宋体" w:hAnsi="宋体"/>
                <w:kern w:val="0"/>
                <w:szCs w:val="21"/>
              </w:rPr>
            </w:pPr>
            <w:r>
              <w:rPr>
                <w:rFonts w:hint="eastAsia" w:ascii="宋体" w:hAnsi="宋体"/>
                <w:kern w:val="0"/>
                <w:szCs w:val="21"/>
              </w:rPr>
              <w:t>根据投标文件横向比较，优秀的得4.1～5分,良好的得2.1～4,一般的得1～2分。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5" w:type="dxa"/>
            <w:vMerge w:val="continue"/>
            <w:vAlign w:val="center"/>
          </w:tcPr>
          <w:p/>
        </w:tc>
        <w:tc>
          <w:tcPr>
            <w:tcW w:w="1615" w:type="dxa"/>
            <w:gridSpan w:val="2"/>
            <w:vMerge w:val="continue"/>
            <w:vAlign w:val="center"/>
          </w:tcPr>
          <w:p>
            <w:pPr>
              <w:spacing w:line="276" w:lineRule="auto"/>
              <w:rPr>
                <w:rFonts w:ascii="宋体" w:hAnsi="宋体" w:cs="宋体"/>
                <w:szCs w:val="21"/>
              </w:rPr>
            </w:pPr>
          </w:p>
        </w:tc>
        <w:tc>
          <w:tcPr>
            <w:tcW w:w="8077" w:type="dxa"/>
          </w:tcPr>
          <w:p>
            <w:pPr>
              <w:rPr>
                <w:rFonts w:ascii="宋体" w:hAnsi="宋体"/>
                <w:kern w:val="0"/>
                <w:szCs w:val="21"/>
              </w:rPr>
            </w:pPr>
            <w:r>
              <w:rPr>
                <w:rFonts w:hint="eastAsia" w:ascii="宋体" w:hAnsi="宋体"/>
                <w:kern w:val="0"/>
                <w:szCs w:val="21"/>
              </w:rPr>
              <w:t>公共区域的管理方案（5分），优秀的得4.1～5分,良好的得2.1～4,一般的得1～2分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5" w:type="dxa"/>
            <w:vMerge w:val="continue"/>
            <w:vAlign w:val="center"/>
          </w:tcPr>
          <w:p/>
        </w:tc>
        <w:tc>
          <w:tcPr>
            <w:tcW w:w="1615" w:type="dxa"/>
            <w:gridSpan w:val="2"/>
            <w:vMerge w:val="continue"/>
            <w:vAlign w:val="center"/>
          </w:tcPr>
          <w:p>
            <w:pPr>
              <w:spacing w:line="276" w:lineRule="auto"/>
              <w:rPr>
                <w:rFonts w:ascii="宋体" w:hAnsi="宋体" w:cs="宋体"/>
                <w:szCs w:val="21"/>
              </w:rPr>
            </w:pPr>
          </w:p>
        </w:tc>
        <w:tc>
          <w:tcPr>
            <w:tcW w:w="8077" w:type="dxa"/>
          </w:tcPr>
          <w:p>
            <w:pPr>
              <w:rPr>
                <w:rFonts w:ascii="宋体" w:hAnsi="宋体"/>
                <w:kern w:val="0"/>
                <w:szCs w:val="21"/>
              </w:rPr>
            </w:pPr>
            <w:r>
              <w:rPr>
                <w:rFonts w:hint="eastAsia" w:ascii="宋体" w:hAnsi="宋体"/>
                <w:kern w:val="0"/>
                <w:szCs w:val="21"/>
              </w:rPr>
              <w:t>针对本项目的合理化建议、优惠条件等比较。（10分）</w:t>
            </w:r>
          </w:p>
          <w:p>
            <w:pPr>
              <w:rPr>
                <w:rFonts w:ascii="宋体" w:hAnsi="宋体"/>
                <w:kern w:val="0"/>
                <w:szCs w:val="21"/>
              </w:rPr>
            </w:pPr>
            <w:r>
              <w:rPr>
                <w:rFonts w:hint="eastAsia" w:ascii="宋体" w:hAnsi="宋体"/>
                <w:kern w:val="0"/>
                <w:szCs w:val="21"/>
              </w:rPr>
              <w:t>根据投标文件横向比较，优秀的得8.1～10分,良好的得5.1～8,一般的得1～5分。</w:t>
            </w:r>
          </w:p>
        </w:tc>
      </w:tr>
    </w:tbl>
    <w:p>
      <w:r>
        <w:rPr>
          <w:rFonts w:hint="eastAsia"/>
        </w:rPr>
        <w:br w:type="page"/>
      </w:r>
    </w:p>
    <w:p>
      <w:pPr>
        <w:pStyle w:val="42"/>
        <w:spacing w:before="120" w:after="120"/>
        <w:rPr>
          <w:szCs w:val="44"/>
        </w:rPr>
      </w:pPr>
      <w:bookmarkStart w:id="93" w:name="_Toc12951299"/>
      <w:r>
        <w:rPr>
          <w:szCs w:val="44"/>
        </w:rPr>
        <w:t>第</w:t>
      </w:r>
      <w:r>
        <w:rPr>
          <w:rFonts w:hint="eastAsia"/>
          <w:szCs w:val="44"/>
        </w:rPr>
        <w:t>五</w:t>
      </w:r>
      <w:r>
        <w:rPr>
          <w:szCs w:val="44"/>
        </w:rPr>
        <w:t>章</w:t>
      </w:r>
      <w:r>
        <w:rPr>
          <w:rFonts w:hint="eastAsia"/>
          <w:szCs w:val="44"/>
        </w:rPr>
        <w:t xml:space="preserve"> 响应文件格式</w:t>
      </w:r>
      <w:bookmarkEnd w:id="93"/>
    </w:p>
    <w:p>
      <w:pPr>
        <w:spacing w:line="360" w:lineRule="auto"/>
        <w:jc w:val="right"/>
        <w:rPr>
          <w:rFonts w:asciiTheme="minorEastAsia" w:hAnsiTheme="minorEastAsia" w:eastAsiaTheme="minorEastAsia"/>
          <w:b/>
          <w:sz w:val="30"/>
          <w:szCs w:val="30"/>
        </w:rPr>
      </w:pPr>
      <w:r>
        <w:rPr>
          <w:rFonts w:asciiTheme="minorEastAsia" w:hAnsiTheme="minorEastAsia" w:eastAsiaTheme="minorEastAsia"/>
          <w:b/>
          <w:sz w:val="30"/>
          <w:szCs w:val="30"/>
        </w:rPr>
        <w:t>正（副）本</w:t>
      </w:r>
    </w:p>
    <w:p>
      <w:pPr>
        <w:spacing w:line="360" w:lineRule="auto"/>
        <w:jc w:val="center"/>
        <w:rPr>
          <w:rFonts w:eastAsiaTheme="minorEastAsia"/>
          <w:b/>
          <w:sz w:val="52"/>
        </w:rPr>
      </w:pPr>
      <w:r>
        <w:rPr>
          <w:rFonts w:eastAsiaTheme="minorEastAsia"/>
          <w:b/>
          <w:sz w:val="52"/>
        </w:rPr>
        <w:t>(</w:t>
      </w:r>
      <w:r>
        <w:rPr>
          <w:rFonts w:hAnsiTheme="minorEastAsia" w:eastAsiaTheme="minorEastAsia"/>
          <w:b/>
          <w:sz w:val="52"/>
        </w:rPr>
        <w:t>项目名称</w:t>
      </w:r>
      <w:r>
        <w:rPr>
          <w:rFonts w:eastAsiaTheme="minorEastAsia"/>
          <w:b/>
          <w:sz w:val="52"/>
        </w:rPr>
        <w:t>)</w:t>
      </w:r>
      <w:r>
        <w:rPr>
          <w:rFonts w:hAnsiTheme="minorEastAsia" w:eastAsiaTheme="minorEastAsia"/>
          <w:b/>
          <w:sz w:val="52"/>
        </w:rPr>
        <w:t>项目</w:t>
      </w:r>
    </w:p>
    <w:p>
      <w:pPr>
        <w:spacing w:line="360" w:lineRule="auto"/>
        <w:ind w:left="130" w:right="-1079" w:hanging="1027"/>
        <w:jc w:val="center"/>
        <w:rPr>
          <w:rFonts w:eastAsiaTheme="minorEastAsia"/>
          <w:sz w:val="32"/>
        </w:rPr>
      </w:pPr>
      <w:r>
        <w:rPr>
          <w:rFonts w:hAnsiTheme="minorEastAsia" w:eastAsiaTheme="minorEastAsia"/>
          <w:sz w:val="32"/>
        </w:rPr>
        <w:t>项目编号：</w:t>
      </w:r>
    </w:p>
    <w:p>
      <w:pPr>
        <w:jc w:val="center"/>
        <w:rPr>
          <w:rFonts w:eastAsiaTheme="minorEastAsia"/>
          <w:sz w:val="52"/>
        </w:rPr>
      </w:pPr>
    </w:p>
    <w:p>
      <w:pPr>
        <w:pStyle w:val="79"/>
        <w:ind w:firstLine="420"/>
        <w:rPr>
          <w:lang w:val="en-US"/>
        </w:rPr>
      </w:pPr>
    </w:p>
    <w:p>
      <w:pPr>
        <w:pStyle w:val="79"/>
        <w:ind w:firstLine="420"/>
        <w:rPr>
          <w:lang w:val="en-US"/>
        </w:rPr>
      </w:pPr>
    </w:p>
    <w:p>
      <w:pPr>
        <w:spacing w:line="240" w:lineRule="auto"/>
        <w:jc w:val="center"/>
        <w:rPr>
          <w:rFonts w:hAnsiTheme="minorEastAsia" w:eastAsiaTheme="minorEastAsia"/>
          <w:sz w:val="52"/>
        </w:rPr>
      </w:pPr>
      <w:r>
        <w:rPr>
          <w:rFonts w:hint="eastAsia" w:hAnsiTheme="minorEastAsia" w:eastAsiaTheme="minorEastAsia"/>
          <w:sz w:val="52"/>
        </w:rPr>
        <w:t>商</w:t>
      </w:r>
    </w:p>
    <w:p>
      <w:pPr>
        <w:spacing w:line="240" w:lineRule="auto"/>
        <w:jc w:val="center"/>
        <w:rPr>
          <w:rFonts w:hAnsiTheme="minorEastAsia" w:eastAsiaTheme="minorEastAsia"/>
          <w:sz w:val="52"/>
        </w:rPr>
      </w:pPr>
    </w:p>
    <w:p>
      <w:pPr>
        <w:spacing w:line="240" w:lineRule="auto"/>
        <w:jc w:val="center"/>
        <w:rPr>
          <w:rFonts w:hAnsiTheme="minorEastAsia" w:eastAsiaTheme="minorEastAsia"/>
          <w:sz w:val="52"/>
        </w:rPr>
      </w:pPr>
      <w:r>
        <w:rPr>
          <w:rFonts w:hint="eastAsia" w:hAnsiTheme="minorEastAsia" w:eastAsiaTheme="minorEastAsia"/>
          <w:sz w:val="52"/>
        </w:rPr>
        <w:t>务</w:t>
      </w:r>
    </w:p>
    <w:p>
      <w:pPr>
        <w:spacing w:line="240" w:lineRule="auto"/>
        <w:jc w:val="center"/>
        <w:rPr>
          <w:rFonts w:eastAsiaTheme="minorEastAsia"/>
          <w:sz w:val="52"/>
        </w:rPr>
      </w:pPr>
    </w:p>
    <w:p>
      <w:pPr>
        <w:spacing w:line="240" w:lineRule="auto"/>
        <w:jc w:val="center"/>
        <w:rPr>
          <w:rFonts w:hAnsiTheme="minorEastAsia" w:eastAsiaTheme="minorEastAsia"/>
          <w:sz w:val="52"/>
        </w:rPr>
      </w:pPr>
      <w:r>
        <w:rPr>
          <w:rFonts w:hAnsiTheme="minorEastAsia" w:eastAsiaTheme="minorEastAsia"/>
          <w:sz w:val="52"/>
        </w:rPr>
        <w:t>文</w:t>
      </w:r>
    </w:p>
    <w:p>
      <w:pPr>
        <w:spacing w:line="240" w:lineRule="auto"/>
        <w:jc w:val="center"/>
        <w:rPr>
          <w:rFonts w:eastAsiaTheme="minorEastAsia"/>
          <w:sz w:val="52"/>
        </w:rPr>
      </w:pPr>
    </w:p>
    <w:p>
      <w:pPr>
        <w:spacing w:line="240" w:lineRule="auto"/>
        <w:jc w:val="center"/>
        <w:rPr>
          <w:rFonts w:eastAsiaTheme="minorEastAsia"/>
          <w:sz w:val="52"/>
        </w:rPr>
      </w:pPr>
      <w:r>
        <w:rPr>
          <w:rFonts w:hAnsiTheme="minorEastAsia" w:eastAsiaTheme="minorEastAsia"/>
          <w:sz w:val="52"/>
        </w:rPr>
        <w:t>件</w:t>
      </w:r>
    </w:p>
    <w:p>
      <w:pPr>
        <w:pStyle w:val="79"/>
        <w:ind w:firstLine="420"/>
        <w:rPr>
          <w:lang w:val="en-US"/>
        </w:rPr>
      </w:pPr>
    </w:p>
    <w:p>
      <w:pPr>
        <w:pStyle w:val="79"/>
        <w:ind w:firstLine="420"/>
        <w:rPr>
          <w:lang w:val="en-US"/>
        </w:rPr>
      </w:pPr>
    </w:p>
    <w:p>
      <w:pPr>
        <w:spacing w:line="360" w:lineRule="auto"/>
        <w:ind w:firstLine="1600"/>
        <w:rPr>
          <w:rFonts w:eastAsiaTheme="minorEastAsia"/>
          <w:sz w:val="32"/>
        </w:rPr>
      </w:pPr>
    </w:p>
    <w:p>
      <w:pPr>
        <w:spacing w:line="360" w:lineRule="auto"/>
        <w:ind w:firstLine="1600"/>
        <w:rPr>
          <w:rFonts w:eastAsiaTheme="minorEastAsia"/>
          <w:sz w:val="32"/>
        </w:rPr>
      </w:pPr>
    </w:p>
    <w:p>
      <w:pPr>
        <w:spacing w:line="360" w:lineRule="auto"/>
        <w:ind w:firstLine="1599"/>
        <w:rPr>
          <w:rFonts w:eastAsiaTheme="minorEastAsia"/>
          <w:sz w:val="32"/>
        </w:rPr>
      </w:pPr>
      <w:r>
        <w:rPr>
          <w:rFonts w:hint="eastAsia" w:hAnsiTheme="minorEastAsia" w:eastAsiaTheme="minorEastAsia"/>
          <w:sz w:val="32"/>
        </w:rPr>
        <w:t>谈判响应方</w:t>
      </w:r>
      <w:r>
        <w:rPr>
          <w:rFonts w:hAnsiTheme="minorEastAsia" w:eastAsiaTheme="minorEastAsia"/>
          <w:sz w:val="32"/>
        </w:rPr>
        <w:t>名称：（加盖单位公章）</w:t>
      </w:r>
    </w:p>
    <w:p>
      <w:pPr>
        <w:spacing w:line="360" w:lineRule="auto"/>
        <w:ind w:firstLine="1599"/>
        <w:rPr>
          <w:rFonts w:eastAsiaTheme="minorEastAsia"/>
          <w:sz w:val="32"/>
          <w:u w:val="single"/>
        </w:rPr>
      </w:pPr>
      <w:r>
        <w:rPr>
          <w:rFonts w:hint="eastAsia" w:hAnsiTheme="minorEastAsia" w:eastAsiaTheme="minorEastAsia"/>
          <w:sz w:val="32"/>
        </w:rPr>
        <w:t>谈判响应方</w:t>
      </w:r>
      <w:r>
        <w:rPr>
          <w:rFonts w:hAnsiTheme="minorEastAsia" w:eastAsiaTheme="minorEastAsia"/>
          <w:sz w:val="32"/>
        </w:rPr>
        <w:t>地址：</w:t>
      </w:r>
    </w:p>
    <w:p>
      <w:pPr>
        <w:spacing w:line="360" w:lineRule="auto"/>
        <w:ind w:firstLine="1599"/>
        <w:rPr>
          <w:rFonts w:eastAsiaTheme="minorEastAsia"/>
          <w:sz w:val="32"/>
        </w:rPr>
      </w:pPr>
      <w:r>
        <w:rPr>
          <w:rFonts w:hAnsiTheme="minorEastAsia" w:eastAsiaTheme="minorEastAsia"/>
          <w:sz w:val="32"/>
        </w:rPr>
        <w:t>联系方式</w:t>
      </w:r>
      <w:r>
        <w:rPr>
          <w:rFonts w:hint="eastAsia" w:eastAsiaTheme="minorEastAsia"/>
          <w:sz w:val="32"/>
        </w:rPr>
        <w:t>：</w:t>
      </w:r>
    </w:p>
    <w:p>
      <w:pPr>
        <w:spacing w:line="360" w:lineRule="auto"/>
        <w:ind w:firstLine="1600"/>
        <w:rPr>
          <w:rFonts w:eastAsiaTheme="minorEastAsia"/>
          <w:sz w:val="32"/>
        </w:rPr>
      </w:pPr>
      <w:r>
        <w:rPr>
          <w:rFonts w:hint="eastAsia" w:eastAsiaTheme="minorEastAsia"/>
          <w:sz w:val="32"/>
        </w:rPr>
        <w:t>日期：    年    月    日</w:t>
      </w:r>
    </w:p>
    <w:p>
      <w:pPr>
        <w:spacing w:line="360" w:lineRule="auto"/>
        <w:ind w:firstLine="723" w:firstLineChars="200"/>
        <w:jc w:val="center"/>
        <w:rPr>
          <w:b/>
          <w:sz w:val="36"/>
          <w:szCs w:val="36"/>
        </w:rPr>
        <w:sectPr>
          <w:footerReference r:id="rId7" w:type="default"/>
          <w:type w:val="nextColumn"/>
          <w:pgSz w:w="11906" w:h="16838"/>
          <w:pgMar w:top="1440" w:right="1080" w:bottom="1440" w:left="1080" w:header="624" w:footer="624" w:gutter="0"/>
          <w:cols w:space="425" w:num="1"/>
          <w:docGrid w:linePitch="312" w:charSpace="0"/>
        </w:sectPr>
      </w:pPr>
    </w:p>
    <w:p>
      <w:pPr>
        <w:spacing w:line="360" w:lineRule="auto"/>
        <w:ind w:firstLine="723" w:firstLineChars="200"/>
        <w:jc w:val="center"/>
        <w:rPr>
          <w:b/>
          <w:sz w:val="36"/>
          <w:szCs w:val="36"/>
        </w:rPr>
      </w:pPr>
      <w:r>
        <w:rPr>
          <w:rFonts w:hint="eastAsia"/>
          <w:b/>
          <w:sz w:val="36"/>
          <w:szCs w:val="36"/>
        </w:rPr>
        <w:t>商务文件部分</w:t>
      </w:r>
    </w:p>
    <w:p>
      <w:pPr>
        <w:spacing w:line="360" w:lineRule="auto"/>
        <w:ind w:firstLine="723" w:firstLineChars="200"/>
        <w:jc w:val="center"/>
        <w:rPr>
          <w:b/>
          <w:sz w:val="36"/>
          <w:szCs w:val="36"/>
        </w:rPr>
      </w:pPr>
      <w:r>
        <w:rPr>
          <w:rFonts w:hint="eastAsia"/>
          <w:b/>
          <w:sz w:val="36"/>
          <w:szCs w:val="36"/>
        </w:rPr>
        <w:t>目  录</w:t>
      </w:r>
    </w:p>
    <w:p>
      <w:pPr>
        <w:spacing w:before="120" w:beforeLines="50" w:after="120" w:afterLines="50"/>
        <w:ind w:firstLine="420" w:firstLineChars="200"/>
        <w:rPr>
          <w:rFonts w:hAnsiTheme="minorEastAsia"/>
          <w:kern w:val="0"/>
        </w:rPr>
      </w:pPr>
      <w:r>
        <w:rPr>
          <w:rFonts w:hAnsiTheme="minorEastAsia"/>
          <w:kern w:val="0"/>
        </w:rPr>
        <w:t>（</w:t>
      </w:r>
      <w:r>
        <w:rPr>
          <w:kern w:val="0"/>
        </w:rPr>
        <w:t>1</w:t>
      </w:r>
      <w:r>
        <w:rPr>
          <w:rFonts w:hAnsiTheme="minorEastAsia"/>
          <w:kern w:val="0"/>
        </w:rPr>
        <w:t>）</w:t>
      </w:r>
      <w:r>
        <w:rPr>
          <w:rFonts w:hint="eastAsia" w:hAnsiTheme="minorEastAsia"/>
          <w:kern w:val="0"/>
        </w:rPr>
        <w:t>响应</w:t>
      </w:r>
      <w:r>
        <w:rPr>
          <w:rFonts w:hAnsiTheme="minorEastAsia"/>
          <w:kern w:val="0"/>
        </w:rPr>
        <w:t>函</w:t>
      </w:r>
      <w:r>
        <w:rPr>
          <w:rFonts w:hint="eastAsia" w:hAnsiTheme="minorEastAsia"/>
          <w:kern w:val="0"/>
        </w:rPr>
        <w:t>..............................................................................................................................页码</w:t>
      </w:r>
    </w:p>
    <w:p>
      <w:pPr>
        <w:pStyle w:val="79"/>
        <w:spacing w:before="120" w:beforeLines="50" w:after="120" w:afterLines="50"/>
        <w:ind w:firstLine="420"/>
        <w:jc w:val="both"/>
      </w:pPr>
      <w:r>
        <w:t>（2）法定代表人身份证明</w:t>
      </w:r>
      <w:r>
        <w:rPr>
          <w:rFonts w:hint="eastAsia" w:hAnsiTheme="minorEastAsia"/>
        </w:rPr>
        <w:t>......................................................................................................页码</w:t>
      </w:r>
    </w:p>
    <w:p>
      <w:pPr>
        <w:pStyle w:val="79"/>
        <w:spacing w:before="120" w:beforeLines="50" w:after="120" w:afterLines="50"/>
        <w:ind w:firstLine="420"/>
        <w:jc w:val="both"/>
      </w:pPr>
      <w:r>
        <w:t>（3）</w:t>
      </w:r>
      <w:r>
        <w:rPr>
          <w:rFonts w:hint="eastAsia"/>
        </w:rPr>
        <w:t>法人代表授权委托书</w:t>
      </w:r>
      <w:r>
        <w:rPr>
          <w:rFonts w:hint="eastAsia" w:hAnsiTheme="minorEastAsia"/>
        </w:rPr>
        <w:t>......................................................................................................页码</w:t>
      </w:r>
    </w:p>
    <w:p>
      <w:pPr>
        <w:spacing w:before="120" w:beforeLines="50" w:after="120" w:afterLines="50"/>
        <w:ind w:firstLine="420" w:firstLineChars="200"/>
        <w:rPr>
          <w:kern w:val="0"/>
        </w:rPr>
      </w:pPr>
      <w:r>
        <w:rPr>
          <w:rFonts w:hAnsiTheme="minorEastAsia"/>
          <w:kern w:val="0"/>
        </w:rPr>
        <w:t>（</w:t>
      </w:r>
      <w:r>
        <w:rPr>
          <w:rFonts w:hint="eastAsia"/>
          <w:kern w:val="0"/>
        </w:rPr>
        <w:t>4</w:t>
      </w:r>
      <w:r>
        <w:rPr>
          <w:rFonts w:hAnsiTheme="minorEastAsia"/>
          <w:kern w:val="0"/>
        </w:rPr>
        <w:t>）报价</w:t>
      </w:r>
      <w:r>
        <w:rPr>
          <w:rFonts w:hint="eastAsia" w:hAnsiTheme="minorEastAsia"/>
          <w:kern w:val="0"/>
        </w:rPr>
        <w:t>一览</w:t>
      </w:r>
      <w:r>
        <w:rPr>
          <w:rFonts w:hAnsiTheme="minorEastAsia"/>
          <w:kern w:val="0"/>
        </w:rPr>
        <w:t>表</w:t>
      </w:r>
      <w:r>
        <w:rPr>
          <w:rFonts w:hint="eastAsia" w:hAnsiTheme="minorEastAsia"/>
          <w:kern w:val="0"/>
        </w:rPr>
        <w:t>......................................................................................................................页码</w:t>
      </w:r>
    </w:p>
    <w:p>
      <w:pPr>
        <w:spacing w:before="120" w:beforeLines="50" w:after="120" w:afterLines="50"/>
        <w:ind w:firstLine="420" w:firstLineChars="200"/>
        <w:rPr>
          <w:rFonts w:hAnsiTheme="minorEastAsia"/>
          <w:kern w:val="0"/>
          <w:sz w:val="18"/>
        </w:rPr>
      </w:pPr>
      <w:r>
        <w:rPr>
          <w:rFonts w:hint="eastAsia" w:eastAsiaTheme="minorEastAsia"/>
          <w:szCs w:val="24"/>
        </w:rPr>
        <w:t>（5）</w:t>
      </w:r>
      <w:r>
        <w:rPr>
          <w:rFonts w:eastAsiaTheme="minorEastAsia"/>
          <w:szCs w:val="24"/>
        </w:rPr>
        <w:t>针对报价需要说明的其他材料</w:t>
      </w:r>
      <w:r>
        <w:rPr>
          <w:rFonts w:hint="eastAsia" w:hAnsiTheme="minorEastAsia"/>
          <w:kern w:val="0"/>
        </w:rPr>
        <w:t>.......................................................................................页码</w:t>
      </w:r>
    </w:p>
    <w:p>
      <w:pPr>
        <w:ind w:firstLine="420" w:firstLineChars="200"/>
        <w:rPr>
          <w:rFonts w:hAnsiTheme="minorEastAsia"/>
          <w:kern w:val="0"/>
        </w:rPr>
        <w:sectPr>
          <w:pgSz w:w="11906" w:h="16838"/>
          <w:pgMar w:top="1440" w:right="1080" w:bottom="1440" w:left="1080" w:header="624" w:footer="624" w:gutter="0"/>
          <w:cols w:space="425" w:num="1"/>
          <w:docGrid w:linePitch="312" w:charSpace="0"/>
        </w:sectPr>
      </w:pPr>
    </w:p>
    <w:p>
      <w:pPr>
        <w:pStyle w:val="42"/>
        <w:spacing w:before="120" w:after="120"/>
        <w:outlineLvl w:val="9"/>
      </w:pPr>
      <w:bookmarkStart w:id="94" w:name="_Toc6301898"/>
      <w:r>
        <w:rPr>
          <w:rFonts w:hint="eastAsia"/>
        </w:rPr>
        <w:t xml:space="preserve">响 应 </w:t>
      </w:r>
      <w:r>
        <w:t>函</w:t>
      </w:r>
      <w:bookmarkEnd w:id="94"/>
    </w:p>
    <w:p>
      <w:pPr>
        <w:spacing w:before="120" w:beforeLines="50" w:after="120" w:afterLines="50"/>
        <w:ind w:firstLine="422"/>
        <w:rPr>
          <w:rFonts w:eastAsiaTheme="minorEastAsia"/>
          <w:b/>
          <w:szCs w:val="24"/>
          <w:u w:val="single"/>
        </w:rPr>
      </w:pPr>
      <w:r>
        <w:rPr>
          <w:rFonts w:hAnsiTheme="minorEastAsia" w:eastAsiaTheme="minorEastAsia"/>
          <w:b/>
          <w:szCs w:val="24"/>
        </w:rPr>
        <w:t>致：</w:t>
      </w:r>
      <w:r>
        <w:rPr>
          <w:rFonts w:hint="eastAsia" w:hAnsiTheme="minorEastAsia" w:eastAsiaTheme="minorEastAsia"/>
          <w:b/>
          <w:szCs w:val="24"/>
          <w:u w:val="single"/>
        </w:rPr>
        <w:t>浙江空港培训服务咨询有限公司</w:t>
      </w:r>
    </w:p>
    <w:p>
      <w:pPr>
        <w:spacing w:before="120" w:beforeLines="50" w:after="120" w:afterLines="50"/>
        <w:ind w:firstLine="420" w:firstLineChars="200"/>
        <w:rPr>
          <w:rFonts w:eastAsiaTheme="minorEastAsia"/>
          <w:szCs w:val="24"/>
        </w:rPr>
      </w:pPr>
      <w:r>
        <w:rPr>
          <w:rFonts w:hint="eastAsia" w:hAnsiTheme="minorEastAsia" w:eastAsiaTheme="minorEastAsia"/>
          <w:szCs w:val="24"/>
        </w:rPr>
        <w:t xml:space="preserve">1. </w:t>
      </w:r>
      <w:r>
        <w:rPr>
          <w:rFonts w:hAnsiTheme="minorEastAsia" w:eastAsiaTheme="minorEastAsia"/>
          <w:szCs w:val="24"/>
        </w:rPr>
        <w:t>根据已收到贵方的竞争性</w:t>
      </w:r>
      <w:r>
        <w:rPr>
          <w:rFonts w:hint="eastAsia" w:hAnsiTheme="minorEastAsia" w:eastAsiaTheme="minorEastAsia"/>
          <w:szCs w:val="24"/>
        </w:rPr>
        <w:t>谈判</w:t>
      </w:r>
      <w:r>
        <w:rPr>
          <w:rFonts w:hAnsiTheme="minorEastAsia" w:eastAsiaTheme="minorEastAsia"/>
          <w:szCs w:val="24"/>
        </w:rPr>
        <w:t>文件，遵照有关规定，我</w:t>
      </w:r>
      <w:r>
        <w:rPr>
          <w:rFonts w:hint="eastAsia" w:hAnsiTheme="minorEastAsia" w:eastAsiaTheme="minorEastAsia"/>
          <w:szCs w:val="24"/>
        </w:rPr>
        <w:t>方仔细</w:t>
      </w:r>
      <w:r>
        <w:rPr>
          <w:rFonts w:hAnsiTheme="minorEastAsia" w:eastAsiaTheme="minorEastAsia"/>
          <w:szCs w:val="24"/>
        </w:rPr>
        <w:t>研究</w:t>
      </w:r>
      <w:r>
        <w:rPr>
          <w:rFonts w:hint="eastAsia" w:hAnsiTheme="minorEastAsia" w:eastAsiaTheme="minorEastAsia"/>
          <w:szCs w:val="24"/>
        </w:rPr>
        <w:t>了（项目名称）________________________</w:t>
      </w:r>
      <w:r>
        <w:rPr>
          <w:rFonts w:hAnsiTheme="minorEastAsia" w:eastAsiaTheme="minorEastAsia"/>
          <w:szCs w:val="24"/>
        </w:rPr>
        <w:t>竞争性</w:t>
      </w:r>
      <w:r>
        <w:rPr>
          <w:rFonts w:hint="eastAsia" w:hAnsiTheme="minorEastAsia" w:eastAsiaTheme="minorEastAsia"/>
          <w:szCs w:val="24"/>
        </w:rPr>
        <w:t>谈判</w:t>
      </w:r>
      <w:r>
        <w:rPr>
          <w:rFonts w:hAnsiTheme="minorEastAsia" w:eastAsiaTheme="minorEastAsia"/>
          <w:szCs w:val="24"/>
        </w:rPr>
        <w:t>文件</w:t>
      </w:r>
      <w:r>
        <w:rPr>
          <w:rFonts w:hint="eastAsia" w:hAnsiTheme="minorEastAsia" w:eastAsiaTheme="minorEastAsia"/>
          <w:szCs w:val="24"/>
        </w:rPr>
        <w:t>的全部内容</w:t>
      </w:r>
      <w:r>
        <w:rPr>
          <w:rFonts w:hAnsiTheme="minorEastAsia" w:eastAsiaTheme="minorEastAsia"/>
          <w:szCs w:val="24"/>
        </w:rPr>
        <w:t>，</w:t>
      </w:r>
      <w:r>
        <w:rPr>
          <w:rFonts w:hint="eastAsia" w:hAnsiTheme="minorEastAsia" w:eastAsiaTheme="minorEastAsia"/>
          <w:szCs w:val="24"/>
        </w:rPr>
        <w:t>包括修改文件</w:t>
      </w:r>
      <w:r>
        <w:rPr>
          <w:rFonts w:hAnsiTheme="minorEastAsia" w:eastAsiaTheme="minorEastAsia"/>
          <w:szCs w:val="24"/>
        </w:rPr>
        <w:t>(</w:t>
      </w:r>
      <w:r>
        <w:rPr>
          <w:rFonts w:hint="eastAsia" w:hAnsiTheme="minorEastAsia" w:eastAsiaTheme="minorEastAsia"/>
          <w:szCs w:val="24"/>
        </w:rPr>
        <w:t>如有</w:t>
      </w:r>
      <w:r>
        <w:rPr>
          <w:rFonts w:hAnsiTheme="minorEastAsia" w:eastAsiaTheme="minorEastAsia"/>
          <w:szCs w:val="24"/>
        </w:rPr>
        <w:t>)</w:t>
      </w:r>
      <w:r>
        <w:rPr>
          <w:rFonts w:hint="eastAsia" w:hAnsiTheme="minorEastAsia" w:eastAsiaTheme="minorEastAsia"/>
          <w:szCs w:val="24"/>
        </w:rPr>
        <w:t>以及全部参考资料和有关附件，确认无误。</w:t>
      </w:r>
      <w:r>
        <w:rPr>
          <w:rFonts w:hAnsiTheme="minorEastAsia" w:eastAsiaTheme="minorEastAsia"/>
          <w:szCs w:val="24"/>
        </w:rPr>
        <w:t>我方愿</w:t>
      </w:r>
      <w:r>
        <w:rPr>
          <w:rFonts w:hint="eastAsia" w:hAnsiTheme="minorEastAsia" w:eastAsiaTheme="minorEastAsia"/>
          <w:szCs w:val="24"/>
        </w:rPr>
        <w:t>按合同约定实施和完成本项目，各项要求达到</w:t>
      </w:r>
      <w:r>
        <w:rPr>
          <w:rFonts w:hAnsiTheme="minorEastAsia" w:eastAsiaTheme="minorEastAsia"/>
          <w:szCs w:val="24"/>
        </w:rPr>
        <w:t>竞争性</w:t>
      </w:r>
      <w:r>
        <w:rPr>
          <w:rFonts w:hint="eastAsia" w:hAnsiTheme="minorEastAsia" w:eastAsiaTheme="minorEastAsia"/>
          <w:szCs w:val="24"/>
        </w:rPr>
        <w:t>谈判文件要求，具体报价内容详见《报价一览表》。</w:t>
      </w:r>
    </w:p>
    <w:p>
      <w:pPr>
        <w:spacing w:before="120" w:beforeLines="50" w:after="120" w:afterLines="50"/>
        <w:ind w:firstLine="420" w:firstLineChars="200"/>
        <w:rPr>
          <w:rFonts w:eastAsiaTheme="minorEastAsia"/>
          <w:szCs w:val="24"/>
        </w:rPr>
      </w:pPr>
      <w:r>
        <w:rPr>
          <w:rFonts w:hint="eastAsia" w:hAnsiTheme="minorEastAsia" w:eastAsiaTheme="minorEastAsia"/>
          <w:szCs w:val="24"/>
        </w:rPr>
        <w:t xml:space="preserve">2. </w:t>
      </w:r>
      <w:r>
        <w:rPr>
          <w:rFonts w:hint="eastAsia" w:ascii="宋体" w:hAnsi="宋体"/>
          <w:szCs w:val="24"/>
        </w:rPr>
        <w:t>我方承诺在谈判有效期内不修改、撤销响应文件。</w:t>
      </w:r>
    </w:p>
    <w:p>
      <w:pPr>
        <w:spacing w:before="120" w:beforeLines="50" w:after="120" w:afterLines="50"/>
        <w:ind w:firstLine="420" w:firstLineChars="200"/>
        <w:rPr>
          <w:rFonts w:eastAsiaTheme="minorEastAsia"/>
          <w:szCs w:val="24"/>
        </w:rPr>
      </w:pPr>
      <w:r>
        <w:rPr>
          <w:rFonts w:hint="eastAsia" w:hAnsiTheme="minorEastAsia" w:eastAsiaTheme="minorEastAsia"/>
          <w:szCs w:val="24"/>
        </w:rPr>
        <w:t xml:space="preserve">3. </w:t>
      </w:r>
      <w:r>
        <w:rPr>
          <w:rFonts w:hint="eastAsia" w:ascii="宋体" w:hAnsi="宋体"/>
          <w:szCs w:val="24"/>
        </w:rPr>
        <w:t>如我方中标：</w:t>
      </w:r>
    </w:p>
    <w:p>
      <w:pPr>
        <w:tabs>
          <w:tab w:val="left" w:pos="1275"/>
        </w:tabs>
        <w:spacing w:before="120" w:beforeLines="50" w:after="120" w:afterLines="50"/>
        <w:ind w:firstLine="420" w:firstLineChars="200"/>
        <w:rPr>
          <w:rFonts w:ascii="宋体" w:hAnsi="宋体"/>
          <w:szCs w:val="24"/>
        </w:rPr>
      </w:pPr>
      <w:r>
        <w:rPr>
          <w:rFonts w:hAnsiTheme="minorEastAsia" w:eastAsiaTheme="minorEastAsia"/>
          <w:szCs w:val="24"/>
        </w:rPr>
        <w:t>（</w:t>
      </w:r>
      <w:r>
        <w:rPr>
          <w:rFonts w:hint="eastAsia" w:eastAsiaTheme="minorEastAsia"/>
          <w:szCs w:val="24"/>
        </w:rPr>
        <w:t>1</w:t>
      </w:r>
      <w:r>
        <w:rPr>
          <w:rFonts w:hAnsiTheme="minorEastAsia" w:eastAsiaTheme="minorEastAsia"/>
          <w:szCs w:val="24"/>
        </w:rPr>
        <w:t>）</w:t>
      </w:r>
      <w:r>
        <w:rPr>
          <w:rFonts w:hint="eastAsia" w:ascii="宋体" w:hAnsi="宋体"/>
          <w:szCs w:val="24"/>
        </w:rPr>
        <w:t>我方承诺在收到中标通知书后，在中标通知书规定的期限内与你方签订合同。</w:t>
      </w:r>
    </w:p>
    <w:p>
      <w:pPr>
        <w:tabs>
          <w:tab w:val="left" w:pos="1275"/>
        </w:tabs>
        <w:spacing w:before="120" w:beforeLines="50" w:after="120" w:afterLines="50"/>
        <w:ind w:firstLine="420" w:firstLineChars="200"/>
        <w:rPr>
          <w:rFonts w:eastAsiaTheme="minorEastAsia"/>
          <w:szCs w:val="24"/>
        </w:rPr>
      </w:pPr>
      <w:r>
        <w:rPr>
          <w:rFonts w:hint="eastAsia" w:ascii="宋体" w:hAnsi="宋体"/>
          <w:szCs w:val="24"/>
        </w:rPr>
        <w:t>（2）我方承诺在合同约定的期限内完成全部合同内容。</w:t>
      </w:r>
      <w:r>
        <w:rPr>
          <w:rFonts w:eastAsiaTheme="minorEastAsia"/>
          <w:szCs w:val="24"/>
        </w:rPr>
        <w:t xml:space="preserve"> </w:t>
      </w:r>
    </w:p>
    <w:p>
      <w:pPr>
        <w:tabs>
          <w:tab w:val="left" w:pos="1275"/>
        </w:tabs>
        <w:spacing w:before="120" w:beforeLines="50" w:after="120" w:afterLines="50"/>
        <w:ind w:firstLine="420" w:firstLineChars="200"/>
        <w:rPr>
          <w:rFonts w:hAnsiTheme="minorEastAsia" w:eastAsiaTheme="minorEastAsia"/>
          <w:szCs w:val="24"/>
        </w:rPr>
      </w:pPr>
      <w:r>
        <w:rPr>
          <w:rFonts w:hint="eastAsia" w:hAnsiTheme="minorEastAsia" w:eastAsiaTheme="minorEastAsia"/>
          <w:szCs w:val="24"/>
        </w:rPr>
        <w:t xml:space="preserve">4. </w:t>
      </w:r>
      <w:r>
        <w:rPr>
          <w:rFonts w:hint="eastAsia" w:ascii="宋体" w:hAnsi="宋体"/>
          <w:szCs w:val="24"/>
        </w:rPr>
        <w:t>我方在此声明，所递交的响应文件及有关资料内容完整、真实和准确。</w:t>
      </w:r>
    </w:p>
    <w:p>
      <w:pPr>
        <w:tabs>
          <w:tab w:val="left" w:pos="1275"/>
        </w:tabs>
        <w:spacing w:before="120" w:beforeLines="50" w:after="120" w:afterLines="50"/>
        <w:ind w:firstLine="420" w:firstLineChars="200"/>
        <w:rPr>
          <w:rFonts w:hAnsiTheme="minorEastAsia" w:eastAsiaTheme="minorEastAsia"/>
          <w:szCs w:val="24"/>
        </w:rPr>
      </w:pPr>
      <w:r>
        <w:rPr>
          <w:rFonts w:hint="eastAsia" w:hAnsiTheme="minorEastAsia" w:eastAsiaTheme="minorEastAsia"/>
          <w:szCs w:val="24"/>
        </w:rPr>
        <w:t xml:space="preserve">5. </w:t>
      </w:r>
      <w:r>
        <w:rPr>
          <w:rFonts w:hAnsiTheme="minorEastAsia" w:eastAsiaTheme="minorEastAsia"/>
          <w:szCs w:val="24"/>
        </w:rPr>
        <w:t>除非另外达成协议并生效，贵方的中标通知书和本响应文件将成为约束我们双方的合同文件组成部分。</w:t>
      </w:r>
    </w:p>
    <w:p>
      <w:pPr>
        <w:tabs>
          <w:tab w:val="left" w:pos="1275"/>
        </w:tabs>
        <w:spacing w:before="120" w:beforeLines="50" w:after="120" w:afterLines="50"/>
        <w:ind w:firstLine="420" w:firstLineChars="200"/>
        <w:rPr>
          <w:rFonts w:hAnsiTheme="minorEastAsia" w:eastAsiaTheme="minorEastAsia"/>
          <w:szCs w:val="24"/>
        </w:rPr>
      </w:pPr>
    </w:p>
    <w:p>
      <w:pPr>
        <w:tabs>
          <w:tab w:val="left" w:pos="1275"/>
        </w:tabs>
        <w:spacing w:before="120" w:beforeLines="50" w:after="120" w:afterLines="50"/>
        <w:ind w:firstLine="420" w:firstLineChars="200"/>
        <w:rPr>
          <w:rFonts w:eastAsiaTheme="minorEastAsia"/>
          <w:szCs w:val="24"/>
        </w:rPr>
      </w:pPr>
    </w:p>
    <w:p>
      <w:pPr>
        <w:autoSpaceDE w:val="0"/>
        <w:autoSpaceDN w:val="0"/>
        <w:spacing w:before="120" w:beforeLines="50" w:after="120" w:afterLines="50"/>
        <w:jc w:val="left"/>
        <w:rPr>
          <w:kern w:val="0"/>
          <w:szCs w:val="24"/>
        </w:rPr>
      </w:pPr>
      <w:r>
        <w:rPr>
          <w:rFonts w:hint="eastAsia" w:ascii="宋体" w:cs="宋体"/>
          <w:kern w:val="0"/>
          <w:szCs w:val="24"/>
        </w:rPr>
        <w:t>地址：___________________邮编：_________________电话：</w:t>
      </w:r>
      <w:r>
        <w:rPr>
          <w:kern w:val="0"/>
          <w:szCs w:val="24"/>
        </w:rPr>
        <w:t>_____</w:t>
      </w:r>
      <w:r>
        <w:rPr>
          <w:rFonts w:hint="eastAsia"/>
          <w:kern w:val="0"/>
          <w:szCs w:val="24"/>
        </w:rPr>
        <w:t>_____</w:t>
      </w:r>
      <w:r>
        <w:rPr>
          <w:kern w:val="0"/>
          <w:szCs w:val="24"/>
        </w:rPr>
        <w:t>______</w:t>
      </w:r>
    </w:p>
    <w:p>
      <w:pPr>
        <w:autoSpaceDE w:val="0"/>
        <w:autoSpaceDN w:val="0"/>
        <w:spacing w:before="120" w:beforeLines="50" w:after="120" w:afterLines="50"/>
        <w:jc w:val="left"/>
        <w:rPr>
          <w:kern w:val="0"/>
          <w:szCs w:val="24"/>
        </w:rPr>
      </w:pPr>
      <w:r>
        <w:rPr>
          <w:rFonts w:hint="eastAsia" w:ascii="宋体" w:cs="宋体"/>
          <w:kern w:val="0"/>
          <w:szCs w:val="24"/>
        </w:rPr>
        <w:t>谈判响应方代表姓名：____________________________职务：</w:t>
      </w:r>
      <w:r>
        <w:rPr>
          <w:kern w:val="0"/>
          <w:szCs w:val="24"/>
        </w:rPr>
        <w:t>___</w:t>
      </w:r>
      <w:r>
        <w:rPr>
          <w:rFonts w:hint="eastAsia"/>
          <w:kern w:val="0"/>
          <w:szCs w:val="24"/>
        </w:rPr>
        <w:t>_____</w:t>
      </w:r>
      <w:r>
        <w:rPr>
          <w:kern w:val="0"/>
          <w:szCs w:val="24"/>
          <w:u w:val="single"/>
        </w:rPr>
        <w:t>________</w:t>
      </w:r>
    </w:p>
    <w:p>
      <w:pPr>
        <w:autoSpaceDE w:val="0"/>
        <w:autoSpaceDN w:val="0"/>
        <w:spacing w:before="120" w:beforeLines="50" w:after="120" w:afterLines="50"/>
        <w:jc w:val="left"/>
        <w:rPr>
          <w:kern w:val="0"/>
          <w:szCs w:val="24"/>
        </w:rPr>
      </w:pPr>
      <w:r>
        <w:rPr>
          <w:rFonts w:hint="eastAsia" w:ascii="宋体" w:cs="宋体"/>
          <w:kern w:val="0"/>
          <w:szCs w:val="24"/>
        </w:rPr>
        <w:t>谈判响应方全称</w:t>
      </w:r>
      <w:r>
        <w:rPr>
          <w:kern w:val="0"/>
          <w:szCs w:val="24"/>
        </w:rPr>
        <w:t>(</w:t>
      </w:r>
      <w:r>
        <w:rPr>
          <w:rFonts w:hint="eastAsia" w:ascii="宋体" w:cs="宋体"/>
          <w:kern w:val="0"/>
          <w:szCs w:val="24"/>
        </w:rPr>
        <w:t>盖章</w:t>
      </w:r>
      <w:r>
        <w:rPr>
          <w:kern w:val="0"/>
          <w:szCs w:val="24"/>
        </w:rPr>
        <w:t>)</w:t>
      </w:r>
      <w:r>
        <w:rPr>
          <w:rFonts w:hint="eastAsia" w:ascii="宋体" w:cs="宋体"/>
          <w:kern w:val="0"/>
          <w:szCs w:val="24"/>
        </w:rPr>
        <w:t>：</w:t>
      </w:r>
      <w:r>
        <w:rPr>
          <w:kern w:val="0"/>
          <w:szCs w:val="24"/>
        </w:rPr>
        <w:t>____</w:t>
      </w:r>
      <w:r>
        <w:rPr>
          <w:rFonts w:hint="eastAsia"/>
          <w:kern w:val="0"/>
          <w:szCs w:val="24"/>
        </w:rPr>
        <w:t>_________________________</w:t>
      </w:r>
      <w:r>
        <w:rPr>
          <w:kern w:val="0"/>
          <w:szCs w:val="24"/>
        </w:rPr>
        <w:t xml:space="preserve">____________________ </w:t>
      </w:r>
    </w:p>
    <w:p>
      <w:pPr>
        <w:autoSpaceDE w:val="0"/>
        <w:autoSpaceDN w:val="0"/>
        <w:spacing w:before="120" w:beforeLines="50" w:after="120" w:afterLines="50"/>
        <w:jc w:val="left"/>
        <w:rPr>
          <w:kern w:val="0"/>
          <w:szCs w:val="24"/>
        </w:rPr>
      </w:pPr>
      <w:r>
        <w:rPr>
          <w:rFonts w:hint="eastAsia" w:ascii="宋体" w:cs="宋体"/>
          <w:kern w:val="0"/>
          <w:szCs w:val="24"/>
        </w:rPr>
        <w:t>开户银行：_________________________银行帐号：</w:t>
      </w:r>
      <w:r>
        <w:rPr>
          <w:kern w:val="0"/>
          <w:szCs w:val="24"/>
        </w:rPr>
        <w:t>_______</w:t>
      </w:r>
      <w:r>
        <w:rPr>
          <w:rFonts w:hint="eastAsia"/>
          <w:kern w:val="0"/>
          <w:szCs w:val="24"/>
        </w:rPr>
        <w:t>________</w:t>
      </w:r>
      <w:r>
        <w:rPr>
          <w:kern w:val="0"/>
          <w:szCs w:val="24"/>
        </w:rPr>
        <w:t>__________</w:t>
      </w:r>
    </w:p>
    <w:p>
      <w:pPr>
        <w:spacing w:before="120" w:beforeLines="50" w:after="120" w:afterLines="50"/>
        <w:rPr>
          <w:rFonts w:hAnsiTheme="minorEastAsia"/>
          <w:kern w:val="0"/>
          <w:szCs w:val="24"/>
        </w:rPr>
      </w:pPr>
      <w:r>
        <w:rPr>
          <w:rFonts w:hint="eastAsia"/>
          <w:kern w:val="0"/>
          <w:szCs w:val="24"/>
        </w:rPr>
        <w:t>法定代表人或全权代表签字：______________________日期：</w:t>
      </w:r>
      <w:r>
        <w:rPr>
          <w:kern w:val="0"/>
          <w:szCs w:val="24"/>
        </w:rPr>
        <w:t>_</w:t>
      </w:r>
      <w:r>
        <w:rPr>
          <w:rFonts w:hint="eastAsia"/>
          <w:kern w:val="0"/>
          <w:szCs w:val="24"/>
        </w:rPr>
        <w:t>__</w:t>
      </w:r>
      <w:r>
        <w:rPr>
          <w:kern w:val="0"/>
          <w:szCs w:val="24"/>
        </w:rPr>
        <w:t>__</w:t>
      </w:r>
      <w:r>
        <w:rPr>
          <w:rFonts w:hint="eastAsia"/>
          <w:kern w:val="0"/>
          <w:szCs w:val="24"/>
        </w:rPr>
        <w:t>年</w:t>
      </w:r>
      <w:r>
        <w:rPr>
          <w:kern w:val="0"/>
          <w:szCs w:val="24"/>
        </w:rPr>
        <w:t>___</w:t>
      </w:r>
      <w:r>
        <w:rPr>
          <w:rFonts w:hint="eastAsia"/>
          <w:kern w:val="0"/>
          <w:szCs w:val="24"/>
        </w:rPr>
        <w:t>月</w:t>
      </w:r>
      <w:r>
        <w:rPr>
          <w:kern w:val="0"/>
          <w:szCs w:val="24"/>
        </w:rPr>
        <w:t>___</w:t>
      </w:r>
      <w:r>
        <w:rPr>
          <w:rFonts w:hint="eastAsia"/>
          <w:kern w:val="0"/>
          <w:szCs w:val="24"/>
        </w:rPr>
        <w:t>日</w:t>
      </w:r>
    </w:p>
    <w:p>
      <w:pPr>
        <w:spacing w:line="360" w:lineRule="auto"/>
        <w:ind w:firstLine="565" w:firstLineChars="257"/>
        <w:rPr>
          <w:rFonts w:hAnsiTheme="minorEastAsia" w:eastAsiaTheme="minorEastAsia"/>
          <w:sz w:val="22"/>
          <w:szCs w:val="22"/>
        </w:rPr>
      </w:pPr>
    </w:p>
    <w:p>
      <w:pPr>
        <w:ind w:firstLine="420" w:firstLineChars="200"/>
        <w:sectPr>
          <w:type w:val="nextColumn"/>
          <w:pgSz w:w="11906" w:h="16838"/>
          <w:pgMar w:top="1440" w:right="1080" w:bottom="1440" w:left="1080" w:header="624" w:footer="624" w:gutter="0"/>
          <w:cols w:space="425" w:num="1"/>
          <w:docGrid w:linePitch="312" w:charSpace="0"/>
        </w:sectPr>
      </w:pPr>
    </w:p>
    <w:p>
      <w:pPr>
        <w:pStyle w:val="42"/>
        <w:spacing w:before="120" w:after="120"/>
        <w:outlineLvl w:val="9"/>
      </w:pPr>
      <w:bookmarkStart w:id="95" w:name="_Toc6301899"/>
      <w:r>
        <w:t>法定代表人资格证明书</w:t>
      </w:r>
      <w:bookmarkEnd w:id="95"/>
    </w:p>
    <w:p>
      <w:pPr>
        <w:spacing w:before="120" w:beforeLines="50" w:after="120" w:afterLines="50"/>
        <w:ind w:firstLine="640"/>
        <w:rPr>
          <w:rFonts w:hAnsiTheme="minorEastAsia" w:eastAsiaTheme="minorEastAsia"/>
          <w:sz w:val="28"/>
          <w:szCs w:val="28"/>
        </w:rPr>
      </w:pPr>
    </w:p>
    <w:p>
      <w:pPr>
        <w:spacing w:before="120" w:beforeLines="50" w:after="120" w:afterLines="50"/>
        <w:rPr>
          <w:bCs/>
          <w:spacing w:val="-6"/>
          <w:szCs w:val="21"/>
        </w:rPr>
      </w:pPr>
      <w:r>
        <w:rPr>
          <w:bCs/>
          <w:spacing w:val="-6"/>
          <w:szCs w:val="21"/>
        </w:rPr>
        <w:t>致：</w:t>
      </w:r>
      <w:r>
        <w:rPr>
          <w:rFonts w:hint="eastAsia"/>
          <w:bCs/>
          <w:spacing w:val="-6"/>
          <w:szCs w:val="21"/>
        </w:rPr>
        <w:t>浙江空港培训服务咨询有限公司</w:t>
      </w:r>
      <w:r>
        <w:rPr>
          <w:bCs/>
          <w:spacing w:val="-6"/>
          <w:szCs w:val="21"/>
        </w:rPr>
        <w:t>：</w:t>
      </w:r>
    </w:p>
    <w:p>
      <w:pPr>
        <w:spacing w:before="120" w:beforeLines="50" w:after="120" w:afterLines="50"/>
        <w:ind w:firstLine="396" w:firstLineChars="200"/>
        <w:rPr>
          <w:bCs/>
          <w:spacing w:val="-6"/>
          <w:szCs w:val="21"/>
        </w:rPr>
      </w:pPr>
      <w:r>
        <w:rPr>
          <w:bCs/>
          <w:spacing w:val="-6"/>
          <w:szCs w:val="21"/>
        </w:rPr>
        <w:t>我</w:t>
      </w:r>
      <w:r>
        <w:rPr>
          <w:spacing w:val="-6"/>
          <w:szCs w:val="21"/>
          <w:u w:val="single"/>
        </w:rPr>
        <w:t xml:space="preserve">                 </w:t>
      </w:r>
      <w:r>
        <w:rPr>
          <w:bCs/>
          <w:spacing w:val="-6"/>
          <w:szCs w:val="21"/>
        </w:rPr>
        <w:t>(姓名)系</w:t>
      </w:r>
      <w:r>
        <w:rPr>
          <w:spacing w:val="-6"/>
          <w:szCs w:val="21"/>
          <w:u w:val="single"/>
        </w:rPr>
        <w:t xml:space="preserve">                            </w:t>
      </w:r>
      <w:r>
        <w:rPr>
          <w:bCs/>
          <w:spacing w:val="-6"/>
          <w:szCs w:val="21"/>
        </w:rPr>
        <w:t>(</w:t>
      </w:r>
      <w:r>
        <w:rPr>
          <w:rFonts w:hint="eastAsia" w:hAnsiTheme="minorEastAsia" w:eastAsiaTheme="minorEastAsia"/>
          <w:szCs w:val="21"/>
        </w:rPr>
        <w:t>谈判响应方</w:t>
      </w:r>
      <w:r>
        <w:rPr>
          <w:bCs/>
          <w:spacing w:val="-6"/>
          <w:szCs w:val="21"/>
        </w:rPr>
        <w:t>名称)的法定代表人，身份证号：</w:t>
      </w:r>
      <w:r>
        <w:rPr>
          <w:spacing w:val="-6"/>
          <w:szCs w:val="21"/>
          <w:u w:val="single"/>
        </w:rPr>
        <w:t xml:space="preserve">                                     </w:t>
      </w:r>
      <w:r>
        <w:rPr>
          <w:bCs/>
          <w:spacing w:val="-6"/>
          <w:szCs w:val="21"/>
        </w:rPr>
        <w:t>。</w:t>
      </w:r>
    </w:p>
    <w:p>
      <w:pPr>
        <w:spacing w:before="120" w:beforeLines="50" w:after="120" w:afterLines="50"/>
        <w:ind w:firstLine="396" w:firstLineChars="200"/>
        <w:rPr>
          <w:bCs/>
          <w:spacing w:val="-6"/>
          <w:szCs w:val="21"/>
        </w:rPr>
      </w:pPr>
      <w:r>
        <w:rPr>
          <w:bCs/>
          <w:spacing w:val="-6"/>
          <w:szCs w:val="21"/>
        </w:rPr>
        <w:t>特此证明。</w:t>
      </w:r>
    </w:p>
    <w:p>
      <w:pPr>
        <w:spacing w:before="120" w:beforeLines="50" w:after="120" w:afterLines="50"/>
        <w:rPr>
          <w:rFonts w:eastAsiaTheme="minorEastAsia"/>
          <w:szCs w:val="21"/>
        </w:rPr>
      </w:pPr>
      <w:r>
        <w:rPr>
          <w:rFonts w:eastAsiaTheme="minorEastAsia"/>
          <w:szCs w:val="21"/>
        </w:rPr>
        <mc:AlternateContent>
          <mc:Choice Requires="wps">
            <w:drawing>
              <wp:anchor distT="0" distB="0" distL="114300" distR="114300" simplePos="0" relativeHeight="251656192" behindDoc="0" locked="0" layoutInCell="1" allowOverlap="1">
                <wp:simplePos x="0" y="0"/>
                <wp:positionH relativeFrom="column">
                  <wp:posOffset>-187960</wp:posOffset>
                </wp:positionH>
                <wp:positionV relativeFrom="paragraph">
                  <wp:posOffset>202565</wp:posOffset>
                </wp:positionV>
                <wp:extent cx="5922645" cy="2425700"/>
                <wp:effectExtent l="0" t="0" r="20955" b="12700"/>
                <wp:wrapNone/>
                <wp:docPr id="1" name="Text Box 1071"/>
                <wp:cNvGraphicFramePr/>
                <a:graphic xmlns:a="http://schemas.openxmlformats.org/drawingml/2006/main">
                  <a:graphicData uri="http://schemas.microsoft.com/office/word/2010/wordprocessingShape">
                    <wps:wsp>
                      <wps:cNvSpPr txBox="1">
                        <a:spLocks noChangeArrowheads="1"/>
                      </wps:cNvSpPr>
                      <wps:spPr bwMode="auto">
                        <a:xfrm>
                          <a:off x="0" y="0"/>
                          <a:ext cx="5922645" cy="2425700"/>
                        </a:xfrm>
                        <a:prstGeom prst="rect">
                          <a:avLst/>
                        </a:prstGeom>
                        <a:solidFill>
                          <a:srgbClr val="FFFFFF"/>
                        </a:solidFill>
                        <a:ln w="9525">
                          <a:solidFill>
                            <a:srgbClr val="000000"/>
                          </a:solidFill>
                          <a:miter lim="800000"/>
                        </a:ln>
                        <a:effectLst/>
                      </wps:spPr>
                      <wps:txbx>
                        <w:txbxContent>
                          <w:p>
                            <w:pPr>
                              <w:rPr>
                                <w:rFonts w:ascii="新宋体" w:hAnsi="新宋体" w:eastAsia="新宋体"/>
                                <w:sz w:val="22"/>
                              </w:rPr>
                            </w:pPr>
                            <w:r>
                              <w:rPr>
                                <w:rFonts w:hint="eastAsia" w:ascii="新宋体" w:hAnsi="新宋体" w:eastAsia="新宋体"/>
                                <w:sz w:val="22"/>
                              </w:rPr>
                              <w:t xml:space="preserve">  身份证：</w:t>
                            </w:r>
                          </w:p>
                          <w:p>
                            <w:pPr>
                              <w:rPr>
                                <w:rFonts w:ascii="新宋体" w:hAnsi="新宋体" w:eastAsia="新宋体"/>
                                <w:sz w:val="22"/>
                              </w:rPr>
                            </w:pPr>
                          </w:p>
                          <w:p>
                            <w:pPr>
                              <w:rPr>
                                <w:rFonts w:ascii="新宋体" w:hAnsi="新宋体" w:eastAsia="新宋体"/>
                                <w:sz w:val="22"/>
                              </w:rPr>
                            </w:pPr>
                          </w:p>
                          <w:p>
                            <w:pPr>
                              <w:rPr>
                                <w:rFonts w:ascii="新宋体" w:hAnsi="新宋体" w:eastAsia="新宋体"/>
                                <w:sz w:val="22"/>
                              </w:rPr>
                            </w:pPr>
                          </w:p>
                          <w:p>
                            <w:pPr>
                              <w:rPr>
                                <w:rFonts w:ascii="新宋体" w:hAnsi="新宋体" w:eastAsia="新宋体"/>
                                <w:sz w:val="22"/>
                              </w:rPr>
                            </w:pPr>
                          </w:p>
                          <w:p>
                            <w:pPr>
                              <w:rPr>
                                <w:sz w:val="28"/>
                                <w:szCs w:val="28"/>
                              </w:rPr>
                            </w:pPr>
                            <w:r>
                              <w:rPr>
                                <w:rFonts w:hint="eastAsia" w:ascii="新宋体" w:hAnsi="新宋体" w:eastAsia="新宋体"/>
                                <w:sz w:val="28"/>
                                <w:szCs w:val="28"/>
                              </w:rPr>
                              <w:t xml:space="preserve"> 复印件粘贴处</w:t>
                            </w:r>
                          </w:p>
                        </w:txbxContent>
                      </wps:txbx>
                      <wps:bodyPr rot="0" vert="horz" wrap="square" lIns="91440" tIns="45720" rIns="91440" bIns="45720" anchor="t" anchorCtr="0" upright="1">
                        <a:noAutofit/>
                      </wps:bodyPr>
                    </wps:wsp>
                  </a:graphicData>
                </a:graphic>
              </wp:anchor>
            </w:drawing>
          </mc:Choice>
          <mc:Fallback>
            <w:pict>
              <v:shape id="Text Box 1071" o:spid="_x0000_s1026" o:spt="202" type="#_x0000_t202" style="position:absolute;left:0pt;margin-left:-14.8pt;margin-top:15.95pt;height:191pt;width:466.35pt;z-index:251656192;mso-width-relative:page;mso-height-relative:page;" fillcolor="#FFFFFF" filled="t" stroked="t" coordsize="21600,21600" o:gfxdata="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TL&#10;06DaAAAACgEAAA8AAAAAAAAAAQAgAAAAIgAAAGRycy9kb3ducmV2LnhtbFBLAQIUABQAAAAIAIdO&#10;4kAKs07lIQIAAEoEAAAOAAAAAAAAAAEAIAAAACkBAABkcnMvZTJvRG9jLnhtbFBLBQYAAAAABgAG&#10;AFkBAAC8BQAAAAA=&#10;">
                <v:fill on="t" focussize="0,0"/>
                <v:stroke color="#000000" miterlimit="8" joinstyle="miter"/>
                <v:imagedata o:title=""/>
                <o:lock v:ext="edit" aspectratio="f"/>
                <v:textbox>
                  <w:txbxContent>
                    <w:p>
                      <w:pPr>
                        <w:rPr>
                          <w:rFonts w:ascii="新宋体" w:hAnsi="新宋体" w:eastAsia="新宋体"/>
                          <w:sz w:val="22"/>
                        </w:rPr>
                      </w:pPr>
                      <w:r>
                        <w:rPr>
                          <w:rFonts w:hint="eastAsia" w:ascii="新宋体" w:hAnsi="新宋体" w:eastAsia="新宋体"/>
                          <w:sz w:val="22"/>
                        </w:rPr>
                        <w:t xml:space="preserve">  身份证：</w:t>
                      </w:r>
                    </w:p>
                    <w:p>
                      <w:pPr>
                        <w:rPr>
                          <w:rFonts w:ascii="新宋体" w:hAnsi="新宋体" w:eastAsia="新宋体"/>
                          <w:sz w:val="22"/>
                        </w:rPr>
                      </w:pPr>
                    </w:p>
                    <w:p>
                      <w:pPr>
                        <w:rPr>
                          <w:rFonts w:ascii="新宋体" w:hAnsi="新宋体" w:eastAsia="新宋体"/>
                          <w:sz w:val="22"/>
                        </w:rPr>
                      </w:pPr>
                    </w:p>
                    <w:p>
                      <w:pPr>
                        <w:rPr>
                          <w:rFonts w:ascii="新宋体" w:hAnsi="新宋体" w:eastAsia="新宋体"/>
                          <w:sz w:val="22"/>
                        </w:rPr>
                      </w:pPr>
                    </w:p>
                    <w:p>
                      <w:pPr>
                        <w:rPr>
                          <w:rFonts w:ascii="新宋体" w:hAnsi="新宋体" w:eastAsia="新宋体"/>
                          <w:sz w:val="22"/>
                        </w:rPr>
                      </w:pPr>
                    </w:p>
                    <w:p>
                      <w:pPr>
                        <w:rPr>
                          <w:sz w:val="28"/>
                          <w:szCs w:val="28"/>
                        </w:rPr>
                      </w:pPr>
                      <w:r>
                        <w:rPr>
                          <w:rFonts w:hint="eastAsia" w:ascii="新宋体" w:hAnsi="新宋体" w:eastAsia="新宋体"/>
                          <w:sz w:val="28"/>
                          <w:szCs w:val="28"/>
                        </w:rPr>
                        <w:t xml:space="preserve"> 复印件粘贴处</w:t>
                      </w:r>
                    </w:p>
                  </w:txbxContent>
                </v:textbox>
              </v:shape>
            </w:pict>
          </mc:Fallback>
        </mc:AlternateContent>
      </w:r>
    </w:p>
    <w:p>
      <w:pPr>
        <w:spacing w:before="120" w:beforeLines="50" w:after="120" w:afterLines="50"/>
        <w:rPr>
          <w:rFonts w:eastAsiaTheme="minorEastAsia"/>
          <w:szCs w:val="21"/>
        </w:rPr>
      </w:pPr>
    </w:p>
    <w:p>
      <w:pPr>
        <w:spacing w:before="120" w:beforeLines="50" w:after="120" w:afterLines="50"/>
        <w:rPr>
          <w:rFonts w:eastAsiaTheme="minorEastAsia"/>
          <w:szCs w:val="21"/>
        </w:rPr>
      </w:pPr>
    </w:p>
    <w:p>
      <w:pPr>
        <w:spacing w:before="120" w:beforeLines="50" w:after="120" w:afterLines="50"/>
        <w:rPr>
          <w:rFonts w:eastAsiaTheme="minorEastAsia"/>
          <w:szCs w:val="21"/>
        </w:rPr>
      </w:pPr>
    </w:p>
    <w:p>
      <w:pPr>
        <w:spacing w:before="120" w:beforeLines="50" w:after="120" w:afterLines="50"/>
        <w:rPr>
          <w:rFonts w:eastAsiaTheme="minorEastAsia"/>
          <w:szCs w:val="21"/>
        </w:rPr>
      </w:pPr>
    </w:p>
    <w:p>
      <w:pPr>
        <w:spacing w:before="120" w:beforeLines="50" w:after="120" w:afterLines="50"/>
        <w:rPr>
          <w:rFonts w:eastAsiaTheme="minorEastAsia"/>
          <w:szCs w:val="21"/>
        </w:rPr>
      </w:pPr>
    </w:p>
    <w:p>
      <w:pPr>
        <w:spacing w:before="120" w:beforeLines="50" w:after="120" w:afterLines="50"/>
        <w:rPr>
          <w:rFonts w:eastAsiaTheme="minorEastAsia"/>
          <w:sz w:val="28"/>
          <w:szCs w:val="28"/>
        </w:rPr>
      </w:pPr>
    </w:p>
    <w:p>
      <w:pPr>
        <w:spacing w:before="120" w:beforeLines="50" w:after="120" w:afterLines="50"/>
        <w:ind w:right="1050" w:rightChars="500"/>
        <w:jc w:val="right"/>
        <w:rPr>
          <w:rFonts w:hAnsiTheme="minorEastAsia" w:eastAsiaTheme="minorEastAsia"/>
          <w:szCs w:val="24"/>
        </w:rPr>
      </w:pPr>
    </w:p>
    <w:p>
      <w:pPr>
        <w:spacing w:before="120" w:beforeLines="50" w:after="120" w:afterLines="50"/>
        <w:ind w:right="1050" w:rightChars="500"/>
        <w:jc w:val="right"/>
        <w:rPr>
          <w:rFonts w:hAnsiTheme="minorEastAsia" w:eastAsiaTheme="minorEastAsia"/>
          <w:szCs w:val="24"/>
        </w:rPr>
      </w:pPr>
    </w:p>
    <w:p>
      <w:pPr>
        <w:spacing w:before="120" w:beforeLines="50" w:after="120" w:afterLines="50"/>
        <w:ind w:right="1050" w:rightChars="500"/>
        <w:jc w:val="right"/>
        <w:rPr>
          <w:rFonts w:hAnsiTheme="minorEastAsia" w:eastAsiaTheme="minorEastAsia"/>
          <w:szCs w:val="24"/>
        </w:rPr>
      </w:pPr>
      <w:r>
        <w:rPr>
          <w:rFonts w:hAnsiTheme="minorEastAsia" w:eastAsiaTheme="minorEastAsia"/>
          <w:szCs w:val="24"/>
        </w:rPr>
        <w:t>法定代表人：（签</w:t>
      </w:r>
      <w:r>
        <w:rPr>
          <w:rFonts w:hint="eastAsia" w:hAnsiTheme="minorEastAsia" w:eastAsiaTheme="minorEastAsia"/>
          <w:szCs w:val="24"/>
        </w:rPr>
        <w:t>字或盖章</w:t>
      </w:r>
      <w:r>
        <w:rPr>
          <w:rFonts w:hAnsiTheme="minorEastAsia" w:eastAsiaTheme="minorEastAsia"/>
          <w:szCs w:val="24"/>
        </w:rPr>
        <w:t>）</w:t>
      </w:r>
    </w:p>
    <w:p>
      <w:pPr>
        <w:tabs>
          <w:tab w:val="center" w:pos="4755"/>
          <w:tab w:val="right" w:pos="9070"/>
        </w:tabs>
        <w:spacing w:before="120" w:beforeLines="50" w:after="120" w:afterLines="50"/>
        <w:ind w:right="1050" w:rightChars="500"/>
        <w:jc w:val="right"/>
        <w:rPr>
          <w:rFonts w:eastAsiaTheme="minorEastAsia"/>
          <w:szCs w:val="28"/>
          <w:u w:val="single"/>
        </w:rPr>
      </w:pPr>
      <w:r>
        <w:rPr>
          <w:rFonts w:hint="eastAsia" w:hAnsiTheme="minorEastAsia" w:eastAsiaTheme="minorEastAsia"/>
          <w:szCs w:val="28"/>
        </w:rPr>
        <w:t>谈判响应方全称</w:t>
      </w:r>
      <w:r>
        <w:rPr>
          <w:rFonts w:hAnsiTheme="minorEastAsia" w:eastAsiaTheme="minorEastAsia"/>
          <w:szCs w:val="28"/>
        </w:rPr>
        <w:t>：</w:t>
      </w:r>
      <w:r>
        <w:rPr>
          <w:rFonts w:hAnsiTheme="minorEastAsia" w:eastAsiaTheme="minorEastAsia"/>
          <w:szCs w:val="28"/>
          <w:u w:val="single"/>
        </w:rPr>
        <w:t>（</w:t>
      </w:r>
      <w:r>
        <w:rPr>
          <w:rFonts w:hint="eastAsia" w:hAnsiTheme="minorEastAsia" w:eastAsiaTheme="minorEastAsia"/>
          <w:szCs w:val="28"/>
          <w:u w:val="single"/>
        </w:rPr>
        <w:t>公章</w:t>
      </w:r>
      <w:r>
        <w:rPr>
          <w:rFonts w:hAnsiTheme="minorEastAsia" w:eastAsiaTheme="minorEastAsia"/>
          <w:szCs w:val="28"/>
          <w:u w:val="single"/>
        </w:rPr>
        <w:t>）</w:t>
      </w:r>
    </w:p>
    <w:p>
      <w:pPr>
        <w:tabs>
          <w:tab w:val="center" w:pos="4755"/>
          <w:tab w:val="right" w:pos="9070"/>
        </w:tabs>
        <w:spacing w:before="120" w:beforeLines="50" w:after="120" w:afterLines="50"/>
        <w:ind w:right="1050" w:rightChars="500"/>
        <w:jc w:val="right"/>
        <w:rPr>
          <w:rFonts w:eastAsiaTheme="minorEastAsia"/>
          <w:b/>
          <w:sz w:val="22"/>
          <w:u w:val="single"/>
        </w:rPr>
      </w:pPr>
      <w:r>
        <w:rPr>
          <w:rFonts w:hint="eastAsia" w:hAnsiTheme="minorEastAsia" w:eastAsiaTheme="minorEastAsia"/>
          <w:szCs w:val="28"/>
        </w:rPr>
        <w:t>日期</w:t>
      </w:r>
      <w:r>
        <w:rPr>
          <w:rFonts w:hAnsiTheme="minorEastAsia" w:eastAsiaTheme="minorEastAsia"/>
          <w:szCs w:val="28"/>
        </w:rPr>
        <w:t>：</w:t>
      </w:r>
      <w:r>
        <w:rPr>
          <w:rFonts w:hint="eastAsia" w:hAnsiTheme="minorEastAsia" w:eastAsiaTheme="minorEastAsia"/>
          <w:szCs w:val="28"/>
        </w:rPr>
        <w:t>___年___月___日</w:t>
      </w:r>
    </w:p>
    <w:p>
      <w:pPr>
        <w:spacing w:before="120" w:beforeLines="50" w:after="120" w:afterLines="50"/>
        <w:ind w:firstLine="420" w:firstLineChars="200"/>
        <w:sectPr>
          <w:type w:val="nextColumn"/>
          <w:pgSz w:w="11906" w:h="16838"/>
          <w:pgMar w:top="1440" w:right="1080" w:bottom="1440" w:left="1080" w:header="624" w:footer="624" w:gutter="0"/>
          <w:cols w:space="425" w:num="1"/>
          <w:docGrid w:linePitch="312" w:charSpace="0"/>
        </w:sectPr>
      </w:pPr>
    </w:p>
    <w:p>
      <w:pPr>
        <w:spacing w:line="360" w:lineRule="auto"/>
        <w:jc w:val="center"/>
        <w:rPr>
          <w:rFonts w:eastAsiaTheme="minorEastAsia"/>
          <w:b/>
          <w:kern w:val="0"/>
          <w:sz w:val="36"/>
          <w:szCs w:val="36"/>
        </w:rPr>
      </w:pPr>
      <w:r>
        <w:rPr>
          <w:rFonts w:hint="eastAsia" w:hAnsiTheme="minorEastAsia" w:eastAsiaTheme="minorEastAsia"/>
          <w:b/>
          <w:kern w:val="0"/>
          <w:sz w:val="36"/>
          <w:szCs w:val="36"/>
        </w:rPr>
        <w:t>法人代表</w:t>
      </w:r>
      <w:r>
        <w:rPr>
          <w:rFonts w:hAnsiTheme="minorEastAsia" w:eastAsiaTheme="minorEastAsia"/>
          <w:b/>
          <w:kern w:val="0"/>
          <w:sz w:val="36"/>
          <w:szCs w:val="36"/>
        </w:rPr>
        <w:t>授权委托书</w:t>
      </w:r>
    </w:p>
    <w:p>
      <w:pPr>
        <w:spacing w:before="120" w:beforeLines="50" w:after="120" w:afterLines="50"/>
        <w:rPr>
          <w:rFonts w:eastAsiaTheme="minorEastAsia"/>
          <w:b/>
          <w:szCs w:val="21"/>
        </w:rPr>
      </w:pPr>
      <w:r>
        <w:rPr>
          <w:rFonts w:hAnsiTheme="minorEastAsia" w:eastAsiaTheme="minorEastAsia"/>
          <w:b/>
          <w:szCs w:val="21"/>
        </w:rPr>
        <w:t>致</w:t>
      </w:r>
      <w:r>
        <w:rPr>
          <w:rFonts w:hint="eastAsia" w:hAnsiTheme="minorEastAsia" w:eastAsiaTheme="minorEastAsia"/>
          <w:b/>
          <w:szCs w:val="21"/>
        </w:rPr>
        <w:t>浙江空港培训服务咨询有限公司</w:t>
      </w:r>
      <w:r>
        <w:rPr>
          <w:rFonts w:hAnsiTheme="minorEastAsia" w:eastAsiaTheme="minorEastAsia"/>
          <w:b/>
          <w:szCs w:val="21"/>
        </w:rPr>
        <w:t>：</w:t>
      </w:r>
    </w:p>
    <w:p>
      <w:pPr>
        <w:pStyle w:val="85"/>
        <w:adjustRightInd/>
        <w:spacing w:before="120" w:beforeLines="50" w:after="120" w:afterLines="50" w:line="400" w:lineRule="exact"/>
        <w:ind w:firstLine="420" w:firstLineChars="200"/>
        <w:rPr>
          <w:color w:val="auto"/>
          <w:sz w:val="21"/>
          <w:szCs w:val="21"/>
        </w:rPr>
      </w:pPr>
      <w:r>
        <w:rPr>
          <w:rFonts w:hAnsiTheme="minorEastAsia" w:eastAsiaTheme="minorEastAsia"/>
          <w:color w:val="auto"/>
          <w:sz w:val="21"/>
          <w:szCs w:val="21"/>
        </w:rPr>
        <w:t>本授权委托书声明：我</w:t>
      </w:r>
      <w:r>
        <w:rPr>
          <w:rFonts w:hAnsiTheme="minorEastAsia" w:eastAsiaTheme="minorEastAsia"/>
          <w:color w:val="auto"/>
          <w:sz w:val="21"/>
          <w:szCs w:val="21"/>
          <w:u w:val="single"/>
        </w:rPr>
        <w:t>（姓名）</w:t>
      </w:r>
      <w:r>
        <w:rPr>
          <w:rFonts w:hint="eastAsia" w:hAnsiTheme="minorEastAsia" w:eastAsiaTheme="minorEastAsia"/>
          <w:color w:val="auto"/>
          <w:sz w:val="21"/>
          <w:szCs w:val="21"/>
          <w:u w:val="single"/>
        </w:rPr>
        <w:t>_______</w:t>
      </w:r>
      <w:r>
        <w:rPr>
          <w:rFonts w:hAnsiTheme="minorEastAsia" w:eastAsiaTheme="minorEastAsia"/>
          <w:color w:val="auto"/>
          <w:sz w:val="21"/>
          <w:szCs w:val="21"/>
        </w:rPr>
        <w:t>系</w:t>
      </w:r>
      <w:r>
        <w:rPr>
          <w:rFonts w:hAnsiTheme="minorEastAsia" w:eastAsiaTheme="minorEastAsia"/>
          <w:color w:val="auto"/>
          <w:sz w:val="21"/>
          <w:szCs w:val="21"/>
          <w:u w:val="single"/>
        </w:rPr>
        <w:t>（</w:t>
      </w:r>
      <w:r>
        <w:rPr>
          <w:rFonts w:hint="eastAsia" w:hAnsiTheme="minorEastAsia" w:eastAsiaTheme="minorEastAsia"/>
          <w:color w:val="auto"/>
          <w:sz w:val="21"/>
          <w:szCs w:val="21"/>
          <w:u w:val="single"/>
        </w:rPr>
        <w:t>谈判响应方</w:t>
      </w:r>
      <w:r>
        <w:rPr>
          <w:rFonts w:hAnsiTheme="minorEastAsia" w:eastAsiaTheme="minorEastAsia"/>
          <w:color w:val="auto"/>
          <w:sz w:val="21"/>
          <w:szCs w:val="21"/>
          <w:u w:val="single"/>
        </w:rPr>
        <w:t>名称）</w:t>
      </w:r>
      <w:r>
        <w:rPr>
          <w:rFonts w:hint="eastAsia" w:hAnsiTheme="minorEastAsia" w:eastAsiaTheme="minorEastAsia"/>
          <w:color w:val="auto"/>
          <w:sz w:val="21"/>
          <w:szCs w:val="21"/>
          <w:u w:val="single"/>
        </w:rPr>
        <w:t>____________________</w:t>
      </w:r>
      <w:r>
        <w:rPr>
          <w:rFonts w:hAnsiTheme="minorEastAsia" w:eastAsiaTheme="minorEastAsia"/>
          <w:color w:val="auto"/>
          <w:sz w:val="21"/>
          <w:szCs w:val="21"/>
        </w:rPr>
        <w:t>的法定代表人，现授权委托</w:t>
      </w:r>
      <w:r>
        <w:rPr>
          <w:rFonts w:hAnsiTheme="minorEastAsia" w:eastAsiaTheme="minorEastAsia"/>
          <w:color w:val="auto"/>
          <w:sz w:val="21"/>
          <w:szCs w:val="21"/>
          <w:u w:val="single"/>
        </w:rPr>
        <w:t>（姓名）</w:t>
      </w:r>
      <w:r>
        <w:rPr>
          <w:rFonts w:hint="eastAsia" w:hAnsiTheme="minorEastAsia" w:eastAsiaTheme="minorEastAsia"/>
          <w:color w:val="auto"/>
          <w:sz w:val="21"/>
          <w:szCs w:val="21"/>
          <w:u w:val="single"/>
        </w:rPr>
        <w:t>________</w:t>
      </w:r>
      <w:r>
        <w:rPr>
          <w:rFonts w:hAnsiTheme="minorEastAsia" w:eastAsiaTheme="minorEastAsia"/>
          <w:color w:val="auto"/>
          <w:sz w:val="21"/>
          <w:szCs w:val="21"/>
        </w:rPr>
        <w:t>为</w:t>
      </w:r>
      <w:r>
        <w:rPr>
          <w:rFonts w:hint="eastAsia" w:hAnsiTheme="minorEastAsia" w:eastAsiaTheme="minorEastAsia"/>
          <w:color w:val="auto"/>
          <w:sz w:val="21"/>
          <w:szCs w:val="21"/>
        </w:rPr>
        <w:t>全权代表，以我方的名义参加项目编号：___________，项目名称：________________________项目的招标活动，并代表我方全权办理针对上述项目的谈判、开标、评标、签约等具体事务和签署相关文件</w:t>
      </w:r>
      <w:r>
        <w:rPr>
          <w:color w:val="auto"/>
          <w:sz w:val="21"/>
          <w:szCs w:val="21"/>
        </w:rPr>
        <w:t xml:space="preserve">。我方对全权代表的签名事项负全部责任。 </w:t>
      </w:r>
    </w:p>
    <w:p>
      <w:pPr>
        <w:pStyle w:val="85"/>
        <w:adjustRightInd/>
        <w:spacing w:before="120" w:beforeLines="50" w:after="120" w:afterLines="50" w:line="400" w:lineRule="exact"/>
        <w:ind w:firstLine="420" w:firstLineChars="200"/>
        <w:rPr>
          <w:color w:val="auto"/>
          <w:sz w:val="21"/>
          <w:szCs w:val="21"/>
        </w:rPr>
      </w:pPr>
      <w:r>
        <w:rPr>
          <w:color w:val="auto"/>
          <w:sz w:val="21"/>
          <w:szCs w:val="21"/>
        </w:rPr>
        <w:t xml:space="preserve">在撤销授权的书面通知以前，本授权书一直有效。全权代表在授权书有效期内签署的所有文件不因授权的撤销而失效。 </w:t>
      </w:r>
    </w:p>
    <w:p>
      <w:pPr>
        <w:pStyle w:val="85"/>
        <w:adjustRightInd/>
        <w:spacing w:before="120" w:beforeLines="50" w:after="120" w:afterLines="50" w:line="400" w:lineRule="exact"/>
        <w:ind w:firstLine="420" w:firstLineChars="200"/>
        <w:rPr>
          <w:color w:val="auto"/>
          <w:sz w:val="21"/>
          <w:szCs w:val="21"/>
        </w:rPr>
      </w:pPr>
      <w:r>
        <w:rPr>
          <w:color w:val="auto"/>
          <w:sz w:val="21"/>
          <w:szCs w:val="21"/>
        </w:rPr>
        <w:t>全权代表无转委托权，特此委托。</w:t>
      </w:r>
    </w:p>
    <w:p>
      <w:pPr>
        <w:spacing w:before="120" w:beforeLines="50" w:after="120" w:afterLines="50"/>
        <w:rPr>
          <w:rFonts w:eastAsiaTheme="minorEastAsia"/>
          <w:szCs w:val="21"/>
        </w:rPr>
      </w:pPr>
    </w:p>
    <w:p>
      <w:pPr>
        <w:spacing w:before="120" w:beforeLines="50" w:after="120" w:afterLines="50"/>
        <w:ind w:right="1050" w:rightChars="500"/>
        <w:jc w:val="right"/>
        <w:rPr>
          <w:rFonts w:hAnsiTheme="minorEastAsia" w:eastAsiaTheme="minorEastAsia"/>
          <w:szCs w:val="21"/>
        </w:rPr>
      </w:pPr>
      <w:r>
        <w:rPr>
          <w:rFonts w:hAnsiTheme="minorEastAsia" w:eastAsiaTheme="minorEastAsia"/>
          <w:szCs w:val="21"/>
        </w:rPr>
        <w:t>法定代表人：（签</w:t>
      </w:r>
      <w:r>
        <w:rPr>
          <w:rFonts w:hint="eastAsia" w:hAnsiTheme="minorEastAsia" w:eastAsiaTheme="minorEastAsia"/>
          <w:szCs w:val="21"/>
        </w:rPr>
        <w:t>字或盖章</w:t>
      </w:r>
      <w:r>
        <w:rPr>
          <w:rFonts w:hAnsiTheme="minorEastAsia" w:eastAsiaTheme="minorEastAsia"/>
          <w:szCs w:val="21"/>
        </w:rPr>
        <w:t>）</w:t>
      </w:r>
    </w:p>
    <w:p>
      <w:pPr>
        <w:tabs>
          <w:tab w:val="center" w:pos="4755"/>
          <w:tab w:val="right" w:pos="9070"/>
        </w:tabs>
        <w:spacing w:before="120" w:beforeLines="50" w:after="120" w:afterLines="50"/>
        <w:ind w:right="1050" w:rightChars="500"/>
        <w:jc w:val="right"/>
        <w:rPr>
          <w:rFonts w:hAnsiTheme="minorEastAsia" w:eastAsiaTheme="minorEastAsia"/>
          <w:szCs w:val="21"/>
          <w:u w:val="single"/>
        </w:rPr>
      </w:pPr>
      <w:r>
        <w:rPr>
          <w:rFonts w:hint="eastAsia" w:hAnsiTheme="minorEastAsia" w:eastAsiaTheme="minorEastAsia"/>
          <w:szCs w:val="21"/>
        </w:rPr>
        <w:t>谈判响应方全称</w:t>
      </w:r>
      <w:r>
        <w:rPr>
          <w:rFonts w:hAnsiTheme="minorEastAsia" w:eastAsiaTheme="minorEastAsia"/>
          <w:szCs w:val="21"/>
        </w:rPr>
        <w:t>：（</w:t>
      </w:r>
      <w:r>
        <w:rPr>
          <w:rFonts w:hint="eastAsia" w:hAnsiTheme="minorEastAsia" w:eastAsiaTheme="minorEastAsia"/>
          <w:szCs w:val="21"/>
        </w:rPr>
        <w:t>公章</w:t>
      </w:r>
      <w:r>
        <w:rPr>
          <w:rFonts w:hAnsiTheme="minorEastAsia" w:eastAsiaTheme="minorEastAsia"/>
          <w:szCs w:val="21"/>
        </w:rPr>
        <w:t>）</w:t>
      </w:r>
    </w:p>
    <w:p>
      <w:pPr>
        <w:tabs>
          <w:tab w:val="center" w:pos="4755"/>
          <w:tab w:val="right" w:pos="9070"/>
        </w:tabs>
        <w:spacing w:before="120" w:beforeLines="50" w:after="120" w:afterLines="50"/>
        <w:ind w:right="1050" w:rightChars="500"/>
        <w:jc w:val="right"/>
        <w:rPr>
          <w:rFonts w:eastAsiaTheme="minorEastAsia"/>
          <w:szCs w:val="21"/>
          <w:u w:val="single"/>
        </w:rPr>
      </w:pPr>
      <w:r>
        <w:rPr>
          <w:rFonts w:hAnsiTheme="minorEastAsia" w:eastAsiaTheme="minorEastAsia"/>
          <w:szCs w:val="21"/>
        </w:rPr>
        <w:t>日期：</w:t>
      </w:r>
      <w:r>
        <w:rPr>
          <w:rFonts w:hint="eastAsia" w:hAnsiTheme="minorEastAsia" w:eastAsiaTheme="minorEastAsia"/>
          <w:szCs w:val="21"/>
        </w:rPr>
        <w:t>___</w:t>
      </w:r>
      <w:r>
        <w:rPr>
          <w:rFonts w:hAnsiTheme="minorEastAsia" w:eastAsiaTheme="minorEastAsia"/>
          <w:szCs w:val="21"/>
        </w:rPr>
        <w:t>年</w:t>
      </w:r>
      <w:r>
        <w:rPr>
          <w:rFonts w:hint="eastAsia" w:hAnsiTheme="minorEastAsia" w:eastAsiaTheme="minorEastAsia"/>
          <w:szCs w:val="21"/>
        </w:rPr>
        <w:t>___</w:t>
      </w:r>
      <w:r>
        <w:rPr>
          <w:rFonts w:hAnsiTheme="minorEastAsia" w:eastAsiaTheme="minorEastAsia"/>
          <w:szCs w:val="21"/>
        </w:rPr>
        <w:t>月</w:t>
      </w:r>
      <w:r>
        <w:rPr>
          <w:rFonts w:hint="eastAsia" w:hAnsiTheme="minorEastAsia" w:eastAsiaTheme="minorEastAsia"/>
          <w:szCs w:val="21"/>
        </w:rPr>
        <w:t>___</w:t>
      </w:r>
      <w:r>
        <w:rPr>
          <w:rFonts w:hAnsiTheme="minorEastAsia" w:eastAsiaTheme="minorEastAsia"/>
          <w:szCs w:val="21"/>
        </w:rPr>
        <w:t>日</w:t>
      </w:r>
    </w:p>
    <w:p>
      <w:pPr>
        <w:spacing w:before="120" w:beforeLines="50" w:after="120" w:afterLines="50"/>
        <w:jc w:val="right"/>
        <w:rPr>
          <w:rFonts w:eastAsiaTheme="minorEastAsia"/>
          <w:sz w:val="24"/>
          <w:u w:val="single"/>
        </w:rPr>
      </w:pPr>
    </w:p>
    <w:p>
      <w:pPr>
        <w:spacing w:before="120" w:beforeLines="50" w:after="120" w:afterLines="50"/>
        <w:rPr>
          <w:rFonts w:eastAsiaTheme="minorEastAsia"/>
          <w:szCs w:val="21"/>
        </w:rPr>
      </w:pPr>
      <w:r>
        <w:rPr>
          <w:rFonts w:eastAsiaTheme="minorEastAsia"/>
          <w:szCs w:val="21"/>
        </w:rPr>
        <mc:AlternateContent>
          <mc:Choice Requires="wps">
            <w:drawing>
              <wp:anchor distT="0" distB="0" distL="114300" distR="114300" simplePos="0" relativeHeight="251658240" behindDoc="0" locked="0" layoutInCell="1" allowOverlap="1">
                <wp:simplePos x="0" y="0"/>
                <wp:positionH relativeFrom="column">
                  <wp:posOffset>2678430</wp:posOffset>
                </wp:positionH>
                <wp:positionV relativeFrom="paragraph">
                  <wp:posOffset>132715</wp:posOffset>
                </wp:positionV>
                <wp:extent cx="3165475" cy="2425700"/>
                <wp:effectExtent l="0" t="0" r="15875" b="12700"/>
                <wp:wrapNone/>
                <wp:docPr id="2" name="Text Box 1071"/>
                <wp:cNvGraphicFramePr/>
                <a:graphic xmlns:a="http://schemas.openxmlformats.org/drawingml/2006/main">
                  <a:graphicData uri="http://schemas.microsoft.com/office/word/2010/wordprocessingShape">
                    <wps:wsp>
                      <wps:cNvSpPr txBox="1">
                        <a:spLocks noChangeArrowheads="1"/>
                      </wps:cNvSpPr>
                      <wps:spPr bwMode="auto">
                        <a:xfrm>
                          <a:off x="0" y="0"/>
                          <a:ext cx="3165475" cy="2425700"/>
                        </a:xfrm>
                        <a:prstGeom prst="rect">
                          <a:avLst/>
                        </a:prstGeom>
                        <a:solidFill>
                          <a:srgbClr val="FFFFFF"/>
                        </a:solidFill>
                        <a:ln w="9525">
                          <a:solidFill>
                            <a:srgbClr val="000000"/>
                          </a:solidFill>
                          <a:miter lim="800000"/>
                        </a:ln>
                        <a:effectLst/>
                      </wps:spPr>
                      <wps:txbx>
                        <w:txbxContent>
                          <w:p>
                            <w:pPr>
                              <w:rPr>
                                <w:rFonts w:ascii="新宋体" w:hAnsi="新宋体" w:eastAsia="新宋体"/>
                                <w:sz w:val="22"/>
                              </w:rPr>
                            </w:pPr>
                            <w:r>
                              <w:rPr>
                                <w:rFonts w:hint="eastAsia" w:ascii="新宋体" w:hAnsi="新宋体" w:eastAsia="新宋体"/>
                                <w:sz w:val="22"/>
                              </w:rPr>
                              <w:t xml:space="preserve">  身份证：</w:t>
                            </w:r>
                          </w:p>
                          <w:p>
                            <w:pPr>
                              <w:rPr>
                                <w:rFonts w:ascii="新宋体" w:hAnsi="新宋体" w:eastAsia="新宋体"/>
                                <w:sz w:val="22"/>
                              </w:rPr>
                            </w:pPr>
                          </w:p>
                          <w:p>
                            <w:pPr>
                              <w:rPr>
                                <w:rFonts w:ascii="新宋体" w:hAnsi="新宋体" w:eastAsia="新宋体"/>
                                <w:sz w:val="22"/>
                              </w:rPr>
                            </w:pPr>
                          </w:p>
                          <w:p>
                            <w:pPr>
                              <w:rPr>
                                <w:rFonts w:ascii="新宋体" w:hAnsi="新宋体" w:eastAsia="新宋体"/>
                                <w:sz w:val="22"/>
                              </w:rPr>
                            </w:pPr>
                          </w:p>
                          <w:p>
                            <w:pPr>
                              <w:rPr>
                                <w:rFonts w:ascii="新宋体" w:hAnsi="新宋体" w:eastAsia="新宋体"/>
                                <w:sz w:val="22"/>
                              </w:rPr>
                            </w:pPr>
                          </w:p>
                          <w:p>
                            <w:pPr>
                              <w:rPr>
                                <w:sz w:val="28"/>
                                <w:szCs w:val="28"/>
                              </w:rPr>
                            </w:pPr>
                            <w:r>
                              <w:rPr>
                                <w:rFonts w:hint="eastAsia" w:ascii="新宋体" w:hAnsi="新宋体" w:eastAsia="新宋体"/>
                                <w:sz w:val="28"/>
                                <w:szCs w:val="28"/>
                              </w:rPr>
                              <w:t xml:space="preserve"> 复印件粘贴处</w:t>
                            </w:r>
                          </w:p>
                        </w:txbxContent>
                      </wps:txbx>
                      <wps:bodyPr rot="0" vert="horz" wrap="square" lIns="91440" tIns="45720" rIns="91440" bIns="45720" anchor="t" anchorCtr="0" upright="1">
                        <a:noAutofit/>
                      </wps:bodyPr>
                    </wps:wsp>
                  </a:graphicData>
                </a:graphic>
              </wp:anchor>
            </w:drawing>
          </mc:Choice>
          <mc:Fallback>
            <w:pict>
              <v:shape id="Text Box 1071" o:spid="_x0000_s1026" o:spt="202" type="#_x0000_t202" style="position:absolute;left:0pt;margin-left:210.9pt;margin-top:10.45pt;height:191pt;width:249.25pt;z-index:251658240;mso-width-relative:page;mso-height-relative:page;" fillcolor="#FFFFFF" filled="t" stroked="t" coordsize="21600,21600" o:gfxdata="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546AK&#10;2AAAAAoBAAAPAAAAAAAAAAEAIAAAACIAAABkcnMvZG93bnJldi54bWxQSwECFAAUAAAACACHTuJA&#10;BS3ASSECAABKBAAADgAAAAAAAAABACAAAAAnAQAAZHJzL2Uyb0RvYy54bWxQSwUGAAAAAAYABgBZ&#10;AQAAugUAAAAA&#10;">
                <v:fill on="t" focussize="0,0"/>
                <v:stroke color="#000000" miterlimit="8" joinstyle="miter"/>
                <v:imagedata o:title=""/>
                <o:lock v:ext="edit" aspectratio="f"/>
                <v:textbox>
                  <w:txbxContent>
                    <w:p>
                      <w:pPr>
                        <w:rPr>
                          <w:rFonts w:ascii="新宋体" w:hAnsi="新宋体" w:eastAsia="新宋体"/>
                          <w:sz w:val="22"/>
                        </w:rPr>
                      </w:pPr>
                      <w:r>
                        <w:rPr>
                          <w:rFonts w:hint="eastAsia" w:ascii="新宋体" w:hAnsi="新宋体" w:eastAsia="新宋体"/>
                          <w:sz w:val="22"/>
                        </w:rPr>
                        <w:t xml:space="preserve">  身份证：</w:t>
                      </w:r>
                    </w:p>
                    <w:p>
                      <w:pPr>
                        <w:rPr>
                          <w:rFonts w:ascii="新宋体" w:hAnsi="新宋体" w:eastAsia="新宋体"/>
                          <w:sz w:val="22"/>
                        </w:rPr>
                      </w:pPr>
                    </w:p>
                    <w:p>
                      <w:pPr>
                        <w:rPr>
                          <w:rFonts w:ascii="新宋体" w:hAnsi="新宋体" w:eastAsia="新宋体"/>
                          <w:sz w:val="22"/>
                        </w:rPr>
                      </w:pPr>
                    </w:p>
                    <w:p>
                      <w:pPr>
                        <w:rPr>
                          <w:rFonts w:ascii="新宋体" w:hAnsi="新宋体" w:eastAsia="新宋体"/>
                          <w:sz w:val="22"/>
                        </w:rPr>
                      </w:pPr>
                    </w:p>
                    <w:p>
                      <w:pPr>
                        <w:rPr>
                          <w:rFonts w:ascii="新宋体" w:hAnsi="新宋体" w:eastAsia="新宋体"/>
                          <w:sz w:val="22"/>
                        </w:rPr>
                      </w:pPr>
                    </w:p>
                    <w:p>
                      <w:pPr>
                        <w:rPr>
                          <w:sz w:val="28"/>
                          <w:szCs w:val="28"/>
                        </w:rPr>
                      </w:pPr>
                      <w:r>
                        <w:rPr>
                          <w:rFonts w:hint="eastAsia" w:ascii="新宋体" w:hAnsi="新宋体" w:eastAsia="新宋体"/>
                          <w:sz w:val="28"/>
                          <w:szCs w:val="28"/>
                        </w:rPr>
                        <w:t xml:space="preserve"> 复印件粘贴处</w:t>
                      </w:r>
                    </w:p>
                  </w:txbxContent>
                </v:textbox>
              </v:shape>
            </w:pict>
          </mc:Fallback>
        </mc:AlternateContent>
      </w:r>
      <w:r>
        <w:rPr>
          <w:rFonts w:hAnsiTheme="minorEastAsia" w:eastAsiaTheme="minorEastAsia"/>
          <w:szCs w:val="21"/>
        </w:rPr>
        <w:t>附：</w:t>
      </w:r>
    </w:p>
    <w:p>
      <w:pPr>
        <w:spacing w:before="120" w:beforeLines="50" w:after="120" w:afterLines="50"/>
        <w:ind w:firstLine="211" w:firstLineChars="100"/>
        <w:rPr>
          <w:rFonts w:eastAsiaTheme="minorEastAsia"/>
          <w:b/>
          <w:szCs w:val="21"/>
        </w:rPr>
      </w:pPr>
      <w:r>
        <w:rPr>
          <w:rFonts w:hAnsiTheme="minorEastAsia" w:eastAsiaTheme="minorEastAsia"/>
          <w:b/>
          <w:szCs w:val="21"/>
        </w:rPr>
        <w:t>授权代表姓名（签字）：</w:t>
      </w:r>
    </w:p>
    <w:p>
      <w:pPr>
        <w:spacing w:before="120" w:beforeLines="50" w:after="120" w:afterLines="50"/>
        <w:ind w:firstLine="210" w:firstLineChars="100"/>
        <w:rPr>
          <w:rFonts w:eastAsiaTheme="minorEastAsia"/>
          <w:szCs w:val="21"/>
        </w:rPr>
      </w:pPr>
      <w:r>
        <w:rPr>
          <w:rFonts w:hAnsiTheme="minorEastAsia" w:eastAsiaTheme="minorEastAsia"/>
          <w:szCs w:val="21"/>
        </w:rPr>
        <w:t>职</w:t>
      </w:r>
      <w:r>
        <w:rPr>
          <w:rFonts w:hint="eastAsia" w:hAnsiTheme="minorEastAsia" w:eastAsiaTheme="minorEastAsia"/>
          <w:szCs w:val="21"/>
        </w:rPr>
        <w:t xml:space="preserve">    </w:t>
      </w:r>
      <w:r>
        <w:rPr>
          <w:rFonts w:hAnsiTheme="minorEastAsia" w:eastAsiaTheme="minorEastAsia"/>
          <w:szCs w:val="21"/>
        </w:rPr>
        <w:t>务：</w:t>
      </w:r>
    </w:p>
    <w:p>
      <w:pPr>
        <w:spacing w:before="120" w:beforeLines="50" w:after="120" w:afterLines="50"/>
        <w:ind w:firstLine="210" w:firstLineChars="100"/>
        <w:rPr>
          <w:rFonts w:eastAsiaTheme="minorEastAsia"/>
          <w:szCs w:val="21"/>
        </w:rPr>
      </w:pPr>
      <w:r>
        <w:rPr>
          <w:rFonts w:hAnsiTheme="minorEastAsia" w:eastAsiaTheme="minorEastAsia"/>
          <w:szCs w:val="21"/>
        </w:rPr>
        <w:t>手</w:t>
      </w:r>
      <w:r>
        <w:rPr>
          <w:rFonts w:hint="eastAsia" w:hAnsiTheme="minorEastAsia" w:eastAsiaTheme="minorEastAsia"/>
          <w:szCs w:val="21"/>
        </w:rPr>
        <w:t xml:space="preserve">    </w:t>
      </w:r>
      <w:r>
        <w:rPr>
          <w:rFonts w:hAnsiTheme="minorEastAsia" w:eastAsiaTheme="minorEastAsia"/>
          <w:szCs w:val="21"/>
        </w:rPr>
        <w:t>机：</w:t>
      </w:r>
    </w:p>
    <w:p>
      <w:pPr>
        <w:spacing w:before="120" w:beforeLines="50" w:after="120" w:afterLines="50"/>
        <w:rPr>
          <w:rFonts w:eastAsiaTheme="minorEastAsia"/>
          <w:szCs w:val="21"/>
        </w:rPr>
      </w:pPr>
    </w:p>
    <w:p>
      <w:pPr>
        <w:spacing w:before="120" w:beforeLines="50" w:after="120" w:afterLines="50"/>
        <w:rPr>
          <w:rFonts w:eastAsiaTheme="minorEastAsia"/>
          <w:sz w:val="24"/>
        </w:rPr>
      </w:pPr>
    </w:p>
    <w:p>
      <w:pPr>
        <w:spacing w:line="560" w:lineRule="auto"/>
        <w:rPr>
          <w:rFonts w:eastAsiaTheme="minorEastAsia"/>
          <w:sz w:val="24"/>
        </w:rPr>
        <w:sectPr>
          <w:type w:val="nextColumn"/>
          <w:pgSz w:w="11906" w:h="16838"/>
          <w:pgMar w:top="1440" w:right="1080" w:bottom="1440" w:left="1080" w:header="624" w:footer="624" w:gutter="0"/>
          <w:cols w:space="425" w:num="1"/>
          <w:docGrid w:linePitch="312" w:charSpace="0"/>
        </w:sectPr>
      </w:pPr>
    </w:p>
    <w:p>
      <w:pPr>
        <w:pStyle w:val="42"/>
        <w:spacing w:before="120" w:after="120"/>
        <w:outlineLvl w:val="9"/>
      </w:pPr>
      <w:bookmarkStart w:id="96" w:name="_Toc6301900"/>
      <w:r>
        <w:t>报价</w:t>
      </w:r>
      <w:r>
        <w:rPr>
          <w:rFonts w:hint="eastAsia"/>
        </w:rPr>
        <w:t>一览</w:t>
      </w:r>
      <w:r>
        <w:t>表</w:t>
      </w:r>
      <w:bookmarkEnd w:id="96"/>
    </w:p>
    <w:p>
      <w:pPr>
        <w:tabs>
          <w:tab w:val="left" w:pos="2640"/>
        </w:tabs>
        <w:autoSpaceDE w:val="0"/>
        <w:autoSpaceDN w:val="0"/>
        <w:adjustRightInd w:val="0"/>
        <w:spacing w:line="220" w:lineRule="exact"/>
        <w:ind w:left="120" w:right="-20"/>
        <w:jc w:val="left"/>
        <w:rPr>
          <w:rFonts w:ascii="宋体" w:cs="MingLiU"/>
          <w:snapToGrid w:val="0"/>
          <w:kern w:val="0"/>
          <w:szCs w:val="21"/>
        </w:rPr>
      </w:pPr>
      <w:r>
        <w:rPr>
          <w:rFonts w:hint="eastAsia" w:ascii="宋体"/>
          <w:snapToGrid w:val="0"/>
          <w:w w:val="200"/>
          <w:kern w:val="0"/>
          <w:szCs w:val="21"/>
          <w:u w:val="single"/>
        </w:rPr>
        <w:t xml:space="preserve">                   </w:t>
      </w:r>
      <w:r>
        <w:rPr>
          <w:rFonts w:hint="eastAsia" w:ascii="宋体"/>
          <w:snapToGrid w:val="0"/>
          <w:kern w:val="0"/>
          <w:szCs w:val="21"/>
        </w:rPr>
        <w:t>（招标人名称）</w:t>
      </w:r>
      <w:r>
        <w:rPr>
          <w:rFonts w:hint="eastAsia" w:ascii="宋体" w:cs="MingLiU"/>
          <w:snapToGrid w:val="0"/>
          <w:kern w:val="0"/>
          <w:szCs w:val="21"/>
        </w:rPr>
        <w:t>：</w:t>
      </w:r>
    </w:p>
    <w:p>
      <w:pPr>
        <w:autoSpaceDE w:val="0"/>
        <w:autoSpaceDN w:val="0"/>
        <w:adjustRightInd w:val="0"/>
        <w:spacing w:before="15" w:line="140" w:lineRule="exact"/>
        <w:jc w:val="left"/>
        <w:rPr>
          <w:rFonts w:ascii="宋体" w:cs="MingLiU"/>
          <w:snapToGrid w:val="0"/>
          <w:kern w:val="0"/>
          <w:sz w:val="14"/>
          <w:szCs w:val="14"/>
        </w:rPr>
      </w:pPr>
    </w:p>
    <w:p>
      <w:pPr>
        <w:autoSpaceDE w:val="0"/>
        <w:autoSpaceDN w:val="0"/>
        <w:adjustRightInd w:val="0"/>
        <w:spacing w:line="200" w:lineRule="exact"/>
        <w:jc w:val="left"/>
        <w:rPr>
          <w:rFonts w:ascii="宋体" w:cs="MingLiU"/>
          <w:snapToGrid w:val="0"/>
          <w:kern w:val="0"/>
          <w:sz w:val="20"/>
        </w:rPr>
      </w:pPr>
    </w:p>
    <w:p>
      <w:pPr>
        <w:tabs>
          <w:tab w:val="left" w:pos="2655"/>
          <w:tab w:val="left" w:pos="4260"/>
          <w:tab w:val="left" w:pos="4920"/>
          <w:tab w:val="left" w:pos="5715"/>
          <w:tab w:val="left" w:pos="6945"/>
          <w:tab w:val="left" w:pos="7980"/>
        </w:tabs>
        <w:autoSpaceDE w:val="0"/>
        <w:autoSpaceDN w:val="0"/>
        <w:adjustRightInd w:val="0"/>
        <w:spacing w:line="355" w:lineRule="auto"/>
        <w:ind w:left="120" w:leftChars="57" w:right="94" w:firstLine="420" w:firstLineChars="200"/>
        <w:jc w:val="left"/>
        <w:rPr>
          <w:rFonts w:hAnsi="宋体" w:cs="宋体"/>
          <w:bCs/>
          <w:szCs w:val="21"/>
        </w:rPr>
      </w:pPr>
      <w:r>
        <w:rPr>
          <w:rFonts w:hint="eastAsia" w:ascii="宋体"/>
          <w:snapToGrid w:val="0"/>
          <w:kern w:val="0"/>
          <w:szCs w:val="21"/>
        </w:rPr>
        <w:t>1</w:t>
      </w:r>
      <w:r>
        <w:rPr>
          <w:rFonts w:hint="eastAsia" w:ascii="宋体" w:cs="MingLiU"/>
          <w:snapToGrid w:val="0"/>
          <w:kern w:val="0"/>
          <w:szCs w:val="21"/>
        </w:rPr>
        <w:t>．我方已仔细研究了</w:t>
      </w:r>
      <w:r>
        <w:rPr>
          <w:rFonts w:hint="eastAsia" w:ascii="宋体" w:cs="MingLiU"/>
          <w:snapToGrid w:val="0"/>
          <w:w w:val="200"/>
          <w:kern w:val="0"/>
          <w:szCs w:val="21"/>
          <w:u w:val="single"/>
        </w:rPr>
        <w:t xml:space="preserve"> </w:t>
      </w:r>
      <w:r>
        <w:rPr>
          <w:rFonts w:hint="eastAsia" w:ascii="宋体"/>
          <w:snapToGrid w:val="0"/>
          <w:kern w:val="0"/>
          <w:szCs w:val="21"/>
          <w:u w:val="single"/>
        </w:rPr>
        <w:tab/>
      </w:r>
      <w:r>
        <w:rPr>
          <w:rFonts w:hint="eastAsia" w:ascii="宋体" w:cs="MingLiU"/>
          <w:snapToGrid w:val="0"/>
          <w:kern w:val="0"/>
          <w:szCs w:val="21"/>
        </w:rPr>
        <w:t>（项目名称）招标文件的全部内容，愿意以人民币（大写）</w:t>
      </w:r>
      <w:r>
        <w:rPr>
          <w:rFonts w:hint="eastAsia" w:ascii="宋体" w:cs="MingLiU"/>
          <w:snapToGrid w:val="0"/>
          <w:w w:val="200"/>
          <w:kern w:val="0"/>
          <w:szCs w:val="21"/>
          <w:u w:val="single"/>
        </w:rPr>
        <w:t xml:space="preserve">        </w:t>
      </w:r>
      <w:r>
        <w:rPr>
          <w:rFonts w:hint="eastAsia" w:ascii="宋体" w:cs="MingLiU"/>
          <w:snapToGrid w:val="0"/>
          <w:kern w:val="0"/>
          <w:szCs w:val="21"/>
        </w:rPr>
        <w:t>（</w:t>
      </w:r>
      <w:r>
        <w:rPr>
          <w:rFonts w:hint="eastAsia" w:ascii="宋体"/>
          <w:snapToGrid w:val="0"/>
          <w:kern w:val="0"/>
          <w:szCs w:val="21"/>
        </w:rPr>
        <w:t>¥</w:t>
      </w:r>
      <w:r>
        <w:rPr>
          <w:rFonts w:hint="eastAsia" w:ascii="宋体" w:cs="MingLiU"/>
          <w:snapToGrid w:val="0"/>
          <w:w w:val="200"/>
          <w:kern w:val="0"/>
          <w:szCs w:val="21"/>
          <w:u w:val="single"/>
        </w:rPr>
        <w:t xml:space="preserve">       </w:t>
      </w:r>
      <w:r>
        <w:rPr>
          <w:rFonts w:hint="eastAsia" w:ascii="宋体" w:cs="MingLiU"/>
          <w:snapToGrid w:val="0"/>
          <w:kern w:val="0"/>
          <w:szCs w:val="21"/>
        </w:rPr>
        <w:t>）的投标总报价，服务期</w:t>
      </w:r>
      <w:r>
        <w:rPr>
          <w:rFonts w:hint="eastAsia" w:ascii="宋体" w:cs="MingLiU"/>
          <w:snapToGrid w:val="0"/>
          <w:w w:val="200"/>
          <w:kern w:val="0"/>
          <w:szCs w:val="21"/>
          <w:u w:val="single"/>
        </w:rPr>
        <w:t xml:space="preserve">  </w:t>
      </w:r>
      <w:r>
        <w:rPr>
          <w:rFonts w:hint="eastAsia" w:ascii="宋体" w:cs="MingLiU"/>
          <w:snapToGrid w:val="0"/>
          <w:kern w:val="0"/>
          <w:szCs w:val="21"/>
        </w:rPr>
        <w:t>年，</w:t>
      </w:r>
      <w:r>
        <w:rPr>
          <w:rFonts w:hint="eastAsia" w:hAnsi="宋体" w:cs="宋体"/>
          <w:bCs/>
          <w:szCs w:val="21"/>
        </w:rPr>
        <w:t>我方自愿按照招标文件规定的各项要求向你方提供所需服务。</w:t>
      </w:r>
    </w:p>
    <w:tbl>
      <w:tblPr>
        <w:tblStyle w:val="5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826"/>
        <w:gridCol w:w="5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trPr>
        <w:tc>
          <w:tcPr>
            <w:tcW w:w="3652" w:type="dxa"/>
            <w:gridSpan w:val="2"/>
            <w:vAlign w:val="center"/>
          </w:tcPr>
          <w:p>
            <w:pPr>
              <w:spacing w:line="360" w:lineRule="auto"/>
              <w:jc w:val="center"/>
              <w:rPr>
                <w:rFonts w:ascii="宋体" w:hAnsi="宋体"/>
                <w:szCs w:val="28"/>
              </w:rPr>
            </w:pPr>
            <w:r>
              <w:rPr>
                <w:rFonts w:hint="eastAsia" w:ascii="宋体" w:hAnsi="宋体"/>
                <w:szCs w:val="28"/>
              </w:rPr>
              <w:t>取费项目</w:t>
            </w:r>
          </w:p>
        </w:tc>
        <w:tc>
          <w:tcPr>
            <w:tcW w:w="5976" w:type="dxa"/>
            <w:vAlign w:val="center"/>
          </w:tcPr>
          <w:p>
            <w:pPr>
              <w:spacing w:line="360" w:lineRule="auto"/>
              <w:jc w:val="center"/>
              <w:rPr>
                <w:rFonts w:ascii="宋体" w:hAnsi="宋体"/>
                <w:szCs w:val="28"/>
              </w:rPr>
            </w:pPr>
            <w:r>
              <w:rPr>
                <w:rFonts w:hint="eastAsia" w:ascii="宋体" w:hAnsi="宋体"/>
                <w:szCs w:val="28"/>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5" w:hRule="atLeast"/>
        </w:trPr>
        <w:tc>
          <w:tcPr>
            <w:tcW w:w="3652" w:type="dxa"/>
            <w:gridSpan w:val="2"/>
            <w:vAlign w:val="center"/>
          </w:tcPr>
          <w:p>
            <w:pPr>
              <w:spacing w:line="360" w:lineRule="auto"/>
              <w:jc w:val="center"/>
              <w:rPr>
                <w:rFonts w:ascii="宋体" w:hAnsi="宋体"/>
                <w:szCs w:val="28"/>
              </w:rPr>
            </w:pPr>
            <w:r>
              <w:rPr>
                <w:rFonts w:hint="eastAsia" w:ascii="宋体"/>
                <w:szCs w:val="21"/>
              </w:rPr>
              <w:t>前期开业筹备服务费</w:t>
            </w:r>
          </w:p>
        </w:tc>
        <w:tc>
          <w:tcPr>
            <w:tcW w:w="5976" w:type="dxa"/>
            <w:vAlign w:val="center"/>
          </w:tcPr>
          <w:p>
            <w:pPr>
              <w:spacing w:line="360" w:lineRule="auto"/>
              <w:jc w:val="center"/>
              <w:rPr>
                <w:rFonts w:ascii="宋体" w:hAnsi="宋体"/>
                <w:szCs w:val="28"/>
              </w:rPr>
            </w:pPr>
          </w:p>
          <w:p>
            <w:pPr>
              <w:spacing w:line="360" w:lineRule="auto"/>
              <w:jc w:val="center"/>
              <w:rPr>
                <w:rFonts w:ascii="宋体" w:hAnsi="宋体"/>
                <w:szCs w:val="28"/>
              </w:rPr>
            </w:pPr>
            <w:r>
              <w:rPr>
                <w:rFonts w:hint="eastAsia" w:ascii="宋体"/>
                <w:szCs w:val="21"/>
                <w:u w:val="single"/>
              </w:rPr>
              <w:t xml:space="preserve">       </w:t>
            </w:r>
            <w:r>
              <w:rPr>
                <w:rFonts w:hint="eastAsia" w:ascii="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3" w:hRule="atLeast"/>
        </w:trPr>
        <w:tc>
          <w:tcPr>
            <w:tcW w:w="1826" w:type="dxa"/>
            <w:vMerge w:val="restart"/>
            <w:vAlign w:val="center"/>
          </w:tcPr>
          <w:p>
            <w:pPr>
              <w:jc w:val="center"/>
              <w:rPr>
                <w:rFonts w:ascii="宋体" w:hAnsi="宋体"/>
                <w:szCs w:val="28"/>
              </w:rPr>
            </w:pPr>
            <w:r>
              <w:rPr>
                <w:rFonts w:hint="eastAsia" w:ascii="宋体"/>
                <w:szCs w:val="21"/>
              </w:rPr>
              <w:t>运营管理服务费（其中投标时营业额按照1100万元/年计算，营业性毛利润投标时按照营业额的40%计算，服务期10年）</w:t>
            </w:r>
          </w:p>
        </w:tc>
        <w:tc>
          <w:tcPr>
            <w:tcW w:w="1826" w:type="dxa"/>
            <w:vAlign w:val="center"/>
          </w:tcPr>
          <w:p>
            <w:pPr>
              <w:spacing w:line="360" w:lineRule="auto"/>
              <w:jc w:val="center"/>
              <w:rPr>
                <w:rFonts w:ascii="宋体" w:hAnsi="宋体"/>
                <w:szCs w:val="28"/>
              </w:rPr>
            </w:pPr>
            <w:r>
              <w:rPr>
                <w:rFonts w:hint="eastAsia" w:ascii="宋体"/>
                <w:szCs w:val="21"/>
              </w:rPr>
              <w:t>（1）基本管理费</w:t>
            </w:r>
          </w:p>
        </w:tc>
        <w:tc>
          <w:tcPr>
            <w:tcW w:w="5976" w:type="dxa"/>
            <w:vAlign w:val="center"/>
          </w:tcPr>
          <w:p>
            <w:pPr>
              <w:spacing w:line="360" w:lineRule="auto"/>
              <w:jc w:val="center"/>
              <w:rPr>
                <w:rFonts w:ascii="宋体" w:hAnsi="宋体"/>
                <w:szCs w:val="28"/>
              </w:rPr>
            </w:pPr>
            <w:r>
              <w:rPr>
                <w:rFonts w:hint="eastAsia" w:ascii="宋体"/>
                <w:szCs w:val="21"/>
              </w:rPr>
              <w:t>当年营业额的</w:t>
            </w:r>
            <w:r>
              <w:rPr>
                <w:rFonts w:hint="eastAsia" w:ascii="宋体"/>
                <w:szCs w:val="21"/>
                <w:u w:val="single"/>
              </w:rPr>
              <w:t xml:space="preserve">      </w:t>
            </w:r>
            <w:r>
              <w:rPr>
                <w:rFonts w:hint="eastAsia" w:ascii="宋体"/>
                <w:szCs w:val="21"/>
              </w:rPr>
              <w:t>%，即</w:t>
            </w:r>
            <w:r>
              <w:rPr>
                <w:rFonts w:hint="eastAsia" w:ascii="宋体"/>
                <w:szCs w:val="21"/>
                <w:u w:val="single"/>
              </w:rPr>
              <w:t xml:space="preserve">       </w:t>
            </w:r>
            <w:r>
              <w:rPr>
                <w:rFonts w:hint="eastAsia" w:ascii="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trPr>
        <w:tc>
          <w:tcPr>
            <w:tcW w:w="1826" w:type="dxa"/>
            <w:vMerge w:val="continue"/>
            <w:vAlign w:val="center"/>
          </w:tcPr>
          <w:p>
            <w:pPr>
              <w:spacing w:line="360" w:lineRule="auto"/>
              <w:jc w:val="center"/>
              <w:rPr>
                <w:rFonts w:ascii="宋体" w:hAnsi="宋体"/>
                <w:szCs w:val="28"/>
              </w:rPr>
            </w:pPr>
          </w:p>
        </w:tc>
        <w:tc>
          <w:tcPr>
            <w:tcW w:w="1826" w:type="dxa"/>
            <w:vAlign w:val="center"/>
          </w:tcPr>
          <w:p>
            <w:pPr>
              <w:spacing w:line="360" w:lineRule="auto"/>
              <w:jc w:val="center"/>
              <w:rPr>
                <w:rFonts w:ascii="宋体" w:hAnsi="宋体"/>
                <w:szCs w:val="28"/>
              </w:rPr>
            </w:pPr>
            <w:r>
              <w:rPr>
                <w:rFonts w:hint="eastAsia" w:ascii="宋体" w:hAnsi="宋体"/>
                <w:szCs w:val="28"/>
              </w:rPr>
              <w:t>（2）奖励管理费</w:t>
            </w:r>
          </w:p>
        </w:tc>
        <w:tc>
          <w:tcPr>
            <w:tcW w:w="5976" w:type="dxa"/>
            <w:vAlign w:val="center"/>
          </w:tcPr>
          <w:p>
            <w:pPr>
              <w:spacing w:line="360" w:lineRule="auto"/>
              <w:jc w:val="center"/>
              <w:rPr>
                <w:rFonts w:ascii="宋体" w:hAnsi="宋体"/>
                <w:szCs w:val="28"/>
              </w:rPr>
            </w:pPr>
            <w:r>
              <w:rPr>
                <w:rFonts w:hint="eastAsia" w:ascii="宋体"/>
                <w:szCs w:val="21"/>
              </w:rPr>
              <w:t>营业性毛利润的 %（按</w:t>
            </w:r>
            <w:r>
              <w:rPr>
                <w:rFonts w:ascii="宋体"/>
                <w:szCs w:val="21"/>
              </w:rPr>
              <w:t>10</w:t>
            </w:r>
            <w:r>
              <w:rPr>
                <w:rFonts w:hint="eastAsia" w:ascii="宋体"/>
                <w:szCs w:val="21"/>
              </w:rPr>
              <w:t>年），</w:t>
            </w:r>
            <w:r>
              <w:rPr>
                <w:rFonts w:hint="eastAsia" w:ascii="宋体"/>
                <w:szCs w:val="21"/>
                <w:u w:val="single"/>
              </w:rPr>
              <w:t xml:space="preserve">       </w:t>
            </w:r>
            <w:r>
              <w:rPr>
                <w:rFonts w:hint="eastAsia" w:ascii="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3" w:hRule="atLeast"/>
        </w:trPr>
        <w:tc>
          <w:tcPr>
            <w:tcW w:w="9628" w:type="dxa"/>
            <w:gridSpan w:val="3"/>
            <w:tcBorders>
              <w:bottom w:val="single" w:color="auto" w:sz="4" w:space="0"/>
            </w:tcBorders>
            <w:vAlign w:val="center"/>
          </w:tcPr>
          <w:p>
            <w:pPr>
              <w:spacing w:line="360" w:lineRule="auto"/>
              <w:rPr>
                <w:rFonts w:ascii="宋体" w:hAnsi="宋体"/>
                <w:szCs w:val="28"/>
              </w:rPr>
            </w:pPr>
            <w:r>
              <w:rPr>
                <w:rFonts w:hint="eastAsia" w:ascii="宋体"/>
                <w:szCs w:val="21"/>
              </w:rPr>
              <w:t>投标总限价：        元（大写：       万元整）</w:t>
            </w:r>
            <w:r>
              <w:rPr>
                <w:rFonts w:hint="eastAsia" w:ascii="宋体" w:hAnsi="宋体"/>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trPr>
        <w:tc>
          <w:tcPr>
            <w:tcW w:w="9628" w:type="dxa"/>
            <w:gridSpan w:val="3"/>
            <w:tcBorders>
              <w:bottom w:val="single" w:color="auto" w:sz="4" w:space="0"/>
            </w:tcBorders>
            <w:vAlign w:val="center"/>
          </w:tcPr>
          <w:p>
            <w:pPr>
              <w:spacing w:line="360" w:lineRule="auto"/>
              <w:rPr>
                <w:rFonts w:ascii="宋体" w:hAnsi="宋体"/>
                <w:szCs w:val="28"/>
              </w:rPr>
            </w:pPr>
            <w:r>
              <w:rPr>
                <w:rFonts w:hint="eastAsia" w:ascii="宋体" w:hAnsi="宋体"/>
                <w:szCs w:val="28"/>
              </w:rPr>
              <w:t xml:space="preserve">投标总报价：      </w:t>
            </w:r>
          </w:p>
        </w:tc>
      </w:tr>
    </w:tbl>
    <w:p>
      <w:pPr>
        <w:autoSpaceDE w:val="0"/>
        <w:autoSpaceDN w:val="0"/>
        <w:adjustRightInd w:val="0"/>
        <w:spacing w:line="355" w:lineRule="auto"/>
        <w:ind w:left="540" w:right="-9"/>
        <w:jc w:val="left"/>
        <w:rPr>
          <w:rFonts w:ascii="宋体" w:cs="MingLiU"/>
          <w:snapToGrid w:val="0"/>
          <w:kern w:val="0"/>
          <w:szCs w:val="21"/>
        </w:rPr>
      </w:pPr>
    </w:p>
    <w:p>
      <w:pPr>
        <w:numPr>
          <w:ilvl w:val="0"/>
          <w:numId w:val="8"/>
        </w:numPr>
        <w:autoSpaceDE w:val="0"/>
        <w:autoSpaceDN w:val="0"/>
        <w:adjustRightInd w:val="0"/>
        <w:spacing w:line="355" w:lineRule="auto"/>
        <w:ind w:left="120" w:right="-9" w:firstLine="420"/>
        <w:jc w:val="left"/>
        <w:rPr>
          <w:rFonts w:ascii="宋体" w:cs="MingLiU"/>
          <w:snapToGrid w:val="0"/>
          <w:kern w:val="0"/>
          <w:szCs w:val="21"/>
        </w:rPr>
      </w:pPr>
      <w:r>
        <w:rPr>
          <w:rFonts w:hint="eastAsia" w:ascii="宋体" w:cs="MingLiU"/>
          <w:snapToGrid w:val="0"/>
          <w:kern w:val="0"/>
          <w:szCs w:val="21"/>
        </w:rPr>
        <w:t>我方在此声明，所递交的投标文件及有关资料内容完整、真实和准确，同时我方承诺接受招标文件及附件、答疑及补遗通知中所有的内容。</w:t>
      </w:r>
    </w:p>
    <w:p>
      <w:pPr>
        <w:numPr>
          <w:ilvl w:val="0"/>
          <w:numId w:val="8"/>
        </w:numPr>
        <w:autoSpaceDE w:val="0"/>
        <w:autoSpaceDN w:val="0"/>
        <w:adjustRightInd w:val="0"/>
        <w:spacing w:line="355" w:lineRule="auto"/>
        <w:ind w:left="120" w:right="-9" w:firstLine="420"/>
        <w:jc w:val="left"/>
        <w:rPr>
          <w:rFonts w:ascii="宋体" w:cs="MingLiU"/>
          <w:snapToGrid w:val="0"/>
          <w:kern w:val="0"/>
          <w:szCs w:val="21"/>
        </w:rPr>
      </w:pPr>
      <w:r>
        <w:rPr>
          <w:rFonts w:hint="eastAsia" w:ascii="宋体" w:cs="MingLiU"/>
          <w:snapToGrid w:val="0"/>
          <w:kern w:val="0"/>
          <w:szCs w:val="21"/>
        </w:rPr>
        <w:t>其中</w:t>
      </w:r>
      <w:r>
        <w:rPr>
          <w:rFonts w:hint="eastAsia" w:ascii="宋体" w:hAnsi="宋体"/>
          <w:szCs w:val="28"/>
        </w:rPr>
        <w:t>奖励管理费若为阶梯式报价，请另外附表计算，此处填写按10年计算的平均值。</w:t>
      </w:r>
    </w:p>
    <w:p>
      <w:pPr>
        <w:numPr>
          <w:ilvl w:val="0"/>
          <w:numId w:val="8"/>
        </w:numPr>
        <w:autoSpaceDE w:val="0"/>
        <w:autoSpaceDN w:val="0"/>
        <w:adjustRightInd w:val="0"/>
        <w:spacing w:line="355" w:lineRule="auto"/>
        <w:ind w:left="120" w:right="-9" w:firstLine="420"/>
        <w:jc w:val="left"/>
        <w:rPr>
          <w:rFonts w:ascii="宋体" w:cs="MingLiU"/>
          <w:b/>
          <w:bCs/>
          <w:snapToGrid w:val="0"/>
          <w:kern w:val="0"/>
          <w:szCs w:val="21"/>
        </w:rPr>
      </w:pPr>
      <w:r>
        <w:rPr>
          <w:rFonts w:hint="eastAsia" w:ascii="宋体" w:cs="MingLiU"/>
          <w:b/>
          <w:bCs/>
          <w:snapToGrid w:val="0"/>
          <w:kern w:val="0"/>
          <w:szCs w:val="21"/>
        </w:rPr>
        <w:t>其中</w:t>
      </w:r>
      <w:r>
        <w:rPr>
          <w:rFonts w:hint="eastAsia" w:ascii="宋体"/>
          <w:b/>
          <w:bCs/>
          <w:szCs w:val="21"/>
        </w:rPr>
        <w:t>会员基金按会员消费总额的     %计算、中央预订渠道费按不超过通过中央预定系统总营业额的      %计算。上述两项费用不计入投标总价。</w:t>
      </w:r>
    </w:p>
    <w:p>
      <w:pPr>
        <w:tabs>
          <w:tab w:val="left" w:pos="4940"/>
        </w:tabs>
        <w:autoSpaceDE w:val="0"/>
        <w:autoSpaceDN w:val="0"/>
        <w:adjustRightInd w:val="0"/>
        <w:ind w:left="540" w:right="-20"/>
        <w:jc w:val="left"/>
        <w:rPr>
          <w:rFonts w:ascii="宋体" w:cs="MingLiU"/>
          <w:snapToGrid w:val="0"/>
          <w:kern w:val="0"/>
          <w:szCs w:val="21"/>
        </w:rPr>
      </w:pPr>
      <w:r>
        <w:rPr>
          <w:rFonts w:hint="eastAsia" w:ascii="宋体" w:cs="MingLiU"/>
          <w:snapToGrid w:val="0"/>
          <w:kern w:val="0"/>
          <w:szCs w:val="21"/>
        </w:rPr>
        <w:t>5.</w:t>
      </w:r>
      <w:r>
        <w:rPr>
          <w:rFonts w:hint="eastAsia" w:ascii="宋体" w:cs="MingLiU"/>
          <w:snapToGrid w:val="0"/>
          <w:w w:val="200"/>
          <w:kern w:val="0"/>
          <w:szCs w:val="21"/>
          <w:u w:val="single"/>
        </w:rPr>
        <w:t xml:space="preserve"> </w:t>
      </w:r>
      <w:r>
        <w:rPr>
          <w:rFonts w:hint="eastAsia" w:ascii="宋体" w:cs="MingLiU"/>
          <w:snapToGrid w:val="0"/>
          <w:kern w:val="0"/>
          <w:szCs w:val="21"/>
          <w:u w:val="single"/>
        </w:rPr>
        <w:t xml:space="preserve">               </w:t>
      </w:r>
      <w:r>
        <w:rPr>
          <w:rFonts w:hint="eastAsia" w:ascii="宋体" w:cs="MingLiU"/>
          <w:snapToGrid w:val="0"/>
          <w:kern w:val="0"/>
          <w:szCs w:val="21"/>
        </w:rPr>
        <w:t>（其他补充说明）。</w:t>
      </w:r>
    </w:p>
    <w:p>
      <w:pPr>
        <w:tabs>
          <w:tab w:val="left" w:pos="7140"/>
          <w:tab w:val="left" w:pos="7560"/>
          <w:tab w:val="left" w:pos="8300"/>
        </w:tabs>
        <w:autoSpaceDE w:val="0"/>
        <w:autoSpaceDN w:val="0"/>
        <w:adjustRightInd w:val="0"/>
        <w:spacing w:line="369" w:lineRule="auto"/>
        <w:ind w:right="210" w:firstLine="1995" w:firstLineChars="950"/>
        <w:rPr>
          <w:rFonts w:ascii="宋体"/>
          <w:snapToGrid w:val="0"/>
          <w:kern w:val="0"/>
          <w:szCs w:val="21"/>
        </w:rPr>
      </w:pPr>
      <w:r>
        <w:rPr>
          <w:rFonts w:hint="eastAsia" w:hAnsiTheme="minorEastAsia" w:eastAsiaTheme="minorEastAsia"/>
          <w:szCs w:val="21"/>
        </w:rPr>
        <w:t>谈判响应方</w:t>
      </w:r>
      <w:r>
        <w:rPr>
          <w:rFonts w:hint="eastAsia" w:ascii="宋体" w:cs="MingLiU"/>
          <w:snapToGrid w:val="0"/>
          <w:kern w:val="0"/>
          <w:szCs w:val="21"/>
        </w:rPr>
        <w:t>：</w:t>
      </w:r>
      <w:r>
        <w:rPr>
          <w:rFonts w:hint="eastAsia" w:ascii="宋体" w:cs="MingLiU"/>
          <w:snapToGrid w:val="0"/>
          <w:kern w:val="0"/>
          <w:szCs w:val="21"/>
          <w:u w:val="single"/>
        </w:rPr>
        <w:t xml:space="preserve">                　　　　　     </w:t>
      </w:r>
      <w:r>
        <w:rPr>
          <w:rFonts w:hint="eastAsia" w:ascii="宋体" w:cs="MingLiU"/>
          <w:snapToGrid w:val="0"/>
          <w:kern w:val="0"/>
          <w:szCs w:val="21"/>
        </w:rPr>
        <w:t>（</w:t>
      </w:r>
      <w:r>
        <w:rPr>
          <w:rFonts w:hint="eastAsia" w:ascii="宋体" w:cs="宋体"/>
          <w:kern w:val="0"/>
          <w:szCs w:val="21"/>
        </w:rPr>
        <w:t>盖单位法人章</w:t>
      </w:r>
      <w:r>
        <w:rPr>
          <w:rFonts w:hint="eastAsia" w:ascii="宋体" w:cs="MingLiU"/>
          <w:snapToGrid w:val="0"/>
          <w:kern w:val="0"/>
          <w:szCs w:val="21"/>
        </w:rPr>
        <w:t>）</w:t>
      </w:r>
      <w:r>
        <w:rPr>
          <w:rFonts w:hint="eastAsia" w:ascii="宋体"/>
          <w:snapToGrid w:val="0"/>
          <w:kern w:val="0"/>
          <w:szCs w:val="21"/>
        </w:rPr>
        <w:t xml:space="preserve"> </w:t>
      </w:r>
    </w:p>
    <w:p>
      <w:pPr>
        <w:tabs>
          <w:tab w:val="left" w:pos="7140"/>
          <w:tab w:val="left" w:pos="7560"/>
          <w:tab w:val="left" w:pos="8300"/>
        </w:tabs>
        <w:autoSpaceDE w:val="0"/>
        <w:autoSpaceDN w:val="0"/>
        <w:adjustRightInd w:val="0"/>
        <w:spacing w:line="369" w:lineRule="auto"/>
        <w:ind w:right="210" w:firstLine="1995" w:firstLineChars="950"/>
        <w:rPr>
          <w:rFonts w:ascii="宋体" w:cs="MingLiU"/>
          <w:snapToGrid w:val="0"/>
          <w:kern w:val="0"/>
          <w:szCs w:val="21"/>
        </w:rPr>
      </w:pPr>
      <w:r>
        <w:rPr>
          <w:rFonts w:hint="eastAsia" w:ascii="宋体" w:cs="MingLiU"/>
          <w:snapToGrid w:val="0"/>
          <w:kern w:val="0"/>
          <w:szCs w:val="21"/>
        </w:rPr>
        <w:t>法定代表人或其委托代理人：</w:t>
      </w:r>
      <w:r>
        <w:rPr>
          <w:rFonts w:hint="eastAsia" w:ascii="宋体" w:cs="MingLiU"/>
          <w:snapToGrid w:val="0"/>
          <w:kern w:val="0"/>
          <w:szCs w:val="21"/>
          <w:u w:val="single"/>
        </w:rPr>
        <w:t xml:space="preserve">  </w:t>
      </w:r>
      <w:r>
        <w:rPr>
          <w:rFonts w:hint="eastAsia" w:ascii="宋体"/>
          <w:snapToGrid w:val="0"/>
          <w:kern w:val="0"/>
          <w:szCs w:val="21"/>
          <w:u w:val="single"/>
        </w:rPr>
        <w:t xml:space="preserve">               </w:t>
      </w:r>
      <w:r>
        <w:rPr>
          <w:rFonts w:hint="eastAsia" w:ascii="宋体" w:cs="MingLiU"/>
          <w:snapToGrid w:val="0"/>
          <w:kern w:val="0"/>
          <w:szCs w:val="21"/>
        </w:rPr>
        <w:t>（签字或盖章）</w:t>
      </w:r>
    </w:p>
    <w:p>
      <w:pPr>
        <w:tabs>
          <w:tab w:val="left" w:pos="7035"/>
          <w:tab w:val="left" w:pos="7560"/>
          <w:tab w:val="left" w:pos="8300"/>
        </w:tabs>
        <w:autoSpaceDE w:val="0"/>
        <w:autoSpaceDN w:val="0"/>
        <w:adjustRightInd w:val="0"/>
        <w:spacing w:line="369" w:lineRule="auto"/>
        <w:ind w:right="210" w:firstLine="1995" w:firstLineChars="950"/>
        <w:rPr>
          <w:rFonts w:ascii="宋体" w:cs="MingLiU"/>
          <w:snapToGrid w:val="0"/>
          <w:kern w:val="0"/>
          <w:szCs w:val="21"/>
        </w:rPr>
      </w:pPr>
      <w:r>
        <w:rPr>
          <w:rFonts w:hint="eastAsia" w:ascii="宋体" w:cs="MingLiU"/>
          <w:snapToGrid w:val="0"/>
          <w:kern w:val="0"/>
          <w:szCs w:val="21"/>
        </w:rPr>
        <w:t>地址：</w:t>
      </w:r>
      <w:r>
        <w:rPr>
          <w:rFonts w:hint="eastAsia" w:ascii="宋体" w:cs="MingLiU"/>
          <w:snapToGrid w:val="0"/>
          <w:w w:val="200"/>
          <w:kern w:val="0"/>
          <w:szCs w:val="21"/>
          <w:u w:val="single"/>
        </w:rPr>
        <w:t xml:space="preserve"> </w:t>
      </w:r>
      <w:r>
        <w:rPr>
          <w:rFonts w:hint="eastAsia" w:ascii="宋体"/>
          <w:snapToGrid w:val="0"/>
          <w:kern w:val="0"/>
          <w:szCs w:val="21"/>
          <w:u w:val="single"/>
        </w:rPr>
        <w:tab/>
      </w:r>
    </w:p>
    <w:p>
      <w:pPr>
        <w:autoSpaceDE w:val="0"/>
        <w:autoSpaceDN w:val="0"/>
        <w:adjustRightInd w:val="0"/>
        <w:spacing w:before="14" w:line="200" w:lineRule="exact"/>
        <w:jc w:val="left"/>
        <w:rPr>
          <w:rFonts w:ascii="宋体" w:cs="MingLiU"/>
          <w:snapToGrid w:val="0"/>
          <w:kern w:val="0"/>
          <w:sz w:val="20"/>
        </w:rPr>
      </w:pPr>
    </w:p>
    <w:p>
      <w:pPr>
        <w:tabs>
          <w:tab w:val="left" w:pos="8300"/>
        </w:tabs>
        <w:autoSpaceDE w:val="0"/>
        <w:autoSpaceDN w:val="0"/>
        <w:adjustRightInd w:val="0"/>
        <w:spacing w:line="220" w:lineRule="exact"/>
        <w:ind w:left="1985" w:right="-20"/>
        <w:jc w:val="left"/>
        <w:rPr>
          <w:rFonts w:ascii="宋体" w:cs="MingLiU"/>
          <w:snapToGrid w:val="0"/>
          <w:kern w:val="0"/>
          <w:szCs w:val="21"/>
        </w:rPr>
      </w:pPr>
      <w:r>
        <w:rPr>
          <w:rFonts w:hint="eastAsia" w:ascii="宋体" w:cs="MingLiU"/>
          <w:snapToGrid w:val="0"/>
          <w:kern w:val="0"/>
          <w:szCs w:val="21"/>
        </w:rPr>
        <w:t>电话：</w:t>
      </w:r>
      <w:r>
        <w:rPr>
          <w:rFonts w:hint="eastAsia" w:ascii="宋体"/>
          <w:snapToGrid w:val="0"/>
          <w:kern w:val="0"/>
          <w:szCs w:val="21"/>
          <w:u w:val="single"/>
        </w:rPr>
        <w:tab/>
      </w:r>
      <w:r>
        <w:rPr>
          <w:rFonts w:hint="eastAsia" w:ascii="宋体" w:cs="MingLiU"/>
          <w:snapToGrid w:val="0"/>
          <w:w w:val="200"/>
          <w:kern w:val="0"/>
          <w:szCs w:val="21"/>
          <w:u w:val="single"/>
        </w:rPr>
        <w:t xml:space="preserve"> </w:t>
      </w:r>
      <w:r>
        <w:rPr>
          <w:rFonts w:hint="eastAsia" w:ascii="宋体"/>
          <w:snapToGrid w:val="0"/>
          <w:kern w:val="0"/>
          <w:szCs w:val="21"/>
          <w:u w:val="single"/>
        </w:rPr>
        <w:t>　　　　　　　　　　　　　　　　　　　　</w:t>
      </w:r>
    </w:p>
    <w:p>
      <w:pPr>
        <w:autoSpaceDE w:val="0"/>
        <w:autoSpaceDN w:val="0"/>
        <w:adjustRightInd w:val="0"/>
        <w:spacing w:before="13" w:line="200" w:lineRule="exact"/>
        <w:jc w:val="left"/>
        <w:rPr>
          <w:rFonts w:ascii="宋体" w:cs="MingLiU"/>
          <w:snapToGrid w:val="0"/>
          <w:kern w:val="0"/>
          <w:sz w:val="20"/>
        </w:rPr>
      </w:pPr>
    </w:p>
    <w:p>
      <w:pPr>
        <w:tabs>
          <w:tab w:val="left" w:pos="8300"/>
        </w:tabs>
        <w:autoSpaceDE w:val="0"/>
        <w:autoSpaceDN w:val="0"/>
        <w:adjustRightInd w:val="0"/>
        <w:spacing w:line="220" w:lineRule="exact"/>
        <w:ind w:left="1985" w:right="-20"/>
        <w:jc w:val="left"/>
        <w:rPr>
          <w:rFonts w:ascii="宋体" w:cs="MingLiU"/>
          <w:snapToGrid w:val="0"/>
          <w:kern w:val="0"/>
          <w:szCs w:val="21"/>
        </w:rPr>
      </w:pPr>
      <w:r>
        <w:rPr>
          <w:rFonts w:hint="eastAsia" w:ascii="宋体" w:cs="MingLiU"/>
          <w:snapToGrid w:val="0"/>
          <w:kern w:val="0"/>
          <w:szCs w:val="21"/>
        </w:rPr>
        <w:t>传真：</w:t>
      </w:r>
      <w:r>
        <w:rPr>
          <w:rFonts w:hint="eastAsia" w:ascii="宋体"/>
          <w:snapToGrid w:val="0"/>
          <w:kern w:val="0"/>
          <w:szCs w:val="21"/>
          <w:u w:val="single"/>
        </w:rPr>
        <w:tab/>
      </w:r>
      <w:r>
        <w:rPr>
          <w:rFonts w:hint="eastAsia" w:ascii="宋体" w:cs="MingLiU"/>
          <w:snapToGrid w:val="0"/>
          <w:w w:val="200"/>
          <w:kern w:val="0"/>
          <w:szCs w:val="21"/>
          <w:u w:val="single"/>
        </w:rPr>
        <w:t xml:space="preserve"> </w:t>
      </w:r>
      <w:r>
        <w:rPr>
          <w:rFonts w:hint="eastAsia" w:ascii="宋体"/>
          <w:snapToGrid w:val="0"/>
          <w:kern w:val="0"/>
          <w:szCs w:val="21"/>
          <w:u w:val="single"/>
        </w:rPr>
        <w:t>　　　　　　　　　　　　　　　　　　　　</w:t>
      </w:r>
    </w:p>
    <w:p>
      <w:pPr>
        <w:tabs>
          <w:tab w:val="left" w:pos="8300"/>
        </w:tabs>
        <w:autoSpaceDE w:val="0"/>
        <w:autoSpaceDN w:val="0"/>
        <w:adjustRightInd w:val="0"/>
        <w:spacing w:line="220" w:lineRule="exact"/>
        <w:ind w:left="3796" w:right="-20"/>
        <w:jc w:val="left"/>
        <w:rPr>
          <w:rFonts w:ascii="宋体" w:cs="MingLiU"/>
          <w:snapToGrid w:val="0"/>
          <w:kern w:val="0"/>
          <w:szCs w:val="21"/>
        </w:rPr>
      </w:pPr>
    </w:p>
    <w:p>
      <w:pPr>
        <w:tabs>
          <w:tab w:val="left" w:pos="6000"/>
          <w:tab w:val="left" w:pos="7040"/>
          <w:tab w:val="left" w:pos="8100"/>
        </w:tabs>
        <w:autoSpaceDE w:val="0"/>
        <w:autoSpaceDN w:val="0"/>
        <w:adjustRightInd w:val="0"/>
        <w:spacing w:line="220" w:lineRule="exact"/>
        <w:ind w:right="-20" w:firstLine="4924" w:firstLineChars="2345"/>
        <w:jc w:val="left"/>
        <w:rPr>
          <w:rFonts w:ascii="宋体" w:cs="MingLiU"/>
          <w:snapToGrid w:val="0"/>
          <w:kern w:val="0"/>
          <w:szCs w:val="21"/>
          <w:u w:val="single"/>
        </w:rPr>
      </w:pPr>
    </w:p>
    <w:p>
      <w:pPr>
        <w:tabs>
          <w:tab w:val="left" w:pos="6000"/>
          <w:tab w:val="left" w:pos="7040"/>
          <w:tab w:val="left" w:pos="8100"/>
        </w:tabs>
        <w:autoSpaceDE w:val="0"/>
        <w:autoSpaceDN w:val="0"/>
        <w:adjustRightInd w:val="0"/>
        <w:spacing w:line="220" w:lineRule="exact"/>
        <w:ind w:right="-20" w:firstLine="4924" w:firstLineChars="2345"/>
        <w:jc w:val="left"/>
        <w:rPr>
          <w:rFonts w:ascii="宋体" w:cs="MingLiU"/>
          <w:snapToGrid w:val="0"/>
          <w:kern w:val="0"/>
          <w:szCs w:val="21"/>
        </w:rPr>
      </w:pPr>
      <w:r>
        <w:rPr>
          <w:rFonts w:hint="eastAsia" w:ascii="宋体" w:cs="MingLiU"/>
          <w:snapToGrid w:val="0"/>
          <w:kern w:val="0"/>
          <w:szCs w:val="21"/>
          <w:u w:val="single"/>
        </w:rPr>
        <w:t xml:space="preserve">        </w:t>
      </w:r>
      <w:r>
        <w:rPr>
          <w:rFonts w:hint="eastAsia" w:ascii="宋体" w:cs="MingLiU"/>
          <w:snapToGrid w:val="0"/>
          <w:kern w:val="0"/>
          <w:szCs w:val="21"/>
        </w:rPr>
        <w:t>年</w:t>
      </w:r>
      <w:r>
        <w:rPr>
          <w:rFonts w:hint="eastAsia" w:ascii="宋体" w:cs="MingLiU"/>
          <w:snapToGrid w:val="0"/>
          <w:w w:val="200"/>
          <w:kern w:val="0"/>
          <w:szCs w:val="21"/>
          <w:u w:val="single"/>
        </w:rPr>
        <w:t xml:space="preserve">  </w:t>
      </w:r>
      <w:r>
        <w:rPr>
          <w:rFonts w:hint="eastAsia" w:ascii="宋体" w:cs="MingLiU"/>
          <w:snapToGrid w:val="0"/>
          <w:kern w:val="0"/>
          <w:szCs w:val="21"/>
        </w:rPr>
        <w:t>月</w:t>
      </w:r>
      <w:r>
        <w:rPr>
          <w:rFonts w:hint="eastAsia" w:ascii="宋体" w:cs="MingLiU"/>
          <w:snapToGrid w:val="0"/>
          <w:w w:val="200"/>
          <w:kern w:val="0"/>
          <w:szCs w:val="21"/>
          <w:u w:val="single"/>
        </w:rPr>
        <w:t xml:space="preserve">  </w:t>
      </w:r>
      <w:r>
        <w:rPr>
          <w:rFonts w:hint="eastAsia" w:ascii="宋体" w:cs="MingLiU"/>
          <w:snapToGrid w:val="0"/>
          <w:kern w:val="0"/>
          <w:szCs w:val="21"/>
        </w:rPr>
        <w:t>日</w:t>
      </w:r>
    </w:p>
    <w:p>
      <w:pPr>
        <w:spacing w:before="120" w:beforeLines="50" w:after="120" w:afterLines="50"/>
        <w:jc w:val="center"/>
        <w:rPr>
          <w:rStyle w:val="77"/>
        </w:rPr>
        <w:sectPr>
          <w:footerReference r:id="rId8" w:type="default"/>
          <w:pgSz w:w="11907" w:h="16840"/>
          <w:pgMar w:top="1440" w:right="1080" w:bottom="1440" w:left="1080" w:header="624" w:footer="624" w:gutter="0"/>
          <w:cols w:space="720" w:num="1"/>
          <w:docGrid w:linePitch="312" w:charSpace="0"/>
        </w:sectPr>
      </w:pPr>
    </w:p>
    <w:p>
      <w:pPr>
        <w:widowControl/>
        <w:tabs>
          <w:tab w:val="center" w:pos="4755"/>
          <w:tab w:val="right" w:pos="9070"/>
        </w:tabs>
        <w:jc w:val="left"/>
        <w:rPr>
          <w:rFonts w:hAnsi="宋体"/>
          <w:kern w:val="0"/>
          <w:szCs w:val="21"/>
        </w:rPr>
      </w:pPr>
    </w:p>
    <w:p>
      <w:pPr>
        <w:widowControl/>
        <w:tabs>
          <w:tab w:val="center" w:pos="4755"/>
          <w:tab w:val="right" w:pos="9070"/>
        </w:tabs>
        <w:jc w:val="left"/>
        <w:rPr>
          <w:rFonts w:hAnsi="宋体"/>
          <w:kern w:val="0"/>
          <w:szCs w:val="21"/>
        </w:rPr>
      </w:pPr>
    </w:p>
    <w:p>
      <w:pPr>
        <w:widowControl/>
        <w:tabs>
          <w:tab w:val="center" w:pos="4755"/>
          <w:tab w:val="right" w:pos="9070"/>
        </w:tabs>
        <w:jc w:val="center"/>
        <w:rPr>
          <w:rFonts w:asciiTheme="majorHAnsi" w:hAnsiTheme="majorHAnsi" w:cstheme="majorBidi"/>
          <w:b/>
          <w:bCs/>
          <w:sz w:val="36"/>
          <w:szCs w:val="32"/>
        </w:rPr>
      </w:pPr>
      <w:r>
        <w:rPr>
          <w:rFonts w:hint="eastAsia" w:asciiTheme="majorHAnsi" w:hAnsiTheme="majorHAnsi" w:cstheme="majorBidi"/>
          <w:b/>
          <w:bCs/>
          <w:sz w:val="36"/>
          <w:szCs w:val="32"/>
        </w:rPr>
        <w:t>针对报价需要说明的其他材料</w:t>
      </w:r>
    </w:p>
    <w:p>
      <w:pPr>
        <w:widowControl/>
        <w:tabs>
          <w:tab w:val="center" w:pos="4755"/>
          <w:tab w:val="right" w:pos="9070"/>
        </w:tabs>
        <w:jc w:val="left"/>
        <w:rPr>
          <w:rFonts w:hAnsi="宋体"/>
          <w:b/>
          <w:kern w:val="0"/>
          <w:sz w:val="32"/>
          <w:szCs w:val="32"/>
        </w:rPr>
        <w:sectPr>
          <w:pgSz w:w="11907" w:h="16840"/>
          <w:pgMar w:top="1440" w:right="1080" w:bottom="1440" w:left="1080" w:header="624" w:footer="624" w:gutter="0"/>
          <w:cols w:space="720" w:num="1"/>
          <w:docGrid w:linePitch="312" w:charSpace="0"/>
        </w:sectPr>
      </w:pPr>
    </w:p>
    <w:p>
      <w:pPr>
        <w:spacing w:line="360" w:lineRule="auto"/>
        <w:jc w:val="right"/>
        <w:rPr>
          <w:rFonts w:asciiTheme="minorEastAsia" w:hAnsiTheme="minorEastAsia" w:eastAsiaTheme="minorEastAsia"/>
          <w:b/>
          <w:sz w:val="30"/>
          <w:szCs w:val="30"/>
        </w:rPr>
      </w:pPr>
    </w:p>
    <w:p>
      <w:pPr>
        <w:spacing w:line="360" w:lineRule="auto"/>
        <w:jc w:val="right"/>
        <w:rPr>
          <w:rFonts w:asciiTheme="minorEastAsia" w:hAnsiTheme="minorEastAsia" w:eastAsiaTheme="minorEastAsia"/>
          <w:b/>
          <w:sz w:val="30"/>
          <w:szCs w:val="30"/>
        </w:rPr>
      </w:pPr>
      <w:r>
        <w:rPr>
          <w:rFonts w:asciiTheme="minorEastAsia" w:hAnsiTheme="minorEastAsia" w:eastAsiaTheme="minorEastAsia"/>
          <w:b/>
          <w:sz w:val="30"/>
          <w:szCs w:val="30"/>
        </w:rPr>
        <w:t>正（副）本</w:t>
      </w:r>
    </w:p>
    <w:p>
      <w:pPr>
        <w:spacing w:line="360" w:lineRule="auto"/>
        <w:jc w:val="center"/>
        <w:rPr>
          <w:rFonts w:eastAsiaTheme="minorEastAsia"/>
          <w:b/>
          <w:sz w:val="52"/>
        </w:rPr>
      </w:pPr>
      <w:r>
        <w:rPr>
          <w:rFonts w:eastAsiaTheme="minorEastAsia"/>
          <w:b/>
          <w:sz w:val="52"/>
        </w:rPr>
        <w:t>(</w:t>
      </w:r>
      <w:r>
        <w:rPr>
          <w:rFonts w:hAnsiTheme="minorEastAsia" w:eastAsiaTheme="minorEastAsia"/>
          <w:b/>
          <w:sz w:val="52"/>
        </w:rPr>
        <w:t>项目名称</w:t>
      </w:r>
      <w:r>
        <w:rPr>
          <w:rFonts w:eastAsiaTheme="minorEastAsia"/>
          <w:b/>
          <w:sz w:val="52"/>
        </w:rPr>
        <w:t>)</w:t>
      </w:r>
      <w:r>
        <w:rPr>
          <w:rFonts w:hAnsiTheme="minorEastAsia" w:eastAsiaTheme="minorEastAsia"/>
          <w:b/>
          <w:sz w:val="52"/>
        </w:rPr>
        <w:t>项目</w:t>
      </w:r>
    </w:p>
    <w:p>
      <w:pPr>
        <w:spacing w:line="360" w:lineRule="auto"/>
        <w:ind w:left="130" w:right="-1079" w:hanging="1027"/>
        <w:jc w:val="center"/>
        <w:rPr>
          <w:rFonts w:eastAsiaTheme="minorEastAsia"/>
          <w:sz w:val="32"/>
        </w:rPr>
      </w:pPr>
      <w:r>
        <w:rPr>
          <w:rFonts w:hAnsiTheme="minorEastAsia" w:eastAsiaTheme="minorEastAsia"/>
          <w:sz w:val="32"/>
        </w:rPr>
        <w:t>项目编号：</w:t>
      </w:r>
    </w:p>
    <w:p>
      <w:pPr>
        <w:jc w:val="center"/>
        <w:rPr>
          <w:rFonts w:eastAsiaTheme="minorEastAsia"/>
          <w:sz w:val="52"/>
        </w:rPr>
      </w:pPr>
    </w:p>
    <w:p>
      <w:pPr>
        <w:pStyle w:val="79"/>
        <w:ind w:firstLine="420"/>
        <w:rPr>
          <w:lang w:val="en-US"/>
        </w:rPr>
      </w:pPr>
    </w:p>
    <w:p>
      <w:pPr>
        <w:pStyle w:val="79"/>
        <w:ind w:firstLine="420"/>
        <w:rPr>
          <w:lang w:val="en-US"/>
        </w:rPr>
      </w:pPr>
    </w:p>
    <w:p>
      <w:pPr>
        <w:spacing w:line="240" w:lineRule="auto"/>
        <w:jc w:val="center"/>
        <w:rPr>
          <w:rFonts w:hAnsiTheme="minorEastAsia" w:eastAsiaTheme="minorEastAsia"/>
          <w:sz w:val="52"/>
        </w:rPr>
      </w:pPr>
      <w:r>
        <w:rPr>
          <w:rFonts w:hint="eastAsia" w:hAnsiTheme="minorEastAsia" w:eastAsiaTheme="minorEastAsia"/>
          <w:sz w:val="52"/>
        </w:rPr>
        <w:t>资</w:t>
      </w:r>
    </w:p>
    <w:p>
      <w:pPr>
        <w:spacing w:line="240" w:lineRule="auto"/>
        <w:jc w:val="center"/>
        <w:rPr>
          <w:rFonts w:hAnsiTheme="minorEastAsia" w:eastAsiaTheme="minorEastAsia"/>
          <w:sz w:val="52"/>
        </w:rPr>
      </w:pPr>
      <w:r>
        <w:rPr>
          <w:rFonts w:hint="eastAsia" w:hAnsiTheme="minorEastAsia" w:eastAsiaTheme="minorEastAsia"/>
          <w:sz w:val="52"/>
        </w:rPr>
        <w:t>信</w:t>
      </w:r>
    </w:p>
    <w:p>
      <w:pPr>
        <w:spacing w:line="240" w:lineRule="auto"/>
        <w:jc w:val="center"/>
        <w:rPr>
          <w:rFonts w:hAnsiTheme="minorEastAsia" w:eastAsiaTheme="minorEastAsia"/>
          <w:sz w:val="52"/>
        </w:rPr>
      </w:pPr>
      <w:r>
        <w:rPr>
          <w:rFonts w:hint="eastAsia" w:hAnsiTheme="minorEastAsia" w:eastAsiaTheme="minorEastAsia"/>
          <w:sz w:val="52"/>
        </w:rPr>
        <w:t>及</w:t>
      </w:r>
    </w:p>
    <w:p>
      <w:pPr>
        <w:spacing w:line="240" w:lineRule="auto"/>
        <w:jc w:val="center"/>
        <w:rPr>
          <w:rFonts w:hAnsiTheme="minorEastAsia" w:eastAsiaTheme="minorEastAsia"/>
          <w:sz w:val="52"/>
        </w:rPr>
      </w:pPr>
      <w:r>
        <w:rPr>
          <w:rFonts w:hint="eastAsia" w:hAnsiTheme="minorEastAsia" w:eastAsiaTheme="minorEastAsia"/>
          <w:sz w:val="52"/>
        </w:rPr>
        <w:t>技</w:t>
      </w:r>
    </w:p>
    <w:p>
      <w:pPr>
        <w:spacing w:line="240" w:lineRule="auto"/>
        <w:jc w:val="center"/>
        <w:rPr>
          <w:rFonts w:eastAsiaTheme="minorEastAsia"/>
          <w:sz w:val="52"/>
        </w:rPr>
      </w:pPr>
      <w:r>
        <w:rPr>
          <w:rFonts w:hint="eastAsia" w:hAnsiTheme="minorEastAsia" w:eastAsiaTheme="minorEastAsia"/>
          <w:sz w:val="52"/>
        </w:rPr>
        <w:t>术</w:t>
      </w:r>
    </w:p>
    <w:p>
      <w:pPr>
        <w:spacing w:line="240" w:lineRule="auto"/>
        <w:jc w:val="center"/>
        <w:rPr>
          <w:rFonts w:hAnsiTheme="minorEastAsia" w:eastAsiaTheme="minorEastAsia"/>
          <w:sz w:val="52"/>
        </w:rPr>
      </w:pPr>
      <w:r>
        <w:rPr>
          <w:rFonts w:hAnsiTheme="minorEastAsia" w:eastAsiaTheme="minorEastAsia"/>
          <w:sz w:val="52"/>
        </w:rPr>
        <w:t>文</w:t>
      </w:r>
    </w:p>
    <w:p>
      <w:pPr>
        <w:spacing w:line="240" w:lineRule="auto"/>
        <w:jc w:val="center"/>
        <w:rPr>
          <w:rFonts w:eastAsiaTheme="minorEastAsia"/>
          <w:sz w:val="52"/>
        </w:rPr>
      </w:pPr>
      <w:r>
        <w:rPr>
          <w:rFonts w:hAnsiTheme="minorEastAsia" w:eastAsiaTheme="minorEastAsia"/>
          <w:sz w:val="52"/>
        </w:rPr>
        <w:t>件</w:t>
      </w:r>
    </w:p>
    <w:p>
      <w:pPr>
        <w:pStyle w:val="79"/>
        <w:ind w:firstLine="420"/>
        <w:rPr>
          <w:lang w:val="en-US"/>
        </w:rPr>
      </w:pPr>
    </w:p>
    <w:p>
      <w:pPr>
        <w:pStyle w:val="79"/>
        <w:ind w:firstLine="420"/>
        <w:rPr>
          <w:lang w:val="en-US"/>
        </w:rPr>
      </w:pPr>
    </w:p>
    <w:p>
      <w:pPr>
        <w:spacing w:line="360" w:lineRule="auto"/>
        <w:ind w:firstLine="1600"/>
        <w:rPr>
          <w:rFonts w:eastAsiaTheme="minorEastAsia"/>
          <w:sz w:val="32"/>
        </w:rPr>
      </w:pPr>
    </w:p>
    <w:p>
      <w:pPr>
        <w:spacing w:line="360" w:lineRule="auto"/>
        <w:ind w:firstLine="1600"/>
        <w:rPr>
          <w:rFonts w:eastAsiaTheme="minorEastAsia"/>
          <w:sz w:val="32"/>
        </w:rPr>
      </w:pPr>
    </w:p>
    <w:p>
      <w:pPr>
        <w:spacing w:line="360" w:lineRule="auto"/>
        <w:ind w:firstLine="1599"/>
        <w:rPr>
          <w:rFonts w:eastAsiaTheme="minorEastAsia"/>
          <w:sz w:val="32"/>
        </w:rPr>
      </w:pPr>
      <w:r>
        <w:rPr>
          <w:rFonts w:hint="eastAsia" w:hAnsiTheme="minorEastAsia" w:eastAsiaTheme="minorEastAsia"/>
          <w:sz w:val="32"/>
        </w:rPr>
        <w:t>谈判响应方</w:t>
      </w:r>
      <w:r>
        <w:rPr>
          <w:rFonts w:hAnsiTheme="minorEastAsia" w:eastAsiaTheme="minorEastAsia"/>
          <w:sz w:val="32"/>
        </w:rPr>
        <w:t>名称：（加盖单位公章）</w:t>
      </w:r>
    </w:p>
    <w:p>
      <w:pPr>
        <w:spacing w:line="360" w:lineRule="auto"/>
        <w:ind w:firstLine="1599"/>
        <w:rPr>
          <w:rFonts w:eastAsiaTheme="minorEastAsia"/>
          <w:sz w:val="32"/>
          <w:u w:val="single"/>
        </w:rPr>
      </w:pPr>
      <w:r>
        <w:rPr>
          <w:rFonts w:hint="eastAsia" w:hAnsiTheme="minorEastAsia" w:eastAsiaTheme="minorEastAsia"/>
          <w:sz w:val="32"/>
        </w:rPr>
        <w:t>谈判响应方</w:t>
      </w:r>
      <w:r>
        <w:rPr>
          <w:rFonts w:hAnsiTheme="minorEastAsia" w:eastAsiaTheme="minorEastAsia"/>
          <w:sz w:val="32"/>
        </w:rPr>
        <w:t>地址：</w:t>
      </w:r>
    </w:p>
    <w:p>
      <w:pPr>
        <w:spacing w:line="360" w:lineRule="auto"/>
        <w:ind w:firstLine="1599"/>
        <w:rPr>
          <w:rFonts w:eastAsiaTheme="minorEastAsia"/>
          <w:sz w:val="32"/>
        </w:rPr>
      </w:pPr>
      <w:r>
        <w:rPr>
          <w:rFonts w:hAnsiTheme="minorEastAsia" w:eastAsiaTheme="minorEastAsia"/>
          <w:sz w:val="32"/>
        </w:rPr>
        <w:t>联系方式</w:t>
      </w:r>
      <w:r>
        <w:rPr>
          <w:rFonts w:hint="eastAsia" w:eastAsiaTheme="minorEastAsia"/>
          <w:sz w:val="32"/>
        </w:rPr>
        <w:t>：</w:t>
      </w:r>
    </w:p>
    <w:p>
      <w:pPr>
        <w:spacing w:line="360" w:lineRule="auto"/>
        <w:ind w:firstLine="1600"/>
        <w:rPr>
          <w:rFonts w:eastAsiaTheme="minorEastAsia"/>
          <w:sz w:val="32"/>
        </w:rPr>
      </w:pPr>
      <w:r>
        <w:rPr>
          <w:rFonts w:hint="eastAsia" w:eastAsiaTheme="minorEastAsia"/>
          <w:sz w:val="32"/>
        </w:rPr>
        <w:t>日期：    年    月    日</w:t>
      </w:r>
    </w:p>
    <w:p>
      <w:pPr>
        <w:spacing w:line="360" w:lineRule="auto"/>
        <w:ind w:firstLine="723" w:firstLineChars="200"/>
        <w:jc w:val="center"/>
        <w:rPr>
          <w:b/>
          <w:sz w:val="36"/>
          <w:szCs w:val="36"/>
        </w:rPr>
        <w:sectPr>
          <w:pgSz w:w="11906" w:h="16838"/>
          <w:pgMar w:top="1440" w:right="1080" w:bottom="1440" w:left="1080" w:header="624" w:footer="624" w:gutter="0"/>
          <w:cols w:space="425" w:num="1"/>
          <w:docGrid w:linePitch="312" w:charSpace="0"/>
        </w:sectPr>
      </w:pPr>
    </w:p>
    <w:p>
      <w:pPr>
        <w:spacing w:line="360" w:lineRule="auto"/>
        <w:ind w:firstLine="723" w:firstLineChars="200"/>
        <w:jc w:val="center"/>
        <w:rPr>
          <w:b/>
          <w:sz w:val="36"/>
          <w:szCs w:val="36"/>
        </w:rPr>
      </w:pPr>
      <w:r>
        <w:rPr>
          <w:rFonts w:hint="eastAsia"/>
          <w:b/>
          <w:sz w:val="36"/>
          <w:szCs w:val="36"/>
        </w:rPr>
        <w:t>资信文件部分</w:t>
      </w:r>
    </w:p>
    <w:p>
      <w:pPr>
        <w:spacing w:line="360" w:lineRule="auto"/>
        <w:ind w:firstLine="723" w:firstLineChars="200"/>
        <w:jc w:val="center"/>
        <w:rPr>
          <w:b/>
          <w:sz w:val="36"/>
          <w:szCs w:val="36"/>
        </w:rPr>
      </w:pPr>
      <w:r>
        <w:rPr>
          <w:rFonts w:hint="eastAsia"/>
          <w:b/>
          <w:sz w:val="36"/>
          <w:szCs w:val="36"/>
        </w:rPr>
        <w:t>目  录</w:t>
      </w:r>
    </w:p>
    <w:p>
      <w:pPr>
        <w:spacing w:before="120" w:beforeLines="50" w:after="120" w:afterLines="50"/>
        <w:ind w:firstLine="420" w:firstLineChars="200"/>
        <w:rPr>
          <w:kern w:val="0"/>
          <w:szCs w:val="24"/>
        </w:rPr>
      </w:pPr>
      <w:r>
        <w:rPr>
          <w:rFonts w:hint="eastAsia" w:hAnsiTheme="minorEastAsia"/>
          <w:kern w:val="0"/>
          <w:szCs w:val="24"/>
        </w:rPr>
        <w:t>（1）</w:t>
      </w:r>
      <w:r>
        <w:rPr>
          <w:rFonts w:hint="eastAsia"/>
          <w:szCs w:val="24"/>
        </w:rPr>
        <w:t>谈判响应方基本情况：谈判响应方基本情况表、</w:t>
      </w:r>
      <w:r>
        <w:rPr>
          <w:szCs w:val="24"/>
        </w:rPr>
        <w:t>企业营业执照、</w:t>
      </w:r>
      <w:r>
        <w:rPr>
          <w:rFonts w:hint="eastAsia"/>
          <w:szCs w:val="24"/>
        </w:rPr>
        <w:t>相应证书、获奖证书等</w:t>
      </w:r>
      <w:r>
        <w:rPr>
          <w:rFonts w:hint="eastAsia" w:hAnsiTheme="minorEastAsia"/>
          <w:kern w:val="0"/>
        </w:rPr>
        <w:t>......页码</w:t>
      </w:r>
    </w:p>
    <w:p>
      <w:pPr>
        <w:spacing w:before="120" w:beforeLines="50" w:after="120" w:afterLines="50"/>
        <w:ind w:firstLine="420" w:firstLineChars="200"/>
        <w:rPr>
          <w:szCs w:val="24"/>
        </w:rPr>
      </w:pPr>
      <w:r>
        <w:rPr>
          <w:rFonts w:hint="eastAsia"/>
          <w:szCs w:val="24"/>
        </w:rPr>
        <w:t>（2）提供自谈判公告发布之日起至响应截止日内任意时间的</w:t>
      </w:r>
      <w:r>
        <w:rPr>
          <w:szCs w:val="24"/>
        </w:rPr>
        <w:t>“</w:t>
      </w:r>
      <w:r>
        <w:rPr>
          <w:rFonts w:hint="eastAsia"/>
          <w:szCs w:val="24"/>
        </w:rPr>
        <w:t>信用中国</w:t>
      </w:r>
      <w:r>
        <w:rPr>
          <w:szCs w:val="24"/>
        </w:rPr>
        <w:t>”</w:t>
      </w:r>
      <w:r>
        <w:rPr>
          <w:rFonts w:hint="eastAsia"/>
          <w:szCs w:val="24"/>
        </w:rPr>
        <w:t>网站</w:t>
      </w:r>
      <w:r>
        <w:rPr>
          <w:szCs w:val="24"/>
        </w:rPr>
        <w:t>(www.creditchina.gov.cn)</w:t>
      </w:r>
      <w:r>
        <w:rPr>
          <w:rFonts w:hint="eastAsia"/>
          <w:szCs w:val="24"/>
        </w:rPr>
        <w:t>、中国政府采购网</w:t>
      </w:r>
      <w:r>
        <w:rPr>
          <w:szCs w:val="24"/>
        </w:rPr>
        <w:t>(www.ccgp.gov.cn)</w:t>
      </w:r>
      <w:r>
        <w:rPr>
          <w:rFonts w:hint="eastAsia"/>
          <w:szCs w:val="24"/>
        </w:rPr>
        <w:t>谈判响应方信用查询网页截图。</w:t>
      </w:r>
      <w:r>
        <w:rPr>
          <w:szCs w:val="24"/>
        </w:rPr>
        <w:t>(</w:t>
      </w:r>
      <w:r>
        <w:rPr>
          <w:rFonts w:hint="eastAsia"/>
          <w:szCs w:val="24"/>
        </w:rPr>
        <w:t>以谈判当日招标人或由招标人委托的谈判小组核实的查询结果为准</w:t>
      </w:r>
      <w:r>
        <w:rPr>
          <w:szCs w:val="24"/>
        </w:rPr>
        <w:t>)</w:t>
      </w:r>
      <w:r>
        <w:rPr>
          <w:rFonts w:hint="eastAsia" w:hAnsiTheme="minorEastAsia"/>
          <w:kern w:val="0"/>
        </w:rPr>
        <w:t xml:space="preserve"> ....................................................................................................................页码</w:t>
      </w:r>
    </w:p>
    <w:p>
      <w:pPr>
        <w:spacing w:before="120" w:beforeLines="50" w:after="120" w:afterLines="50"/>
        <w:ind w:firstLine="420" w:firstLineChars="200"/>
        <w:rPr>
          <w:rFonts w:hAnsiTheme="minorEastAsia"/>
          <w:kern w:val="0"/>
        </w:rPr>
      </w:pPr>
      <w:r>
        <w:rPr>
          <w:rFonts w:hint="eastAsia" w:hAnsiTheme="minorEastAsia"/>
          <w:kern w:val="0"/>
          <w:szCs w:val="24"/>
        </w:rPr>
        <w:t>（3）满足公告要求的业绩（需提供合同复印件，原件备查）</w:t>
      </w:r>
      <w:r>
        <w:rPr>
          <w:rFonts w:hint="eastAsia" w:hAnsiTheme="minorEastAsia"/>
          <w:kern w:val="0"/>
        </w:rPr>
        <w:t>................................................页码</w:t>
      </w:r>
    </w:p>
    <w:p>
      <w:pPr>
        <w:spacing w:before="120" w:beforeLines="50" w:after="120" w:afterLines="50"/>
        <w:ind w:firstLine="420" w:firstLineChars="200"/>
        <w:rPr>
          <w:rFonts w:eastAsiaTheme="minorEastAsia"/>
          <w:szCs w:val="24"/>
        </w:rPr>
      </w:pPr>
      <w:r>
        <w:rPr>
          <w:rFonts w:hint="eastAsia" w:hAnsiTheme="minorEastAsia"/>
          <w:kern w:val="0"/>
          <w:szCs w:val="24"/>
        </w:rPr>
        <w:t>（4）</w:t>
      </w:r>
      <w:r>
        <w:rPr>
          <w:rFonts w:hint="eastAsia" w:eastAsiaTheme="minorEastAsia"/>
          <w:szCs w:val="21"/>
        </w:rPr>
        <w:t>谈判响应方</w:t>
      </w:r>
      <w:r>
        <w:rPr>
          <w:rFonts w:eastAsiaTheme="minorEastAsia"/>
          <w:szCs w:val="21"/>
        </w:rPr>
        <w:t>认为需要提供的其他资料</w:t>
      </w:r>
      <w:r>
        <w:rPr>
          <w:rFonts w:hint="eastAsia" w:eastAsiaTheme="minorEastAsia"/>
          <w:szCs w:val="21"/>
        </w:rPr>
        <w:t>（如与评分关的其它资料）</w:t>
      </w:r>
      <w:r>
        <w:rPr>
          <w:rFonts w:hint="eastAsia" w:hAnsiTheme="minorEastAsia"/>
          <w:kern w:val="0"/>
        </w:rPr>
        <w:t>..............................页码</w:t>
      </w:r>
    </w:p>
    <w:p>
      <w:pPr>
        <w:pStyle w:val="79"/>
        <w:spacing w:before="120" w:beforeLines="50" w:after="120" w:afterLines="50"/>
        <w:ind w:firstLine="422"/>
        <w:rPr>
          <w:szCs w:val="24"/>
          <w:lang w:val="en-US"/>
        </w:rPr>
      </w:pPr>
      <w:r>
        <w:rPr>
          <w:rFonts w:hint="eastAsia"/>
          <w:b/>
          <w:szCs w:val="24"/>
        </w:rPr>
        <w:t>（以上材料如为复印件，需加盖公章）</w:t>
      </w:r>
    </w:p>
    <w:p>
      <w:pPr>
        <w:ind w:firstLine="420" w:firstLineChars="200"/>
        <w:sectPr>
          <w:pgSz w:w="11906" w:h="16838"/>
          <w:pgMar w:top="1440" w:right="1080" w:bottom="1440" w:left="1080" w:header="624" w:footer="624" w:gutter="0"/>
          <w:cols w:space="425" w:num="1"/>
          <w:docGrid w:linePitch="312" w:charSpace="0"/>
        </w:sectPr>
      </w:pPr>
    </w:p>
    <w:p>
      <w:pPr>
        <w:pStyle w:val="42"/>
        <w:spacing w:before="120" w:after="120"/>
        <w:outlineLvl w:val="9"/>
      </w:pPr>
      <w:bookmarkStart w:id="97" w:name="_Toc6301904"/>
      <w:r>
        <w:rPr>
          <w:rFonts w:hint="eastAsia"/>
        </w:rPr>
        <w:t>谈判响应方基本情况表</w:t>
      </w:r>
      <w:bookmarkEnd w:id="97"/>
    </w:p>
    <w:tbl>
      <w:tblPr>
        <w:tblStyle w:val="55"/>
        <w:tblW w:w="91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1053"/>
        <w:gridCol w:w="1469"/>
        <w:gridCol w:w="854"/>
        <w:gridCol w:w="1453"/>
        <w:gridCol w:w="1005"/>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1658" w:type="dxa"/>
            <w:vAlign w:val="center"/>
          </w:tcPr>
          <w:p>
            <w:pPr>
              <w:pStyle w:val="270"/>
              <w:rPr>
                <w:szCs w:val="21"/>
              </w:rPr>
            </w:pPr>
            <w:r>
              <w:rPr>
                <w:rFonts w:hint="eastAsia"/>
                <w:szCs w:val="21"/>
              </w:rPr>
              <w:t>谈判响应方名称</w:t>
            </w:r>
          </w:p>
        </w:tc>
        <w:tc>
          <w:tcPr>
            <w:tcW w:w="7490" w:type="dxa"/>
            <w:gridSpan w:val="6"/>
            <w:vAlign w:val="center"/>
          </w:tcPr>
          <w:p>
            <w:pPr>
              <w:pStyle w:val="27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1658" w:type="dxa"/>
            <w:vAlign w:val="center"/>
          </w:tcPr>
          <w:p>
            <w:pPr>
              <w:pStyle w:val="270"/>
              <w:rPr>
                <w:szCs w:val="21"/>
              </w:rPr>
            </w:pPr>
            <w:r>
              <w:rPr>
                <w:rFonts w:hint="eastAsia"/>
                <w:szCs w:val="21"/>
              </w:rPr>
              <w:t>注册地址</w:t>
            </w:r>
          </w:p>
        </w:tc>
        <w:tc>
          <w:tcPr>
            <w:tcW w:w="3376" w:type="dxa"/>
            <w:gridSpan w:val="3"/>
            <w:vAlign w:val="center"/>
          </w:tcPr>
          <w:p>
            <w:pPr>
              <w:pStyle w:val="270"/>
              <w:rPr>
                <w:szCs w:val="21"/>
              </w:rPr>
            </w:pPr>
          </w:p>
        </w:tc>
        <w:tc>
          <w:tcPr>
            <w:tcW w:w="1453" w:type="dxa"/>
            <w:vAlign w:val="center"/>
          </w:tcPr>
          <w:p>
            <w:pPr>
              <w:pStyle w:val="270"/>
              <w:rPr>
                <w:szCs w:val="21"/>
              </w:rPr>
            </w:pPr>
            <w:r>
              <w:rPr>
                <w:rFonts w:hint="eastAsia"/>
                <w:szCs w:val="21"/>
              </w:rPr>
              <w:t>邮政编码</w:t>
            </w:r>
          </w:p>
        </w:tc>
        <w:tc>
          <w:tcPr>
            <w:tcW w:w="2661" w:type="dxa"/>
            <w:gridSpan w:val="2"/>
            <w:vAlign w:val="center"/>
          </w:tcPr>
          <w:p>
            <w:pPr>
              <w:pStyle w:val="27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1658" w:type="dxa"/>
            <w:vMerge w:val="restart"/>
            <w:vAlign w:val="center"/>
          </w:tcPr>
          <w:p>
            <w:pPr>
              <w:pStyle w:val="270"/>
              <w:rPr>
                <w:szCs w:val="21"/>
              </w:rPr>
            </w:pPr>
            <w:r>
              <w:rPr>
                <w:rFonts w:hint="eastAsia"/>
                <w:szCs w:val="21"/>
              </w:rPr>
              <w:t>联系方式</w:t>
            </w:r>
          </w:p>
        </w:tc>
        <w:tc>
          <w:tcPr>
            <w:tcW w:w="1053" w:type="dxa"/>
            <w:vAlign w:val="center"/>
          </w:tcPr>
          <w:p>
            <w:pPr>
              <w:pStyle w:val="270"/>
              <w:rPr>
                <w:szCs w:val="21"/>
              </w:rPr>
            </w:pPr>
            <w:r>
              <w:rPr>
                <w:rFonts w:hint="eastAsia"/>
                <w:szCs w:val="21"/>
              </w:rPr>
              <w:t>联系人</w:t>
            </w:r>
          </w:p>
        </w:tc>
        <w:tc>
          <w:tcPr>
            <w:tcW w:w="2323" w:type="dxa"/>
            <w:gridSpan w:val="2"/>
            <w:vAlign w:val="center"/>
          </w:tcPr>
          <w:p>
            <w:pPr>
              <w:pStyle w:val="270"/>
              <w:rPr>
                <w:szCs w:val="21"/>
              </w:rPr>
            </w:pPr>
          </w:p>
        </w:tc>
        <w:tc>
          <w:tcPr>
            <w:tcW w:w="1453" w:type="dxa"/>
            <w:vAlign w:val="center"/>
          </w:tcPr>
          <w:p>
            <w:pPr>
              <w:pStyle w:val="270"/>
              <w:rPr>
                <w:szCs w:val="21"/>
              </w:rPr>
            </w:pPr>
            <w:r>
              <w:rPr>
                <w:rFonts w:hint="eastAsia"/>
                <w:szCs w:val="21"/>
              </w:rPr>
              <w:t>电话</w:t>
            </w:r>
          </w:p>
        </w:tc>
        <w:tc>
          <w:tcPr>
            <w:tcW w:w="2661" w:type="dxa"/>
            <w:gridSpan w:val="2"/>
            <w:vAlign w:val="center"/>
          </w:tcPr>
          <w:p>
            <w:pPr>
              <w:pStyle w:val="27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1658" w:type="dxa"/>
            <w:vMerge w:val="continue"/>
            <w:vAlign w:val="center"/>
          </w:tcPr>
          <w:p>
            <w:pPr>
              <w:pStyle w:val="270"/>
              <w:rPr>
                <w:szCs w:val="21"/>
              </w:rPr>
            </w:pPr>
          </w:p>
        </w:tc>
        <w:tc>
          <w:tcPr>
            <w:tcW w:w="1053" w:type="dxa"/>
            <w:vAlign w:val="center"/>
          </w:tcPr>
          <w:p>
            <w:pPr>
              <w:pStyle w:val="270"/>
              <w:rPr>
                <w:szCs w:val="21"/>
              </w:rPr>
            </w:pPr>
            <w:r>
              <w:rPr>
                <w:rFonts w:hint="eastAsia"/>
                <w:szCs w:val="21"/>
              </w:rPr>
              <w:t>传真</w:t>
            </w:r>
          </w:p>
        </w:tc>
        <w:tc>
          <w:tcPr>
            <w:tcW w:w="2323" w:type="dxa"/>
            <w:gridSpan w:val="2"/>
            <w:vAlign w:val="center"/>
          </w:tcPr>
          <w:p>
            <w:pPr>
              <w:pStyle w:val="270"/>
              <w:rPr>
                <w:szCs w:val="21"/>
              </w:rPr>
            </w:pPr>
          </w:p>
        </w:tc>
        <w:tc>
          <w:tcPr>
            <w:tcW w:w="1453" w:type="dxa"/>
            <w:vAlign w:val="center"/>
          </w:tcPr>
          <w:p>
            <w:pPr>
              <w:pStyle w:val="270"/>
              <w:rPr>
                <w:szCs w:val="21"/>
              </w:rPr>
            </w:pPr>
            <w:r>
              <w:rPr>
                <w:rFonts w:hint="eastAsia"/>
                <w:szCs w:val="21"/>
              </w:rPr>
              <w:t>网址</w:t>
            </w:r>
          </w:p>
        </w:tc>
        <w:tc>
          <w:tcPr>
            <w:tcW w:w="2661" w:type="dxa"/>
            <w:gridSpan w:val="2"/>
            <w:vAlign w:val="center"/>
          </w:tcPr>
          <w:p>
            <w:pPr>
              <w:pStyle w:val="27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1658" w:type="dxa"/>
            <w:vAlign w:val="center"/>
          </w:tcPr>
          <w:p>
            <w:pPr>
              <w:pStyle w:val="270"/>
              <w:rPr>
                <w:szCs w:val="21"/>
              </w:rPr>
            </w:pPr>
            <w:r>
              <w:rPr>
                <w:rFonts w:hint="eastAsia"/>
                <w:szCs w:val="21"/>
              </w:rPr>
              <w:t>法定代表人</w:t>
            </w:r>
          </w:p>
        </w:tc>
        <w:tc>
          <w:tcPr>
            <w:tcW w:w="1053" w:type="dxa"/>
            <w:vAlign w:val="center"/>
          </w:tcPr>
          <w:p>
            <w:pPr>
              <w:pStyle w:val="270"/>
              <w:rPr>
                <w:szCs w:val="21"/>
              </w:rPr>
            </w:pPr>
            <w:r>
              <w:rPr>
                <w:rFonts w:hint="eastAsia"/>
                <w:szCs w:val="21"/>
              </w:rPr>
              <w:t>姓名</w:t>
            </w:r>
          </w:p>
        </w:tc>
        <w:tc>
          <w:tcPr>
            <w:tcW w:w="1469" w:type="dxa"/>
            <w:vAlign w:val="center"/>
          </w:tcPr>
          <w:p>
            <w:pPr>
              <w:pStyle w:val="270"/>
              <w:rPr>
                <w:szCs w:val="21"/>
              </w:rPr>
            </w:pPr>
          </w:p>
        </w:tc>
        <w:tc>
          <w:tcPr>
            <w:tcW w:w="854" w:type="dxa"/>
            <w:vAlign w:val="center"/>
          </w:tcPr>
          <w:p>
            <w:pPr>
              <w:pStyle w:val="270"/>
              <w:rPr>
                <w:szCs w:val="21"/>
              </w:rPr>
            </w:pPr>
            <w:r>
              <w:rPr>
                <w:rFonts w:hint="eastAsia"/>
                <w:szCs w:val="21"/>
              </w:rPr>
              <w:t>职称</w:t>
            </w:r>
          </w:p>
        </w:tc>
        <w:tc>
          <w:tcPr>
            <w:tcW w:w="1453" w:type="dxa"/>
            <w:vAlign w:val="center"/>
          </w:tcPr>
          <w:p>
            <w:pPr>
              <w:pStyle w:val="270"/>
              <w:rPr>
                <w:szCs w:val="21"/>
              </w:rPr>
            </w:pPr>
          </w:p>
        </w:tc>
        <w:tc>
          <w:tcPr>
            <w:tcW w:w="1005" w:type="dxa"/>
            <w:vAlign w:val="center"/>
          </w:tcPr>
          <w:p>
            <w:pPr>
              <w:pStyle w:val="270"/>
              <w:rPr>
                <w:szCs w:val="21"/>
              </w:rPr>
            </w:pPr>
            <w:r>
              <w:rPr>
                <w:rFonts w:hint="eastAsia"/>
                <w:szCs w:val="21"/>
              </w:rPr>
              <w:t>电话</w:t>
            </w:r>
          </w:p>
        </w:tc>
        <w:tc>
          <w:tcPr>
            <w:tcW w:w="1656" w:type="dxa"/>
            <w:vAlign w:val="center"/>
          </w:tcPr>
          <w:p>
            <w:pPr>
              <w:pStyle w:val="27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1658" w:type="dxa"/>
            <w:vAlign w:val="center"/>
          </w:tcPr>
          <w:p>
            <w:pPr>
              <w:pStyle w:val="270"/>
              <w:rPr>
                <w:szCs w:val="21"/>
              </w:rPr>
            </w:pPr>
            <w:r>
              <w:rPr>
                <w:rFonts w:hint="eastAsia"/>
                <w:szCs w:val="21"/>
              </w:rPr>
              <w:t>企业负责人</w:t>
            </w:r>
          </w:p>
        </w:tc>
        <w:tc>
          <w:tcPr>
            <w:tcW w:w="1053" w:type="dxa"/>
            <w:vAlign w:val="center"/>
          </w:tcPr>
          <w:p>
            <w:pPr>
              <w:pStyle w:val="270"/>
              <w:rPr>
                <w:szCs w:val="21"/>
              </w:rPr>
            </w:pPr>
            <w:r>
              <w:rPr>
                <w:rFonts w:hint="eastAsia"/>
                <w:szCs w:val="21"/>
              </w:rPr>
              <w:t>姓名</w:t>
            </w:r>
          </w:p>
        </w:tc>
        <w:tc>
          <w:tcPr>
            <w:tcW w:w="1469" w:type="dxa"/>
            <w:vAlign w:val="center"/>
          </w:tcPr>
          <w:p>
            <w:pPr>
              <w:pStyle w:val="270"/>
              <w:rPr>
                <w:szCs w:val="21"/>
              </w:rPr>
            </w:pPr>
          </w:p>
        </w:tc>
        <w:tc>
          <w:tcPr>
            <w:tcW w:w="854" w:type="dxa"/>
            <w:vAlign w:val="center"/>
          </w:tcPr>
          <w:p>
            <w:pPr>
              <w:pStyle w:val="270"/>
              <w:rPr>
                <w:szCs w:val="21"/>
              </w:rPr>
            </w:pPr>
            <w:r>
              <w:rPr>
                <w:rFonts w:hint="eastAsia"/>
                <w:szCs w:val="21"/>
              </w:rPr>
              <w:t>职称</w:t>
            </w:r>
          </w:p>
        </w:tc>
        <w:tc>
          <w:tcPr>
            <w:tcW w:w="1453" w:type="dxa"/>
            <w:vAlign w:val="center"/>
          </w:tcPr>
          <w:p>
            <w:pPr>
              <w:pStyle w:val="270"/>
              <w:rPr>
                <w:szCs w:val="21"/>
              </w:rPr>
            </w:pPr>
          </w:p>
        </w:tc>
        <w:tc>
          <w:tcPr>
            <w:tcW w:w="1005" w:type="dxa"/>
            <w:vAlign w:val="center"/>
          </w:tcPr>
          <w:p>
            <w:pPr>
              <w:pStyle w:val="270"/>
              <w:rPr>
                <w:szCs w:val="21"/>
              </w:rPr>
            </w:pPr>
            <w:r>
              <w:rPr>
                <w:rFonts w:hint="eastAsia"/>
                <w:szCs w:val="21"/>
              </w:rPr>
              <w:t>电话</w:t>
            </w:r>
          </w:p>
        </w:tc>
        <w:tc>
          <w:tcPr>
            <w:tcW w:w="1656" w:type="dxa"/>
            <w:vAlign w:val="center"/>
          </w:tcPr>
          <w:p>
            <w:pPr>
              <w:pStyle w:val="27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1658" w:type="dxa"/>
            <w:vAlign w:val="center"/>
          </w:tcPr>
          <w:p>
            <w:pPr>
              <w:pStyle w:val="270"/>
              <w:rPr>
                <w:szCs w:val="21"/>
              </w:rPr>
            </w:pPr>
            <w:r>
              <w:rPr>
                <w:rFonts w:hint="eastAsia"/>
                <w:szCs w:val="21"/>
              </w:rPr>
              <w:t>企业资质等级</w:t>
            </w:r>
          </w:p>
        </w:tc>
        <w:tc>
          <w:tcPr>
            <w:tcW w:w="2522" w:type="dxa"/>
            <w:gridSpan w:val="2"/>
            <w:vAlign w:val="center"/>
          </w:tcPr>
          <w:p>
            <w:pPr>
              <w:pStyle w:val="270"/>
              <w:rPr>
                <w:szCs w:val="21"/>
              </w:rPr>
            </w:pPr>
          </w:p>
        </w:tc>
        <w:tc>
          <w:tcPr>
            <w:tcW w:w="2307" w:type="dxa"/>
            <w:gridSpan w:val="2"/>
            <w:vAlign w:val="center"/>
          </w:tcPr>
          <w:p>
            <w:pPr>
              <w:pStyle w:val="270"/>
              <w:rPr>
                <w:szCs w:val="21"/>
              </w:rPr>
            </w:pPr>
            <w:r>
              <w:rPr>
                <w:rFonts w:hint="eastAsia"/>
                <w:szCs w:val="21"/>
              </w:rPr>
              <w:t>营业执照号</w:t>
            </w:r>
          </w:p>
        </w:tc>
        <w:tc>
          <w:tcPr>
            <w:tcW w:w="2661" w:type="dxa"/>
            <w:gridSpan w:val="2"/>
            <w:vAlign w:val="center"/>
          </w:tcPr>
          <w:p>
            <w:pPr>
              <w:pStyle w:val="27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2" w:hRule="atLeast"/>
          <w:jc w:val="center"/>
        </w:trPr>
        <w:tc>
          <w:tcPr>
            <w:tcW w:w="1658" w:type="dxa"/>
            <w:vAlign w:val="center"/>
          </w:tcPr>
          <w:p>
            <w:pPr>
              <w:pStyle w:val="270"/>
              <w:rPr>
                <w:szCs w:val="21"/>
              </w:rPr>
            </w:pPr>
            <w:r>
              <w:rPr>
                <w:rFonts w:hint="eastAsia"/>
                <w:szCs w:val="21"/>
              </w:rPr>
              <w:t>资信等级</w:t>
            </w:r>
          </w:p>
        </w:tc>
        <w:tc>
          <w:tcPr>
            <w:tcW w:w="2522" w:type="dxa"/>
            <w:gridSpan w:val="2"/>
            <w:vAlign w:val="center"/>
          </w:tcPr>
          <w:p>
            <w:pPr>
              <w:pStyle w:val="270"/>
              <w:rPr>
                <w:szCs w:val="21"/>
              </w:rPr>
            </w:pPr>
          </w:p>
        </w:tc>
        <w:tc>
          <w:tcPr>
            <w:tcW w:w="2307" w:type="dxa"/>
            <w:gridSpan w:val="2"/>
            <w:vAlign w:val="center"/>
          </w:tcPr>
          <w:p>
            <w:pPr>
              <w:pStyle w:val="270"/>
              <w:rPr>
                <w:szCs w:val="21"/>
              </w:rPr>
            </w:pPr>
          </w:p>
        </w:tc>
        <w:tc>
          <w:tcPr>
            <w:tcW w:w="2661" w:type="dxa"/>
            <w:gridSpan w:val="2"/>
            <w:vAlign w:val="center"/>
          </w:tcPr>
          <w:p>
            <w:pPr>
              <w:pStyle w:val="27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2" w:hRule="atLeast"/>
          <w:jc w:val="center"/>
        </w:trPr>
        <w:tc>
          <w:tcPr>
            <w:tcW w:w="1658" w:type="dxa"/>
            <w:vAlign w:val="center"/>
          </w:tcPr>
          <w:p>
            <w:pPr>
              <w:pStyle w:val="270"/>
              <w:rPr>
                <w:szCs w:val="21"/>
              </w:rPr>
            </w:pPr>
            <w:r>
              <w:rPr>
                <w:rFonts w:hint="eastAsia"/>
                <w:szCs w:val="21"/>
              </w:rPr>
              <w:t>环境管理体系认证</w:t>
            </w:r>
          </w:p>
        </w:tc>
        <w:tc>
          <w:tcPr>
            <w:tcW w:w="2522" w:type="dxa"/>
            <w:gridSpan w:val="2"/>
            <w:vAlign w:val="center"/>
          </w:tcPr>
          <w:p>
            <w:pPr>
              <w:pStyle w:val="270"/>
              <w:rPr>
                <w:szCs w:val="21"/>
              </w:rPr>
            </w:pPr>
          </w:p>
        </w:tc>
        <w:tc>
          <w:tcPr>
            <w:tcW w:w="2307" w:type="dxa"/>
            <w:gridSpan w:val="2"/>
            <w:vAlign w:val="center"/>
          </w:tcPr>
          <w:p>
            <w:pPr>
              <w:pStyle w:val="270"/>
              <w:rPr>
                <w:szCs w:val="21"/>
              </w:rPr>
            </w:pPr>
            <w:r>
              <w:rPr>
                <w:rFonts w:hint="eastAsia"/>
                <w:szCs w:val="21"/>
              </w:rPr>
              <w:t>职业安全健康管理体系认证</w:t>
            </w:r>
          </w:p>
        </w:tc>
        <w:tc>
          <w:tcPr>
            <w:tcW w:w="2661" w:type="dxa"/>
            <w:gridSpan w:val="2"/>
            <w:vAlign w:val="center"/>
          </w:tcPr>
          <w:p>
            <w:pPr>
              <w:pStyle w:val="27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1" w:hRule="atLeast"/>
          <w:jc w:val="center"/>
        </w:trPr>
        <w:tc>
          <w:tcPr>
            <w:tcW w:w="1658" w:type="dxa"/>
            <w:vAlign w:val="center"/>
          </w:tcPr>
          <w:p>
            <w:pPr>
              <w:pStyle w:val="270"/>
              <w:rPr>
                <w:szCs w:val="21"/>
              </w:rPr>
            </w:pPr>
            <w:r>
              <w:rPr>
                <w:rFonts w:hint="eastAsia"/>
                <w:szCs w:val="21"/>
              </w:rPr>
              <w:t>注册资金</w:t>
            </w:r>
          </w:p>
        </w:tc>
        <w:tc>
          <w:tcPr>
            <w:tcW w:w="2522" w:type="dxa"/>
            <w:gridSpan w:val="2"/>
            <w:vAlign w:val="center"/>
          </w:tcPr>
          <w:p>
            <w:pPr>
              <w:pStyle w:val="270"/>
              <w:rPr>
                <w:szCs w:val="21"/>
              </w:rPr>
            </w:pPr>
            <w:r>
              <w:rPr>
                <w:rFonts w:hint="eastAsia"/>
                <w:szCs w:val="21"/>
              </w:rPr>
              <w:t>万元</w:t>
            </w:r>
          </w:p>
        </w:tc>
        <w:tc>
          <w:tcPr>
            <w:tcW w:w="2307" w:type="dxa"/>
            <w:gridSpan w:val="2"/>
            <w:vAlign w:val="center"/>
          </w:tcPr>
          <w:p>
            <w:pPr>
              <w:pStyle w:val="270"/>
              <w:rPr>
                <w:szCs w:val="21"/>
              </w:rPr>
            </w:pPr>
            <w:r>
              <w:rPr>
                <w:rFonts w:hint="eastAsia"/>
                <w:szCs w:val="21"/>
              </w:rPr>
              <w:t>固定资产净值</w:t>
            </w:r>
          </w:p>
        </w:tc>
        <w:tc>
          <w:tcPr>
            <w:tcW w:w="2661" w:type="dxa"/>
            <w:gridSpan w:val="2"/>
            <w:vAlign w:val="center"/>
          </w:tcPr>
          <w:p>
            <w:pPr>
              <w:pStyle w:val="270"/>
              <w:rPr>
                <w:szCs w:val="21"/>
              </w:rPr>
            </w:pPr>
            <w:r>
              <w:rPr>
                <w:rFonts w:hint="eastAsia"/>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1" w:hRule="atLeast"/>
          <w:jc w:val="center"/>
        </w:trPr>
        <w:tc>
          <w:tcPr>
            <w:tcW w:w="1658" w:type="dxa"/>
            <w:vAlign w:val="center"/>
          </w:tcPr>
          <w:p>
            <w:pPr>
              <w:pStyle w:val="270"/>
              <w:rPr>
                <w:szCs w:val="21"/>
              </w:rPr>
            </w:pPr>
            <w:r>
              <w:rPr>
                <w:rFonts w:hint="eastAsia"/>
                <w:szCs w:val="21"/>
              </w:rPr>
              <w:t>流动资产</w:t>
            </w:r>
          </w:p>
        </w:tc>
        <w:tc>
          <w:tcPr>
            <w:tcW w:w="2522" w:type="dxa"/>
            <w:gridSpan w:val="2"/>
            <w:vAlign w:val="center"/>
          </w:tcPr>
          <w:p>
            <w:pPr>
              <w:pStyle w:val="270"/>
              <w:rPr>
                <w:szCs w:val="21"/>
              </w:rPr>
            </w:pPr>
            <w:r>
              <w:rPr>
                <w:rFonts w:hint="eastAsia"/>
                <w:szCs w:val="21"/>
              </w:rPr>
              <w:t>万元</w:t>
            </w:r>
          </w:p>
        </w:tc>
        <w:tc>
          <w:tcPr>
            <w:tcW w:w="2307" w:type="dxa"/>
            <w:gridSpan w:val="2"/>
            <w:vAlign w:val="center"/>
          </w:tcPr>
          <w:p>
            <w:pPr>
              <w:pStyle w:val="270"/>
              <w:rPr>
                <w:szCs w:val="21"/>
              </w:rPr>
            </w:pPr>
          </w:p>
        </w:tc>
        <w:tc>
          <w:tcPr>
            <w:tcW w:w="2661" w:type="dxa"/>
            <w:gridSpan w:val="2"/>
            <w:vAlign w:val="center"/>
          </w:tcPr>
          <w:p>
            <w:pPr>
              <w:pStyle w:val="27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1" w:hRule="atLeast"/>
          <w:jc w:val="center"/>
        </w:trPr>
        <w:tc>
          <w:tcPr>
            <w:tcW w:w="1658" w:type="dxa"/>
            <w:vAlign w:val="center"/>
          </w:tcPr>
          <w:p>
            <w:pPr>
              <w:pStyle w:val="270"/>
              <w:rPr>
                <w:szCs w:val="21"/>
              </w:rPr>
            </w:pPr>
            <w:r>
              <w:rPr>
                <w:rFonts w:hint="eastAsia"/>
                <w:szCs w:val="21"/>
              </w:rPr>
              <w:t>开户银行</w:t>
            </w:r>
          </w:p>
        </w:tc>
        <w:tc>
          <w:tcPr>
            <w:tcW w:w="2522" w:type="dxa"/>
            <w:gridSpan w:val="2"/>
            <w:vAlign w:val="center"/>
          </w:tcPr>
          <w:p>
            <w:pPr>
              <w:pStyle w:val="270"/>
              <w:rPr>
                <w:szCs w:val="21"/>
              </w:rPr>
            </w:pPr>
          </w:p>
        </w:tc>
        <w:tc>
          <w:tcPr>
            <w:tcW w:w="2307" w:type="dxa"/>
            <w:gridSpan w:val="2"/>
            <w:vAlign w:val="center"/>
          </w:tcPr>
          <w:p>
            <w:pPr>
              <w:pStyle w:val="270"/>
              <w:rPr>
                <w:szCs w:val="21"/>
              </w:rPr>
            </w:pPr>
            <w:r>
              <w:rPr>
                <w:rFonts w:hint="eastAsia"/>
                <w:szCs w:val="21"/>
              </w:rPr>
              <w:t>帐号</w:t>
            </w:r>
          </w:p>
        </w:tc>
        <w:tc>
          <w:tcPr>
            <w:tcW w:w="2661" w:type="dxa"/>
            <w:gridSpan w:val="2"/>
            <w:vAlign w:val="center"/>
          </w:tcPr>
          <w:p>
            <w:pPr>
              <w:pStyle w:val="27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2" w:hRule="atLeast"/>
          <w:jc w:val="center"/>
        </w:trPr>
        <w:tc>
          <w:tcPr>
            <w:tcW w:w="9148" w:type="dxa"/>
            <w:gridSpan w:val="7"/>
            <w:vAlign w:val="center"/>
          </w:tcPr>
          <w:p>
            <w:pPr>
              <w:pStyle w:val="270"/>
              <w:jc w:val="left"/>
              <w:rPr>
                <w:szCs w:val="21"/>
              </w:rPr>
            </w:pPr>
            <w:r>
              <w:rPr>
                <w:rFonts w:hint="eastAsia"/>
                <w:szCs w:val="21"/>
              </w:rPr>
              <w:t>总人数</w:t>
            </w:r>
            <w:r>
              <w:rPr>
                <w:rFonts w:hint="eastAsia"/>
                <w:szCs w:val="21"/>
                <w:u w:val="single"/>
              </w:rPr>
              <w:t>__</w:t>
            </w:r>
            <w:r>
              <w:rPr>
                <w:rFonts w:hint="eastAsia"/>
                <w:szCs w:val="21"/>
              </w:rPr>
              <w:t>人，其中：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5" w:hRule="atLeast"/>
          <w:jc w:val="center"/>
        </w:trPr>
        <w:tc>
          <w:tcPr>
            <w:tcW w:w="1658" w:type="dxa"/>
            <w:vAlign w:val="center"/>
          </w:tcPr>
          <w:p>
            <w:pPr>
              <w:pStyle w:val="270"/>
              <w:rPr>
                <w:szCs w:val="21"/>
              </w:rPr>
            </w:pPr>
            <w:r>
              <w:rPr>
                <w:rFonts w:hint="eastAsia"/>
                <w:szCs w:val="21"/>
              </w:rPr>
              <w:t>经营范围</w:t>
            </w:r>
          </w:p>
        </w:tc>
        <w:tc>
          <w:tcPr>
            <w:tcW w:w="7490" w:type="dxa"/>
            <w:gridSpan w:val="6"/>
            <w:vAlign w:val="center"/>
          </w:tcPr>
          <w:p>
            <w:pPr>
              <w:pStyle w:val="27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1658" w:type="dxa"/>
            <w:vAlign w:val="center"/>
          </w:tcPr>
          <w:p>
            <w:pPr>
              <w:pStyle w:val="270"/>
              <w:rPr>
                <w:szCs w:val="21"/>
              </w:rPr>
            </w:pPr>
            <w:r>
              <w:rPr>
                <w:rFonts w:hint="eastAsia"/>
                <w:szCs w:val="21"/>
              </w:rPr>
              <w:t>主要业绩</w:t>
            </w:r>
          </w:p>
        </w:tc>
        <w:tc>
          <w:tcPr>
            <w:tcW w:w="7490" w:type="dxa"/>
            <w:gridSpan w:val="6"/>
            <w:vAlign w:val="center"/>
          </w:tcPr>
          <w:p>
            <w:pPr>
              <w:pStyle w:val="27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1658" w:type="dxa"/>
            <w:vAlign w:val="center"/>
          </w:tcPr>
          <w:p>
            <w:pPr>
              <w:pStyle w:val="270"/>
              <w:rPr>
                <w:szCs w:val="21"/>
              </w:rPr>
            </w:pPr>
            <w:r>
              <w:rPr>
                <w:rFonts w:hint="eastAsia"/>
                <w:szCs w:val="21"/>
              </w:rPr>
              <w:t>备注</w:t>
            </w:r>
          </w:p>
        </w:tc>
        <w:tc>
          <w:tcPr>
            <w:tcW w:w="7490" w:type="dxa"/>
            <w:gridSpan w:val="6"/>
            <w:vAlign w:val="center"/>
          </w:tcPr>
          <w:p>
            <w:pPr>
              <w:pStyle w:val="270"/>
              <w:rPr>
                <w:szCs w:val="21"/>
              </w:rPr>
            </w:pPr>
          </w:p>
        </w:tc>
      </w:tr>
    </w:tbl>
    <w:p>
      <w:pPr>
        <w:spacing w:before="120" w:beforeLines="50" w:after="120" w:afterLines="50"/>
        <w:ind w:firstLine="480"/>
        <w:rPr>
          <w:rFonts w:ascii="宋体"/>
          <w:szCs w:val="21"/>
        </w:rPr>
      </w:pPr>
    </w:p>
    <w:p>
      <w:pPr>
        <w:spacing w:before="120" w:beforeLines="50" w:after="120" w:afterLines="50"/>
        <w:ind w:firstLine="480"/>
        <w:rPr>
          <w:rFonts w:ascii="宋体"/>
          <w:szCs w:val="21"/>
        </w:rPr>
      </w:pPr>
    </w:p>
    <w:p>
      <w:pPr>
        <w:spacing w:before="120" w:beforeLines="50" w:after="120" w:afterLines="50"/>
        <w:ind w:firstLine="480"/>
        <w:jc w:val="center"/>
        <w:rPr>
          <w:rFonts w:ascii="宋体"/>
          <w:szCs w:val="21"/>
        </w:rPr>
      </w:pPr>
    </w:p>
    <w:p>
      <w:pPr>
        <w:spacing w:before="120" w:beforeLines="50" w:after="120" w:afterLines="50"/>
        <w:ind w:firstLine="420" w:firstLineChars="200"/>
        <w:rPr>
          <w:szCs w:val="21"/>
        </w:rPr>
        <w:sectPr>
          <w:type w:val="nextColumn"/>
          <w:pgSz w:w="11906" w:h="16838"/>
          <w:pgMar w:top="1440" w:right="1080" w:bottom="1440" w:left="1080" w:header="624" w:footer="624" w:gutter="0"/>
          <w:cols w:space="425" w:num="1"/>
          <w:docGrid w:linePitch="312" w:charSpace="0"/>
        </w:sectPr>
      </w:pPr>
      <w:r>
        <w:rPr>
          <w:rFonts w:hint="eastAsia" w:hAnsi="宋体"/>
          <w:kern w:val="0"/>
          <w:szCs w:val="21"/>
        </w:rPr>
        <w:t xml:space="preserve">谈判响应方：（盖章）                法定代表人或全权代表：（签字或盖章）  </w:t>
      </w:r>
    </w:p>
    <w:p>
      <w:pPr>
        <w:pStyle w:val="42"/>
        <w:spacing w:beforeLines="0" w:afterLines="0" w:line="360" w:lineRule="auto"/>
        <w:outlineLvl w:val="9"/>
      </w:pPr>
      <w:bookmarkStart w:id="98" w:name="_Toc6301905"/>
      <w:r>
        <w:t>企业营业执照、</w:t>
      </w:r>
      <w:r>
        <w:rPr>
          <w:rFonts w:hint="eastAsia"/>
        </w:rPr>
        <w:t>相应证书、</w:t>
      </w:r>
      <w:bookmarkStart w:id="99" w:name="_Toc6301906"/>
      <w:bookmarkEnd w:id="98"/>
      <w:r>
        <w:rPr>
          <w:rFonts w:hint="eastAsia"/>
        </w:rPr>
        <w:t>获奖证书等</w:t>
      </w:r>
      <w:bookmarkEnd w:id="99"/>
    </w:p>
    <w:p>
      <w:pPr>
        <w:spacing w:before="120" w:beforeLines="50" w:after="120" w:afterLines="50"/>
        <w:jc w:val="center"/>
        <w:rPr>
          <w:szCs w:val="21"/>
        </w:rPr>
      </w:pPr>
      <w:r>
        <w:rPr>
          <w:rFonts w:hint="eastAsia"/>
          <w:szCs w:val="21"/>
        </w:rPr>
        <w:t>(复印件，原件备查）</w:t>
      </w:r>
    </w:p>
    <w:p>
      <w:pPr>
        <w:spacing w:line="360" w:lineRule="auto"/>
        <w:jc w:val="center"/>
        <w:rPr>
          <w:sz w:val="24"/>
        </w:rPr>
      </w:pPr>
    </w:p>
    <w:p>
      <w:pPr>
        <w:spacing w:line="360" w:lineRule="auto"/>
        <w:jc w:val="center"/>
        <w:rPr>
          <w:sz w:val="24"/>
        </w:rPr>
      </w:pPr>
    </w:p>
    <w:p>
      <w:pPr>
        <w:pStyle w:val="42"/>
        <w:spacing w:beforeLines="0" w:afterLines="0" w:line="360" w:lineRule="auto"/>
        <w:outlineLvl w:val="9"/>
      </w:pPr>
      <w:bookmarkStart w:id="100" w:name="_Toc6301907"/>
      <w:r>
        <w:rPr>
          <w:rFonts w:hint="eastAsia"/>
        </w:rPr>
        <w:t>提供自竞争性谈判公告发布之日起至响应截止日内的“信用中国”网站(www.creditchina.gov.cn)、中国政府采购网(www.ccgp.gov.cn)响应方信用查询网页截图。</w:t>
      </w:r>
      <w:bookmarkEnd w:id="100"/>
    </w:p>
    <w:p>
      <w:pPr>
        <w:spacing w:before="120" w:beforeLines="50" w:after="120" w:afterLines="50"/>
        <w:jc w:val="center"/>
        <w:rPr>
          <w:szCs w:val="21"/>
        </w:rPr>
      </w:pPr>
      <w:r>
        <w:rPr>
          <w:szCs w:val="21"/>
        </w:rPr>
        <w:t>(以开标当日</w:t>
      </w:r>
      <w:r>
        <w:rPr>
          <w:rFonts w:hint="eastAsia"/>
          <w:szCs w:val="21"/>
        </w:rPr>
        <w:t>招标人</w:t>
      </w:r>
      <w:r>
        <w:rPr>
          <w:szCs w:val="21"/>
        </w:rPr>
        <w:t>或由</w:t>
      </w:r>
      <w:r>
        <w:rPr>
          <w:rFonts w:hint="eastAsia"/>
          <w:szCs w:val="21"/>
        </w:rPr>
        <w:t>招标人</w:t>
      </w:r>
      <w:r>
        <w:rPr>
          <w:szCs w:val="21"/>
        </w:rPr>
        <w:t>委托的</w:t>
      </w:r>
      <w:r>
        <w:rPr>
          <w:rFonts w:hint="eastAsia"/>
          <w:szCs w:val="21"/>
        </w:rPr>
        <w:t>谈判</w:t>
      </w:r>
      <w:r>
        <w:rPr>
          <w:szCs w:val="21"/>
        </w:rPr>
        <w:t>小组核实的查询结果为准)</w:t>
      </w:r>
    </w:p>
    <w:p>
      <w:pPr>
        <w:spacing w:line="360" w:lineRule="auto"/>
        <w:jc w:val="center"/>
        <w:rPr>
          <w:sz w:val="24"/>
        </w:rPr>
      </w:pPr>
    </w:p>
    <w:p>
      <w:pPr>
        <w:spacing w:line="360" w:lineRule="auto"/>
        <w:jc w:val="center"/>
        <w:rPr>
          <w:rFonts w:asciiTheme="majorHAnsi" w:hAnsiTheme="majorHAnsi" w:cstheme="majorBidi"/>
          <w:b/>
          <w:bCs/>
          <w:sz w:val="36"/>
          <w:szCs w:val="32"/>
        </w:rPr>
      </w:pPr>
    </w:p>
    <w:p>
      <w:pPr>
        <w:spacing w:line="360" w:lineRule="auto"/>
        <w:jc w:val="center"/>
        <w:rPr>
          <w:sz w:val="24"/>
        </w:rPr>
        <w:sectPr>
          <w:type w:val="nextColumn"/>
          <w:pgSz w:w="11906" w:h="16838"/>
          <w:pgMar w:top="1440" w:right="1080" w:bottom="1440" w:left="1080" w:header="624" w:footer="624" w:gutter="0"/>
          <w:cols w:space="425" w:num="1"/>
          <w:docGrid w:linePitch="312" w:charSpace="0"/>
        </w:sectPr>
      </w:pPr>
    </w:p>
    <w:p>
      <w:pPr>
        <w:pStyle w:val="42"/>
        <w:spacing w:before="120" w:after="120"/>
        <w:outlineLvl w:val="9"/>
      </w:pPr>
      <w:bookmarkStart w:id="101" w:name="_Toc6301908"/>
      <w:r>
        <w:t>同类项目实施情况一览表</w:t>
      </w:r>
      <w:bookmarkEnd w:id="101"/>
    </w:p>
    <w:tbl>
      <w:tblPr>
        <w:tblStyle w:val="56"/>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1559"/>
        <w:gridCol w:w="1134"/>
        <w:gridCol w:w="1417"/>
        <w:gridCol w:w="1614"/>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60" w:lineRule="exact"/>
              <w:jc w:val="center"/>
              <w:rPr>
                <w:szCs w:val="21"/>
              </w:rPr>
            </w:pPr>
            <w:r>
              <w:rPr>
                <w:rFonts w:hint="eastAsia"/>
                <w:szCs w:val="21"/>
              </w:rPr>
              <w:t>序号</w:t>
            </w:r>
          </w:p>
        </w:tc>
        <w:tc>
          <w:tcPr>
            <w:tcW w:w="1418" w:type="dxa"/>
            <w:vAlign w:val="center"/>
          </w:tcPr>
          <w:p>
            <w:pPr>
              <w:spacing w:line="560" w:lineRule="exact"/>
              <w:jc w:val="center"/>
              <w:rPr>
                <w:szCs w:val="21"/>
              </w:rPr>
            </w:pPr>
            <w:r>
              <w:rPr>
                <w:rFonts w:hint="eastAsia"/>
                <w:szCs w:val="21"/>
              </w:rPr>
              <w:t>项目名称</w:t>
            </w:r>
          </w:p>
        </w:tc>
        <w:tc>
          <w:tcPr>
            <w:tcW w:w="1559" w:type="dxa"/>
            <w:vAlign w:val="center"/>
          </w:tcPr>
          <w:p>
            <w:pPr>
              <w:spacing w:line="560" w:lineRule="exact"/>
              <w:jc w:val="center"/>
              <w:rPr>
                <w:szCs w:val="21"/>
              </w:rPr>
            </w:pPr>
            <w:r>
              <w:rPr>
                <w:rFonts w:hint="eastAsia"/>
                <w:szCs w:val="21"/>
              </w:rPr>
              <w:t>合同金额</w:t>
            </w:r>
          </w:p>
          <w:p>
            <w:pPr>
              <w:spacing w:line="560" w:lineRule="exact"/>
              <w:jc w:val="center"/>
              <w:rPr>
                <w:szCs w:val="21"/>
              </w:rPr>
            </w:pPr>
            <w:r>
              <w:rPr>
                <w:rFonts w:hint="eastAsia"/>
                <w:szCs w:val="21"/>
              </w:rPr>
              <w:t>（万元）</w:t>
            </w:r>
          </w:p>
        </w:tc>
        <w:tc>
          <w:tcPr>
            <w:tcW w:w="1134" w:type="dxa"/>
            <w:vAlign w:val="center"/>
          </w:tcPr>
          <w:p>
            <w:pPr>
              <w:spacing w:line="560" w:lineRule="exact"/>
              <w:jc w:val="center"/>
              <w:rPr>
                <w:szCs w:val="21"/>
              </w:rPr>
            </w:pPr>
            <w:r>
              <w:rPr>
                <w:rFonts w:hint="eastAsia"/>
                <w:szCs w:val="21"/>
              </w:rPr>
              <w:t>项目业主名称</w:t>
            </w:r>
          </w:p>
        </w:tc>
        <w:tc>
          <w:tcPr>
            <w:tcW w:w="1417" w:type="dxa"/>
            <w:vAlign w:val="center"/>
          </w:tcPr>
          <w:p>
            <w:pPr>
              <w:spacing w:line="560" w:lineRule="exact"/>
              <w:jc w:val="center"/>
              <w:rPr>
                <w:szCs w:val="21"/>
              </w:rPr>
            </w:pPr>
            <w:r>
              <w:rPr>
                <w:rFonts w:hint="eastAsia"/>
                <w:szCs w:val="21"/>
              </w:rPr>
              <w:t>项目业主联系电话</w:t>
            </w:r>
          </w:p>
        </w:tc>
        <w:tc>
          <w:tcPr>
            <w:tcW w:w="1614" w:type="dxa"/>
            <w:vAlign w:val="center"/>
          </w:tcPr>
          <w:p>
            <w:pPr>
              <w:spacing w:line="560" w:lineRule="exact"/>
              <w:jc w:val="center"/>
              <w:rPr>
                <w:szCs w:val="21"/>
              </w:rPr>
            </w:pPr>
            <w:r>
              <w:rPr>
                <w:rFonts w:hint="eastAsia"/>
                <w:szCs w:val="21"/>
              </w:rPr>
              <w:t>所在页码</w:t>
            </w:r>
          </w:p>
        </w:tc>
        <w:tc>
          <w:tcPr>
            <w:tcW w:w="1327" w:type="dxa"/>
            <w:vAlign w:val="center"/>
          </w:tcPr>
          <w:p>
            <w:pPr>
              <w:spacing w:line="560" w:lineRule="exact"/>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60" w:lineRule="exact"/>
              <w:jc w:val="center"/>
              <w:rPr>
                <w:szCs w:val="21"/>
              </w:rPr>
            </w:pPr>
          </w:p>
        </w:tc>
        <w:tc>
          <w:tcPr>
            <w:tcW w:w="1418" w:type="dxa"/>
            <w:vAlign w:val="center"/>
          </w:tcPr>
          <w:p>
            <w:pPr>
              <w:spacing w:line="560" w:lineRule="exact"/>
              <w:jc w:val="center"/>
              <w:rPr>
                <w:szCs w:val="21"/>
              </w:rPr>
            </w:pPr>
          </w:p>
        </w:tc>
        <w:tc>
          <w:tcPr>
            <w:tcW w:w="1559" w:type="dxa"/>
            <w:vAlign w:val="center"/>
          </w:tcPr>
          <w:p>
            <w:pPr>
              <w:spacing w:line="560" w:lineRule="exact"/>
              <w:jc w:val="center"/>
              <w:rPr>
                <w:szCs w:val="21"/>
              </w:rPr>
            </w:pPr>
          </w:p>
        </w:tc>
        <w:tc>
          <w:tcPr>
            <w:tcW w:w="1134" w:type="dxa"/>
            <w:vAlign w:val="center"/>
          </w:tcPr>
          <w:p>
            <w:pPr>
              <w:spacing w:line="560" w:lineRule="exact"/>
              <w:jc w:val="center"/>
              <w:rPr>
                <w:szCs w:val="21"/>
              </w:rPr>
            </w:pPr>
          </w:p>
        </w:tc>
        <w:tc>
          <w:tcPr>
            <w:tcW w:w="1417" w:type="dxa"/>
            <w:vAlign w:val="center"/>
          </w:tcPr>
          <w:p>
            <w:pPr>
              <w:spacing w:line="560" w:lineRule="exact"/>
              <w:jc w:val="center"/>
              <w:rPr>
                <w:szCs w:val="21"/>
              </w:rPr>
            </w:pPr>
          </w:p>
        </w:tc>
        <w:tc>
          <w:tcPr>
            <w:tcW w:w="1614" w:type="dxa"/>
            <w:vAlign w:val="center"/>
          </w:tcPr>
          <w:p>
            <w:pPr>
              <w:spacing w:line="560" w:lineRule="exact"/>
              <w:jc w:val="center"/>
              <w:rPr>
                <w:szCs w:val="21"/>
              </w:rPr>
            </w:pPr>
          </w:p>
        </w:tc>
        <w:tc>
          <w:tcPr>
            <w:tcW w:w="1327" w:type="dxa"/>
            <w:vAlign w:val="center"/>
          </w:tcPr>
          <w:p>
            <w:pPr>
              <w:spacing w:line="5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60" w:lineRule="exact"/>
              <w:jc w:val="center"/>
              <w:rPr>
                <w:szCs w:val="21"/>
              </w:rPr>
            </w:pPr>
          </w:p>
        </w:tc>
        <w:tc>
          <w:tcPr>
            <w:tcW w:w="1418" w:type="dxa"/>
            <w:vAlign w:val="center"/>
          </w:tcPr>
          <w:p>
            <w:pPr>
              <w:spacing w:line="560" w:lineRule="exact"/>
              <w:jc w:val="center"/>
              <w:rPr>
                <w:szCs w:val="21"/>
              </w:rPr>
            </w:pPr>
          </w:p>
        </w:tc>
        <w:tc>
          <w:tcPr>
            <w:tcW w:w="1559" w:type="dxa"/>
            <w:vAlign w:val="center"/>
          </w:tcPr>
          <w:p>
            <w:pPr>
              <w:spacing w:line="560" w:lineRule="exact"/>
              <w:jc w:val="center"/>
              <w:rPr>
                <w:szCs w:val="21"/>
              </w:rPr>
            </w:pPr>
          </w:p>
        </w:tc>
        <w:tc>
          <w:tcPr>
            <w:tcW w:w="1134" w:type="dxa"/>
            <w:vAlign w:val="center"/>
          </w:tcPr>
          <w:p>
            <w:pPr>
              <w:spacing w:line="560" w:lineRule="exact"/>
              <w:jc w:val="center"/>
              <w:rPr>
                <w:szCs w:val="21"/>
              </w:rPr>
            </w:pPr>
          </w:p>
        </w:tc>
        <w:tc>
          <w:tcPr>
            <w:tcW w:w="1417" w:type="dxa"/>
            <w:vAlign w:val="center"/>
          </w:tcPr>
          <w:p>
            <w:pPr>
              <w:spacing w:line="560" w:lineRule="exact"/>
              <w:jc w:val="center"/>
              <w:rPr>
                <w:szCs w:val="21"/>
              </w:rPr>
            </w:pPr>
          </w:p>
        </w:tc>
        <w:tc>
          <w:tcPr>
            <w:tcW w:w="1614" w:type="dxa"/>
            <w:vAlign w:val="center"/>
          </w:tcPr>
          <w:p>
            <w:pPr>
              <w:spacing w:line="560" w:lineRule="exact"/>
              <w:jc w:val="center"/>
              <w:rPr>
                <w:szCs w:val="21"/>
              </w:rPr>
            </w:pPr>
          </w:p>
        </w:tc>
        <w:tc>
          <w:tcPr>
            <w:tcW w:w="1327" w:type="dxa"/>
            <w:vAlign w:val="center"/>
          </w:tcPr>
          <w:p>
            <w:pPr>
              <w:spacing w:line="5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60" w:lineRule="exact"/>
              <w:jc w:val="center"/>
              <w:rPr>
                <w:szCs w:val="21"/>
              </w:rPr>
            </w:pPr>
          </w:p>
        </w:tc>
        <w:tc>
          <w:tcPr>
            <w:tcW w:w="1418" w:type="dxa"/>
            <w:vAlign w:val="center"/>
          </w:tcPr>
          <w:p>
            <w:pPr>
              <w:spacing w:line="560" w:lineRule="exact"/>
              <w:jc w:val="center"/>
              <w:rPr>
                <w:szCs w:val="21"/>
              </w:rPr>
            </w:pPr>
          </w:p>
        </w:tc>
        <w:tc>
          <w:tcPr>
            <w:tcW w:w="1559" w:type="dxa"/>
            <w:vAlign w:val="center"/>
          </w:tcPr>
          <w:p>
            <w:pPr>
              <w:spacing w:line="560" w:lineRule="exact"/>
              <w:jc w:val="center"/>
              <w:rPr>
                <w:szCs w:val="21"/>
              </w:rPr>
            </w:pPr>
          </w:p>
        </w:tc>
        <w:tc>
          <w:tcPr>
            <w:tcW w:w="1134" w:type="dxa"/>
            <w:vAlign w:val="center"/>
          </w:tcPr>
          <w:p>
            <w:pPr>
              <w:spacing w:line="560" w:lineRule="exact"/>
              <w:jc w:val="center"/>
              <w:rPr>
                <w:szCs w:val="21"/>
              </w:rPr>
            </w:pPr>
          </w:p>
        </w:tc>
        <w:tc>
          <w:tcPr>
            <w:tcW w:w="1417" w:type="dxa"/>
            <w:vAlign w:val="center"/>
          </w:tcPr>
          <w:p>
            <w:pPr>
              <w:spacing w:line="560" w:lineRule="exact"/>
              <w:jc w:val="center"/>
              <w:rPr>
                <w:szCs w:val="21"/>
              </w:rPr>
            </w:pPr>
          </w:p>
        </w:tc>
        <w:tc>
          <w:tcPr>
            <w:tcW w:w="1614" w:type="dxa"/>
            <w:vAlign w:val="center"/>
          </w:tcPr>
          <w:p>
            <w:pPr>
              <w:spacing w:line="560" w:lineRule="exact"/>
              <w:jc w:val="center"/>
              <w:rPr>
                <w:szCs w:val="21"/>
              </w:rPr>
            </w:pPr>
          </w:p>
        </w:tc>
        <w:tc>
          <w:tcPr>
            <w:tcW w:w="1327" w:type="dxa"/>
            <w:vAlign w:val="center"/>
          </w:tcPr>
          <w:p>
            <w:pPr>
              <w:spacing w:line="5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60" w:lineRule="exact"/>
              <w:jc w:val="center"/>
              <w:rPr>
                <w:szCs w:val="21"/>
              </w:rPr>
            </w:pPr>
          </w:p>
        </w:tc>
        <w:tc>
          <w:tcPr>
            <w:tcW w:w="1418" w:type="dxa"/>
            <w:vAlign w:val="center"/>
          </w:tcPr>
          <w:p>
            <w:pPr>
              <w:spacing w:line="560" w:lineRule="exact"/>
              <w:jc w:val="center"/>
              <w:rPr>
                <w:szCs w:val="21"/>
              </w:rPr>
            </w:pPr>
          </w:p>
        </w:tc>
        <w:tc>
          <w:tcPr>
            <w:tcW w:w="1559" w:type="dxa"/>
            <w:vAlign w:val="center"/>
          </w:tcPr>
          <w:p>
            <w:pPr>
              <w:spacing w:line="560" w:lineRule="exact"/>
              <w:jc w:val="center"/>
              <w:rPr>
                <w:szCs w:val="21"/>
              </w:rPr>
            </w:pPr>
          </w:p>
        </w:tc>
        <w:tc>
          <w:tcPr>
            <w:tcW w:w="1134" w:type="dxa"/>
            <w:vAlign w:val="center"/>
          </w:tcPr>
          <w:p>
            <w:pPr>
              <w:spacing w:line="560" w:lineRule="exact"/>
              <w:jc w:val="center"/>
              <w:rPr>
                <w:szCs w:val="21"/>
              </w:rPr>
            </w:pPr>
          </w:p>
        </w:tc>
        <w:tc>
          <w:tcPr>
            <w:tcW w:w="1417" w:type="dxa"/>
            <w:vAlign w:val="center"/>
          </w:tcPr>
          <w:p>
            <w:pPr>
              <w:spacing w:line="560" w:lineRule="exact"/>
              <w:jc w:val="center"/>
              <w:rPr>
                <w:szCs w:val="21"/>
              </w:rPr>
            </w:pPr>
          </w:p>
        </w:tc>
        <w:tc>
          <w:tcPr>
            <w:tcW w:w="1614" w:type="dxa"/>
            <w:vAlign w:val="center"/>
          </w:tcPr>
          <w:p>
            <w:pPr>
              <w:spacing w:line="560" w:lineRule="exact"/>
              <w:jc w:val="center"/>
              <w:rPr>
                <w:szCs w:val="21"/>
              </w:rPr>
            </w:pPr>
          </w:p>
        </w:tc>
        <w:tc>
          <w:tcPr>
            <w:tcW w:w="1327" w:type="dxa"/>
            <w:vAlign w:val="center"/>
          </w:tcPr>
          <w:p>
            <w:pPr>
              <w:spacing w:line="5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60" w:lineRule="exact"/>
              <w:jc w:val="center"/>
              <w:rPr>
                <w:szCs w:val="21"/>
              </w:rPr>
            </w:pPr>
          </w:p>
        </w:tc>
        <w:tc>
          <w:tcPr>
            <w:tcW w:w="1418" w:type="dxa"/>
            <w:vAlign w:val="center"/>
          </w:tcPr>
          <w:p>
            <w:pPr>
              <w:spacing w:line="560" w:lineRule="exact"/>
              <w:jc w:val="center"/>
              <w:rPr>
                <w:szCs w:val="21"/>
              </w:rPr>
            </w:pPr>
          </w:p>
        </w:tc>
        <w:tc>
          <w:tcPr>
            <w:tcW w:w="1559" w:type="dxa"/>
            <w:vAlign w:val="center"/>
          </w:tcPr>
          <w:p>
            <w:pPr>
              <w:spacing w:line="560" w:lineRule="exact"/>
              <w:jc w:val="center"/>
              <w:rPr>
                <w:szCs w:val="21"/>
              </w:rPr>
            </w:pPr>
          </w:p>
        </w:tc>
        <w:tc>
          <w:tcPr>
            <w:tcW w:w="1134" w:type="dxa"/>
            <w:vAlign w:val="center"/>
          </w:tcPr>
          <w:p>
            <w:pPr>
              <w:spacing w:line="560" w:lineRule="exact"/>
              <w:jc w:val="center"/>
              <w:rPr>
                <w:szCs w:val="21"/>
              </w:rPr>
            </w:pPr>
          </w:p>
        </w:tc>
        <w:tc>
          <w:tcPr>
            <w:tcW w:w="1417" w:type="dxa"/>
            <w:vAlign w:val="center"/>
          </w:tcPr>
          <w:p>
            <w:pPr>
              <w:spacing w:line="560" w:lineRule="exact"/>
              <w:jc w:val="center"/>
              <w:rPr>
                <w:szCs w:val="21"/>
              </w:rPr>
            </w:pPr>
          </w:p>
        </w:tc>
        <w:tc>
          <w:tcPr>
            <w:tcW w:w="1614" w:type="dxa"/>
            <w:vAlign w:val="center"/>
          </w:tcPr>
          <w:p>
            <w:pPr>
              <w:spacing w:line="560" w:lineRule="exact"/>
              <w:jc w:val="center"/>
              <w:rPr>
                <w:szCs w:val="21"/>
              </w:rPr>
            </w:pPr>
          </w:p>
        </w:tc>
        <w:tc>
          <w:tcPr>
            <w:tcW w:w="1327" w:type="dxa"/>
            <w:vAlign w:val="center"/>
          </w:tcPr>
          <w:p>
            <w:pPr>
              <w:spacing w:line="5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60" w:lineRule="exact"/>
              <w:jc w:val="center"/>
              <w:rPr>
                <w:szCs w:val="21"/>
              </w:rPr>
            </w:pPr>
          </w:p>
        </w:tc>
        <w:tc>
          <w:tcPr>
            <w:tcW w:w="1418" w:type="dxa"/>
            <w:vAlign w:val="center"/>
          </w:tcPr>
          <w:p>
            <w:pPr>
              <w:spacing w:line="560" w:lineRule="exact"/>
              <w:jc w:val="center"/>
              <w:rPr>
                <w:szCs w:val="21"/>
              </w:rPr>
            </w:pPr>
          </w:p>
        </w:tc>
        <w:tc>
          <w:tcPr>
            <w:tcW w:w="1559" w:type="dxa"/>
            <w:vAlign w:val="center"/>
          </w:tcPr>
          <w:p>
            <w:pPr>
              <w:spacing w:line="560" w:lineRule="exact"/>
              <w:jc w:val="center"/>
              <w:rPr>
                <w:szCs w:val="21"/>
              </w:rPr>
            </w:pPr>
          </w:p>
        </w:tc>
        <w:tc>
          <w:tcPr>
            <w:tcW w:w="1134" w:type="dxa"/>
            <w:vAlign w:val="center"/>
          </w:tcPr>
          <w:p>
            <w:pPr>
              <w:spacing w:line="560" w:lineRule="exact"/>
              <w:jc w:val="center"/>
              <w:rPr>
                <w:szCs w:val="21"/>
              </w:rPr>
            </w:pPr>
          </w:p>
        </w:tc>
        <w:tc>
          <w:tcPr>
            <w:tcW w:w="1417" w:type="dxa"/>
            <w:vAlign w:val="center"/>
          </w:tcPr>
          <w:p>
            <w:pPr>
              <w:spacing w:line="560" w:lineRule="exact"/>
              <w:jc w:val="center"/>
              <w:rPr>
                <w:szCs w:val="21"/>
              </w:rPr>
            </w:pPr>
          </w:p>
        </w:tc>
        <w:tc>
          <w:tcPr>
            <w:tcW w:w="1614" w:type="dxa"/>
            <w:vAlign w:val="center"/>
          </w:tcPr>
          <w:p>
            <w:pPr>
              <w:spacing w:line="560" w:lineRule="exact"/>
              <w:jc w:val="center"/>
              <w:rPr>
                <w:szCs w:val="21"/>
              </w:rPr>
            </w:pPr>
          </w:p>
        </w:tc>
        <w:tc>
          <w:tcPr>
            <w:tcW w:w="1327" w:type="dxa"/>
            <w:vAlign w:val="center"/>
          </w:tcPr>
          <w:p>
            <w:pPr>
              <w:spacing w:line="5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60" w:lineRule="exact"/>
              <w:jc w:val="center"/>
              <w:rPr>
                <w:szCs w:val="21"/>
              </w:rPr>
            </w:pPr>
          </w:p>
        </w:tc>
        <w:tc>
          <w:tcPr>
            <w:tcW w:w="1418" w:type="dxa"/>
            <w:vAlign w:val="center"/>
          </w:tcPr>
          <w:p>
            <w:pPr>
              <w:spacing w:line="560" w:lineRule="exact"/>
              <w:jc w:val="center"/>
              <w:rPr>
                <w:szCs w:val="21"/>
              </w:rPr>
            </w:pPr>
          </w:p>
        </w:tc>
        <w:tc>
          <w:tcPr>
            <w:tcW w:w="1559" w:type="dxa"/>
            <w:vAlign w:val="center"/>
          </w:tcPr>
          <w:p>
            <w:pPr>
              <w:spacing w:line="560" w:lineRule="exact"/>
              <w:jc w:val="center"/>
              <w:rPr>
                <w:szCs w:val="21"/>
              </w:rPr>
            </w:pPr>
          </w:p>
        </w:tc>
        <w:tc>
          <w:tcPr>
            <w:tcW w:w="1134" w:type="dxa"/>
            <w:vAlign w:val="center"/>
          </w:tcPr>
          <w:p>
            <w:pPr>
              <w:spacing w:line="560" w:lineRule="exact"/>
              <w:jc w:val="center"/>
              <w:rPr>
                <w:szCs w:val="21"/>
              </w:rPr>
            </w:pPr>
          </w:p>
        </w:tc>
        <w:tc>
          <w:tcPr>
            <w:tcW w:w="1417" w:type="dxa"/>
            <w:vAlign w:val="center"/>
          </w:tcPr>
          <w:p>
            <w:pPr>
              <w:spacing w:line="560" w:lineRule="exact"/>
              <w:jc w:val="center"/>
              <w:rPr>
                <w:szCs w:val="21"/>
              </w:rPr>
            </w:pPr>
          </w:p>
        </w:tc>
        <w:tc>
          <w:tcPr>
            <w:tcW w:w="1614" w:type="dxa"/>
            <w:vAlign w:val="center"/>
          </w:tcPr>
          <w:p>
            <w:pPr>
              <w:spacing w:line="560" w:lineRule="exact"/>
              <w:jc w:val="center"/>
              <w:rPr>
                <w:szCs w:val="21"/>
              </w:rPr>
            </w:pPr>
          </w:p>
        </w:tc>
        <w:tc>
          <w:tcPr>
            <w:tcW w:w="1327" w:type="dxa"/>
            <w:vAlign w:val="center"/>
          </w:tcPr>
          <w:p>
            <w:pPr>
              <w:spacing w:line="5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560" w:lineRule="exact"/>
              <w:jc w:val="center"/>
              <w:rPr>
                <w:szCs w:val="21"/>
              </w:rPr>
            </w:pPr>
          </w:p>
        </w:tc>
        <w:tc>
          <w:tcPr>
            <w:tcW w:w="1418" w:type="dxa"/>
            <w:vAlign w:val="center"/>
          </w:tcPr>
          <w:p>
            <w:pPr>
              <w:spacing w:line="560" w:lineRule="exact"/>
              <w:jc w:val="center"/>
              <w:rPr>
                <w:szCs w:val="21"/>
              </w:rPr>
            </w:pPr>
          </w:p>
        </w:tc>
        <w:tc>
          <w:tcPr>
            <w:tcW w:w="1559" w:type="dxa"/>
            <w:vAlign w:val="center"/>
          </w:tcPr>
          <w:p>
            <w:pPr>
              <w:spacing w:line="560" w:lineRule="exact"/>
              <w:jc w:val="center"/>
              <w:rPr>
                <w:szCs w:val="21"/>
              </w:rPr>
            </w:pPr>
          </w:p>
        </w:tc>
        <w:tc>
          <w:tcPr>
            <w:tcW w:w="1134" w:type="dxa"/>
            <w:vAlign w:val="center"/>
          </w:tcPr>
          <w:p>
            <w:pPr>
              <w:spacing w:line="560" w:lineRule="exact"/>
              <w:jc w:val="center"/>
              <w:rPr>
                <w:szCs w:val="21"/>
              </w:rPr>
            </w:pPr>
          </w:p>
        </w:tc>
        <w:tc>
          <w:tcPr>
            <w:tcW w:w="1417" w:type="dxa"/>
            <w:vAlign w:val="center"/>
          </w:tcPr>
          <w:p>
            <w:pPr>
              <w:spacing w:line="560" w:lineRule="exact"/>
              <w:jc w:val="center"/>
              <w:rPr>
                <w:szCs w:val="21"/>
              </w:rPr>
            </w:pPr>
          </w:p>
        </w:tc>
        <w:tc>
          <w:tcPr>
            <w:tcW w:w="1614" w:type="dxa"/>
            <w:vAlign w:val="center"/>
          </w:tcPr>
          <w:p>
            <w:pPr>
              <w:spacing w:line="560" w:lineRule="exact"/>
              <w:jc w:val="center"/>
              <w:rPr>
                <w:szCs w:val="21"/>
              </w:rPr>
            </w:pPr>
          </w:p>
        </w:tc>
        <w:tc>
          <w:tcPr>
            <w:tcW w:w="1327" w:type="dxa"/>
            <w:vAlign w:val="center"/>
          </w:tcPr>
          <w:p>
            <w:pPr>
              <w:spacing w:line="560" w:lineRule="exact"/>
              <w:jc w:val="center"/>
              <w:rPr>
                <w:szCs w:val="21"/>
              </w:rPr>
            </w:pPr>
          </w:p>
        </w:tc>
      </w:tr>
    </w:tbl>
    <w:p>
      <w:pPr>
        <w:spacing w:before="120" w:beforeLines="50" w:after="120" w:afterLines="50"/>
        <w:rPr>
          <w:sz w:val="28"/>
          <w:szCs w:val="28"/>
        </w:rPr>
      </w:pPr>
    </w:p>
    <w:p>
      <w:pPr>
        <w:spacing w:before="120" w:beforeLines="50" w:after="120" w:afterLines="50"/>
        <w:jc w:val="left"/>
        <w:rPr>
          <w:rFonts w:hAnsiTheme="minorEastAsia" w:eastAsiaTheme="minorEastAsia"/>
          <w:b/>
          <w:szCs w:val="21"/>
        </w:rPr>
      </w:pPr>
      <w:r>
        <w:rPr>
          <w:rFonts w:hint="eastAsia" w:hAnsiTheme="minorEastAsia" w:eastAsiaTheme="minorEastAsia"/>
          <w:b/>
          <w:szCs w:val="21"/>
        </w:rPr>
        <w:t>注：须随表提交相应</w:t>
      </w:r>
      <w:r>
        <w:rPr>
          <w:rFonts w:hAnsiTheme="minorEastAsia" w:eastAsiaTheme="minorEastAsia"/>
          <w:b/>
          <w:szCs w:val="21"/>
        </w:rPr>
        <w:t>合同复印件件等</w:t>
      </w:r>
      <w:r>
        <w:rPr>
          <w:rFonts w:hint="eastAsia" w:hAnsiTheme="minorEastAsia" w:eastAsiaTheme="minorEastAsia"/>
          <w:b/>
          <w:szCs w:val="21"/>
        </w:rPr>
        <w:t>，并注明所在相应文件的页码。</w:t>
      </w:r>
    </w:p>
    <w:p>
      <w:pPr>
        <w:spacing w:before="120" w:beforeLines="50" w:after="120" w:afterLines="50"/>
        <w:jc w:val="left"/>
        <w:rPr>
          <w:rFonts w:hAnsiTheme="minorEastAsia" w:eastAsiaTheme="minorEastAsia"/>
          <w:b/>
          <w:szCs w:val="21"/>
        </w:rPr>
      </w:pPr>
    </w:p>
    <w:p>
      <w:pPr>
        <w:spacing w:before="120" w:beforeLines="50" w:after="120" w:afterLines="50"/>
        <w:ind w:right="1050" w:rightChars="500"/>
        <w:jc w:val="right"/>
        <w:rPr>
          <w:rFonts w:hAnsiTheme="minorEastAsia" w:eastAsiaTheme="minorEastAsia"/>
          <w:szCs w:val="21"/>
        </w:rPr>
      </w:pPr>
      <w:r>
        <w:rPr>
          <w:rFonts w:hAnsiTheme="minorEastAsia" w:eastAsiaTheme="minorEastAsia"/>
          <w:szCs w:val="21"/>
        </w:rPr>
        <w:t>法定代表人</w:t>
      </w:r>
      <w:r>
        <w:rPr>
          <w:rFonts w:hint="eastAsia" w:hAnsi="宋体"/>
          <w:kern w:val="0"/>
          <w:szCs w:val="21"/>
        </w:rPr>
        <w:t>或全权代表</w:t>
      </w:r>
      <w:r>
        <w:rPr>
          <w:rFonts w:hAnsiTheme="minorEastAsia" w:eastAsiaTheme="minorEastAsia"/>
          <w:szCs w:val="21"/>
        </w:rPr>
        <w:t>：（签</w:t>
      </w:r>
      <w:r>
        <w:rPr>
          <w:rFonts w:hint="eastAsia" w:hAnsiTheme="minorEastAsia" w:eastAsiaTheme="minorEastAsia"/>
          <w:szCs w:val="21"/>
        </w:rPr>
        <w:t>字或盖章</w:t>
      </w:r>
      <w:r>
        <w:rPr>
          <w:rFonts w:hAnsiTheme="minorEastAsia" w:eastAsiaTheme="minorEastAsia"/>
          <w:szCs w:val="21"/>
        </w:rPr>
        <w:t>）</w:t>
      </w:r>
    </w:p>
    <w:p>
      <w:pPr>
        <w:tabs>
          <w:tab w:val="center" w:pos="4755"/>
          <w:tab w:val="right" w:pos="9070"/>
        </w:tabs>
        <w:spacing w:before="120" w:beforeLines="50" w:after="120" w:afterLines="50"/>
        <w:ind w:right="1050" w:rightChars="500"/>
        <w:jc w:val="right"/>
        <w:rPr>
          <w:rFonts w:hAnsiTheme="minorEastAsia" w:eastAsiaTheme="minorEastAsia"/>
          <w:szCs w:val="21"/>
          <w:u w:val="single"/>
        </w:rPr>
      </w:pPr>
      <w:r>
        <w:rPr>
          <w:rFonts w:hint="eastAsia" w:hAnsiTheme="minorEastAsia" w:eastAsiaTheme="minorEastAsia"/>
          <w:szCs w:val="21"/>
        </w:rPr>
        <w:t>谈判响应方全称</w:t>
      </w:r>
      <w:r>
        <w:rPr>
          <w:rFonts w:hAnsiTheme="minorEastAsia" w:eastAsiaTheme="minorEastAsia"/>
          <w:szCs w:val="21"/>
        </w:rPr>
        <w:t>：（</w:t>
      </w:r>
      <w:r>
        <w:rPr>
          <w:rFonts w:hint="eastAsia" w:hAnsiTheme="minorEastAsia" w:eastAsiaTheme="minorEastAsia"/>
          <w:szCs w:val="21"/>
        </w:rPr>
        <w:t>公章</w:t>
      </w:r>
      <w:r>
        <w:rPr>
          <w:rFonts w:hAnsiTheme="minorEastAsia" w:eastAsiaTheme="minorEastAsia"/>
          <w:szCs w:val="21"/>
        </w:rPr>
        <w:t>）</w:t>
      </w:r>
    </w:p>
    <w:p>
      <w:pPr>
        <w:tabs>
          <w:tab w:val="center" w:pos="4755"/>
          <w:tab w:val="right" w:pos="9070"/>
        </w:tabs>
        <w:spacing w:before="120" w:beforeLines="50" w:after="120" w:afterLines="50"/>
        <w:ind w:right="1050" w:rightChars="500"/>
        <w:jc w:val="right"/>
        <w:rPr>
          <w:rFonts w:eastAsiaTheme="minorEastAsia"/>
          <w:szCs w:val="21"/>
          <w:u w:val="single"/>
        </w:rPr>
      </w:pPr>
      <w:r>
        <w:rPr>
          <w:rFonts w:hAnsiTheme="minorEastAsia" w:eastAsiaTheme="minorEastAsia"/>
          <w:szCs w:val="21"/>
        </w:rPr>
        <w:t>日期：</w:t>
      </w:r>
      <w:r>
        <w:rPr>
          <w:rFonts w:hint="eastAsia" w:hAnsiTheme="minorEastAsia" w:eastAsiaTheme="minorEastAsia"/>
          <w:szCs w:val="21"/>
        </w:rPr>
        <w:t>___</w:t>
      </w:r>
      <w:r>
        <w:rPr>
          <w:rFonts w:hAnsiTheme="minorEastAsia" w:eastAsiaTheme="minorEastAsia"/>
          <w:szCs w:val="21"/>
        </w:rPr>
        <w:t>年</w:t>
      </w:r>
      <w:r>
        <w:rPr>
          <w:rFonts w:hint="eastAsia" w:hAnsiTheme="minorEastAsia" w:eastAsiaTheme="minorEastAsia"/>
          <w:szCs w:val="21"/>
        </w:rPr>
        <w:t>___</w:t>
      </w:r>
      <w:r>
        <w:rPr>
          <w:rFonts w:hAnsiTheme="minorEastAsia" w:eastAsiaTheme="minorEastAsia"/>
          <w:szCs w:val="21"/>
        </w:rPr>
        <w:t>月</w:t>
      </w:r>
      <w:r>
        <w:rPr>
          <w:rFonts w:hint="eastAsia" w:hAnsiTheme="minorEastAsia" w:eastAsiaTheme="minorEastAsia"/>
          <w:szCs w:val="21"/>
        </w:rPr>
        <w:t>___</w:t>
      </w:r>
      <w:r>
        <w:rPr>
          <w:rFonts w:hAnsiTheme="minorEastAsia" w:eastAsiaTheme="minorEastAsia"/>
          <w:szCs w:val="21"/>
        </w:rPr>
        <w:t>日</w:t>
      </w:r>
    </w:p>
    <w:p>
      <w:pPr>
        <w:spacing w:line="360" w:lineRule="auto"/>
        <w:jc w:val="center"/>
        <w:rPr>
          <w:sz w:val="24"/>
        </w:rPr>
      </w:pPr>
    </w:p>
    <w:p>
      <w:pPr>
        <w:spacing w:line="360" w:lineRule="auto"/>
        <w:jc w:val="center"/>
        <w:rPr>
          <w:rFonts w:asciiTheme="majorHAnsi" w:hAnsiTheme="majorHAnsi" w:cstheme="majorBidi"/>
          <w:b/>
          <w:bCs/>
          <w:sz w:val="36"/>
          <w:szCs w:val="32"/>
        </w:rPr>
      </w:pPr>
    </w:p>
    <w:p>
      <w:pPr>
        <w:spacing w:before="120" w:beforeLines="50" w:after="120" w:afterLines="50"/>
        <w:jc w:val="center"/>
        <w:rPr>
          <w:rFonts w:asciiTheme="majorHAnsi" w:hAnsiTheme="majorHAnsi" w:cstheme="majorBidi"/>
          <w:b/>
          <w:bCs/>
          <w:sz w:val="36"/>
          <w:szCs w:val="32"/>
        </w:rPr>
      </w:pPr>
    </w:p>
    <w:p>
      <w:pPr>
        <w:spacing w:before="120" w:beforeLines="50" w:after="120" w:afterLines="50"/>
        <w:jc w:val="center"/>
        <w:rPr>
          <w:rFonts w:asciiTheme="majorHAnsi" w:hAnsiTheme="majorHAnsi" w:cstheme="majorBidi"/>
          <w:b/>
          <w:bCs/>
          <w:sz w:val="36"/>
          <w:szCs w:val="32"/>
        </w:rPr>
      </w:pPr>
    </w:p>
    <w:p>
      <w:pPr>
        <w:spacing w:before="120" w:beforeLines="50" w:after="120" w:afterLines="50"/>
        <w:jc w:val="center"/>
        <w:rPr>
          <w:rFonts w:asciiTheme="majorHAnsi" w:hAnsiTheme="majorHAnsi" w:cstheme="majorBidi"/>
          <w:b/>
          <w:bCs/>
          <w:sz w:val="36"/>
          <w:szCs w:val="32"/>
        </w:rPr>
      </w:pPr>
    </w:p>
    <w:p>
      <w:pPr>
        <w:spacing w:before="120" w:beforeLines="50" w:after="120" w:afterLines="50"/>
        <w:jc w:val="center"/>
        <w:rPr>
          <w:rFonts w:asciiTheme="majorHAnsi" w:hAnsiTheme="majorHAnsi" w:cstheme="majorBidi"/>
          <w:b/>
          <w:bCs/>
          <w:sz w:val="36"/>
          <w:szCs w:val="32"/>
        </w:rPr>
      </w:pPr>
    </w:p>
    <w:p>
      <w:pPr>
        <w:spacing w:before="120" w:beforeLines="50" w:after="120" w:afterLines="50"/>
        <w:jc w:val="center"/>
        <w:rPr>
          <w:rFonts w:asciiTheme="majorHAnsi" w:hAnsiTheme="majorHAnsi" w:cstheme="majorBidi"/>
          <w:b/>
          <w:bCs/>
          <w:sz w:val="36"/>
          <w:szCs w:val="32"/>
        </w:rPr>
      </w:pPr>
    </w:p>
    <w:p>
      <w:pPr>
        <w:spacing w:before="120" w:beforeLines="50" w:after="120" w:afterLines="50"/>
        <w:jc w:val="center"/>
        <w:rPr>
          <w:rFonts w:asciiTheme="majorHAnsi" w:hAnsiTheme="majorHAnsi" w:cstheme="majorBidi"/>
          <w:b/>
          <w:bCs/>
          <w:sz w:val="36"/>
          <w:szCs w:val="32"/>
        </w:rPr>
      </w:pPr>
    </w:p>
    <w:p>
      <w:pPr>
        <w:spacing w:before="120" w:beforeLines="50" w:after="120" w:afterLines="50"/>
        <w:jc w:val="center"/>
        <w:rPr>
          <w:rFonts w:asciiTheme="majorHAnsi" w:hAnsiTheme="majorHAnsi" w:cstheme="majorBidi"/>
          <w:b/>
          <w:bCs/>
          <w:sz w:val="36"/>
          <w:szCs w:val="32"/>
        </w:rPr>
      </w:pPr>
    </w:p>
    <w:p>
      <w:pPr>
        <w:spacing w:before="120" w:beforeLines="50" w:after="120" w:afterLines="50"/>
        <w:jc w:val="center"/>
        <w:rPr>
          <w:rFonts w:asciiTheme="majorHAnsi" w:hAnsiTheme="majorHAnsi" w:cstheme="majorBidi"/>
          <w:b/>
          <w:bCs/>
          <w:sz w:val="36"/>
          <w:szCs w:val="32"/>
        </w:rPr>
      </w:pPr>
    </w:p>
    <w:p>
      <w:pPr>
        <w:spacing w:before="120" w:beforeLines="50" w:after="120" w:afterLines="50"/>
        <w:jc w:val="center"/>
        <w:rPr>
          <w:rFonts w:asciiTheme="majorHAnsi" w:hAnsiTheme="majorHAnsi" w:cstheme="majorBidi"/>
          <w:b/>
          <w:bCs/>
          <w:sz w:val="36"/>
          <w:szCs w:val="32"/>
        </w:rPr>
      </w:pPr>
    </w:p>
    <w:p>
      <w:pPr>
        <w:spacing w:before="120" w:beforeLines="50" w:after="120" w:afterLines="50"/>
        <w:jc w:val="center"/>
        <w:rPr>
          <w:rFonts w:asciiTheme="majorHAnsi" w:hAnsiTheme="majorHAnsi" w:cstheme="majorBidi"/>
          <w:b/>
          <w:bCs/>
          <w:sz w:val="36"/>
          <w:szCs w:val="32"/>
        </w:rPr>
      </w:pPr>
    </w:p>
    <w:p>
      <w:pPr>
        <w:spacing w:before="120" w:beforeLines="50" w:after="120" w:afterLines="50"/>
        <w:jc w:val="center"/>
        <w:rPr>
          <w:rFonts w:asciiTheme="majorHAnsi" w:hAnsiTheme="majorHAnsi" w:cstheme="majorBidi"/>
          <w:b/>
          <w:bCs/>
          <w:sz w:val="36"/>
          <w:szCs w:val="32"/>
        </w:rPr>
      </w:pPr>
    </w:p>
    <w:p>
      <w:pPr>
        <w:spacing w:before="120" w:beforeLines="50" w:after="120" w:afterLines="50"/>
        <w:jc w:val="center"/>
        <w:rPr>
          <w:rFonts w:asciiTheme="majorHAnsi" w:hAnsiTheme="majorHAnsi" w:cstheme="majorBidi"/>
          <w:b/>
          <w:bCs/>
          <w:sz w:val="36"/>
          <w:szCs w:val="32"/>
        </w:rPr>
      </w:pPr>
    </w:p>
    <w:p>
      <w:pPr>
        <w:spacing w:before="120" w:beforeLines="50" w:after="120" w:afterLines="50"/>
        <w:jc w:val="center"/>
        <w:rPr>
          <w:rFonts w:asciiTheme="majorHAnsi" w:hAnsiTheme="majorHAnsi" w:cstheme="majorBidi"/>
          <w:b/>
          <w:bCs/>
          <w:sz w:val="36"/>
          <w:szCs w:val="32"/>
        </w:rPr>
      </w:pPr>
    </w:p>
    <w:p>
      <w:pPr>
        <w:spacing w:before="120" w:beforeLines="50" w:after="120" w:afterLines="50"/>
        <w:jc w:val="center"/>
        <w:rPr>
          <w:rFonts w:asciiTheme="majorHAnsi" w:hAnsiTheme="majorHAnsi" w:cstheme="majorBidi"/>
          <w:b/>
          <w:bCs/>
          <w:sz w:val="36"/>
          <w:szCs w:val="32"/>
        </w:rPr>
      </w:pPr>
      <w:r>
        <w:rPr>
          <w:rFonts w:hint="eastAsia" w:asciiTheme="majorHAnsi" w:hAnsiTheme="majorHAnsi" w:cstheme="majorBidi"/>
          <w:b/>
          <w:bCs/>
          <w:sz w:val="36"/>
          <w:szCs w:val="32"/>
        </w:rPr>
        <w:t>谈判响应方</w:t>
      </w:r>
      <w:r>
        <w:rPr>
          <w:rFonts w:asciiTheme="majorHAnsi" w:hAnsiTheme="majorHAnsi" w:cstheme="majorBidi"/>
          <w:b/>
          <w:bCs/>
          <w:sz w:val="36"/>
          <w:szCs w:val="32"/>
        </w:rPr>
        <w:t>认为需要提供的其他资料</w:t>
      </w:r>
    </w:p>
    <w:p>
      <w:pPr>
        <w:spacing w:before="120" w:beforeLines="50" w:after="120" w:afterLines="50"/>
        <w:jc w:val="center"/>
        <w:rPr>
          <w:rFonts w:asciiTheme="majorHAnsi" w:hAnsiTheme="majorHAnsi" w:cstheme="majorBidi"/>
          <w:b/>
          <w:bCs/>
          <w:sz w:val="36"/>
          <w:szCs w:val="32"/>
        </w:rPr>
      </w:pPr>
      <w:r>
        <w:rPr>
          <w:rFonts w:hint="eastAsia" w:asciiTheme="majorHAnsi" w:hAnsiTheme="majorHAnsi" w:cstheme="majorBidi"/>
          <w:b/>
          <w:bCs/>
          <w:sz w:val="36"/>
          <w:szCs w:val="32"/>
        </w:rPr>
        <w:t>（如与评分相关的其它资料）</w:t>
      </w:r>
    </w:p>
    <w:p>
      <w:pPr>
        <w:spacing w:line="360" w:lineRule="auto"/>
        <w:jc w:val="center"/>
        <w:rPr>
          <w:sz w:val="24"/>
        </w:rPr>
        <w:sectPr>
          <w:type w:val="nextColumn"/>
          <w:pgSz w:w="11906" w:h="16838"/>
          <w:pgMar w:top="1440" w:right="1080" w:bottom="1440" w:left="1080" w:header="624" w:footer="624" w:gutter="0"/>
          <w:cols w:space="425" w:num="1"/>
          <w:docGrid w:linePitch="312" w:charSpace="0"/>
        </w:sectPr>
      </w:pPr>
    </w:p>
    <w:p>
      <w:pPr>
        <w:spacing w:line="360" w:lineRule="auto"/>
        <w:jc w:val="center"/>
        <w:rPr>
          <w:b/>
          <w:sz w:val="36"/>
          <w:szCs w:val="36"/>
        </w:rPr>
      </w:pPr>
      <w:r>
        <w:rPr>
          <w:rFonts w:hint="eastAsia"/>
          <w:b/>
          <w:sz w:val="36"/>
          <w:szCs w:val="36"/>
        </w:rPr>
        <w:t>技术文件部分</w:t>
      </w:r>
    </w:p>
    <w:p>
      <w:pPr>
        <w:spacing w:line="360" w:lineRule="auto"/>
        <w:jc w:val="center"/>
        <w:rPr>
          <w:sz w:val="24"/>
        </w:rPr>
      </w:pPr>
      <w:r>
        <w:rPr>
          <w:rFonts w:hint="eastAsia"/>
          <w:b/>
          <w:sz w:val="36"/>
          <w:szCs w:val="36"/>
        </w:rPr>
        <w:t>目  录</w:t>
      </w:r>
    </w:p>
    <w:p>
      <w:pPr>
        <w:numPr>
          <w:ilvl w:val="0"/>
          <w:numId w:val="9"/>
        </w:numPr>
        <w:ind w:left="640" w:firstLine="0"/>
        <w:rPr>
          <w:rFonts w:hAnsiTheme="minorEastAsia"/>
          <w:kern w:val="0"/>
          <w:szCs w:val="22"/>
        </w:rPr>
      </w:pPr>
      <w:r>
        <w:rPr>
          <w:rFonts w:hint="eastAsia" w:hAnsiTheme="minorEastAsia"/>
          <w:kern w:val="0"/>
          <w:szCs w:val="22"/>
        </w:rPr>
        <w:t>总体方案说明；</w:t>
      </w:r>
      <w:r>
        <w:rPr>
          <w:rFonts w:hint="eastAsia" w:hAnsiTheme="minorEastAsia"/>
          <w:kern w:val="0"/>
        </w:rPr>
        <w:t>....................................................................................................................页码</w:t>
      </w:r>
    </w:p>
    <w:p>
      <w:pPr>
        <w:numPr>
          <w:ilvl w:val="0"/>
          <w:numId w:val="9"/>
        </w:numPr>
        <w:ind w:left="640" w:firstLine="0"/>
        <w:rPr>
          <w:rFonts w:hAnsiTheme="minorEastAsia"/>
          <w:kern w:val="0"/>
          <w:szCs w:val="22"/>
        </w:rPr>
      </w:pPr>
      <w:r>
        <w:rPr>
          <w:rFonts w:hint="eastAsia" w:hAnsiTheme="minorEastAsia"/>
          <w:kern w:val="0"/>
          <w:szCs w:val="22"/>
        </w:rPr>
        <w:t>前期开业筹备与运营方案；</w:t>
      </w:r>
      <w:r>
        <w:rPr>
          <w:rFonts w:hint="eastAsia" w:hAnsiTheme="minorEastAsia"/>
          <w:kern w:val="0"/>
        </w:rPr>
        <w:t>.................................................................................................页码</w:t>
      </w:r>
    </w:p>
    <w:p>
      <w:pPr>
        <w:numPr>
          <w:ilvl w:val="0"/>
          <w:numId w:val="9"/>
        </w:numPr>
        <w:ind w:left="640" w:firstLine="0"/>
        <w:rPr>
          <w:rFonts w:hAnsiTheme="minorEastAsia"/>
          <w:kern w:val="0"/>
          <w:szCs w:val="22"/>
        </w:rPr>
      </w:pPr>
      <w:r>
        <w:rPr>
          <w:rFonts w:hint="eastAsia" w:hAnsiTheme="minorEastAsia"/>
          <w:kern w:val="0"/>
          <w:szCs w:val="22"/>
        </w:rPr>
        <w:t>商务住宿服务方案；</w:t>
      </w:r>
      <w:r>
        <w:rPr>
          <w:rFonts w:hint="eastAsia" w:hAnsiTheme="minorEastAsia"/>
          <w:kern w:val="0"/>
        </w:rPr>
        <w:t>...................................................................................................................页码</w:t>
      </w:r>
    </w:p>
    <w:p>
      <w:pPr>
        <w:numPr>
          <w:ilvl w:val="0"/>
          <w:numId w:val="9"/>
        </w:numPr>
        <w:ind w:left="640" w:firstLine="0"/>
        <w:rPr>
          <w:rFonts w:hAnsiTheme="minorEastAsia"/>
          <w:kern w:val="0"/>
          <w:szCs w:val="22"/>
        </w:rPr>
      </w:pPr>
      <w:r>
        <w:rPr>
          <w:rFonts w:hint="eastAsia" w:hAnsiTheme="minorEastAsia"/>
          <w:kern w:val="0"/>
          <w:szCs w:val="22"/>
        </w:rPr>
        <w:t>培训、会议服务方案（含相关礼仪服务）；</w:t>
      </w:r>
      <w:r>
        <w:rPr>
          <w:rFonts w:hint="eastAsia" w:hAnsiTheme="minorEastAsia"/>
          <w:kern w:val="0"/>
        </w:rPr>
        <w:t>............................................................页码</w:t>
      </w:r>
    </w:p>
    <w:p>
      <w:pPr>
        <w:numPr>
          <w:ilvl w:val="0"/>
          <w:numId w:val="9"/>
        </w:numPr>
        <w:ind w:left="640" w:firstLine="0"/>
        <w:rPr>
          <w:rFonts w:hAnsiTheme="minorEastAsia"/>
          <w:kern w:val="0"/>
          <w:szCs w:val="22"/>
        </w:rPr>
      </w:pPr>
      <w:r>
        <w:rPr>
          <w:rFonts w:hint="eastAsia" w:hAnsiTheme="minorEastAsia"/>
          <w:kern w:val="0"/>
        </w:rPr>
        <w:t>公共区域管理方案........................................................................................................................页码</w:t>
      </w:r>
    </w:p>
    <w:p>
      <w:pPr>
        <w:numPr>
          <w:ilvl w:val="0"/>
          <w:numId w:val="9"/>
        </w:numPr>
        <w:ind w:left="640" w:firstLine="0"/>
        <w:rPr>
          <w:rFonts w:hAnsiTheme="minorEastAsia"/>
          <w:kern w:val="0"/>
          <w:szCs w:val="22"/>
        </w:rPr>
      </w:pPr>
      <w:r>
        <w:rPr>
          <w:rFonts w:hint="eastAsia" w:hAnsiTheme="minorEastAsia"/>
          <w:kern w:val="0"/>
          <w:szCs w:val="22"/>
        </w:rPr>
        <w:t>针对本项目的合理化建议、重难点分析及解决措施；</w:t>
      </w:r>
      <w:r>
        <w:rPr>
          <w:rFonts w:hint="eastAsia" w:hAnsiTheme="minorEastAsia"/>
          <w:kern w:val="0"/>
        </w:rPr>
        <w:t>.......................................................页码</w:t>
      </w:r>
    </w:p>
    <w:p>
      <w:pPr>
        <w:numPr>
          <w:ilvl w:val="0"/>
          <w:numId w:val="9"/>
        </w:numPr>
        <w:ind w:left="640" w:firstLine="0"/>
        <w:rPr>
          <w:rFonts w:hAnsiTheme="minorEastAsia"/>
          <w:kern w:val="0"/>
          <w:szCs w:val="22"/>
        </w:rPr>
      </w:pPr>
      <w:r>
        <w:rPr>
          <w:rFonts w:hint="eastAsia" w:eastAsiaTheme="minorEastAsia"/>
          <w:szCs w:val="21"/>
        </w:rPr>
        <w:t>谈判响应方</w:t>
      </w:r>
      <w:r>
        <w:rPr>
          <w:rFonts w:eastAsiaTheme="minorEastAsia"/>
          <w:szCs w:val="21"/>
        </w:rPr>
        <w:t>认为需要提供的其他资料</w:t>
      </w:r>
      <w:r>
        <w:rPr>
          <w:rFonts w:hint="eastAsia" w:eastAsiaTheme="minorEastAsia"/>
          <w:szCs w:val="21"/>
        </w:rPr>
        <w:t>（如与评分关的其它资料）。</w:t>
      </w:r>
      <w:r>
        <w:rPr>
          <w:rFonts w:hint="eastAsia" w:hAnsiTheme="minorEastAsia"/>
          <w:kern w:val="0"/>
        </w:rPr>
        <w:t>.................................页码</w:t>
      </w:r>
    </w:p>
    <w:p>
      <w:pPr>
        <w:rPr>
          <w:rFonts w:hAnsiTheme="minorEastAsia"/>
          <w:kern w:val="0"/>
          <w:szCs w:val="22"/>
        </w:rPr>
      </w:pPr>
    </w:p>
    <w:p>
      <w:pPr>
        <w:spacing w:line="360" w:lineRule="auto"/>
        <w:ind w:firstLine="480" w:firstLineChars="200"/>
        <w:rPr>
          <w:kern w:val="0"/>
          <w:sz w:val="24"/>
          <w:szCs w:val="24"/>
        </w:rPr>
        <w:sectPr>
          <w:type w:val="nextColumn"/>
          <w:pgSz w:w="11906" w:h="16838"/>
          <w:pgMar w:top="1440" w:right="1080" w:bottom="1440" w:left="1080" w:header="624" w:footer="624" w:gutter="0"/>
          <w:cols w:space="425" w:num="1"/>
          <w:docGrid w:linePitch="312" w:charSpace="0"/>
        </w:sectPr>
      </w:pPr>
    </w:p>
    <w:p>
      <w:pPr>
        <w:spacing w:before="120" w:beforeLines="50" w:after="120" w:afterLines="50"/>
        <w:jc w:val="center"/>
        <w:rPr>
          <w:rFonts w:asciiTheme="majorHAnsi" w:hAnsiTheme="majorHAnsi" w:cstheme="majorBidi"/>
          <w:b/>
          <w:bCs/>
          <w:sz w:val="36"/>
          <w:szCs w:val="32"/>
        </w:rPr>
      </w:pPr>
      <w:r>
        <w:rPr>
          <w:rFonts w:hint="eastAsia" w:asciiTheme="majorHAnsi" w:hAnsiTheme="majorHAnsi" w:cstheme="majorBidi"/>
          <w:b/>
          <w:bCs/>
          <w:sz w:val="36"/>
          <w:szCs w:val="32"/>
        </w:rPr>
        <w:t>总体方案说明</w:t>
      </w:r>
    </w:p>
    <w:p>
      <w:pPr>
        <w:spacing w:before="120" w:beforeLines="50" w:after="120" w:afterLines="50"/>
        <w:jc w:val="center"/>
        <w:rPr>
          <w:szCs w:val="21"/>
        </w:rPr>
      </w:pPr>
      <w:r>
        <w:rPr>
          <w:szCs w:val="21"/>
        </w:rPr>
        <w:t>(格式自拟，由响应方根据</w:t>
      </w:r>
      <w:r>
        <w:rPr>
          <w:rFonts w:hint="eastAsia"/>
          <w:szCs w:val="21"/>
        </w:rPr>
        <w:t>项目需求</w:t>
      </w:r>
      <w:r>
        <w:rPr>
          <w:szCs w:val="21"/>
        </w:rPr>
        <w:t>及</w:t>
      </w:r>
      <w:r>
        <w:rPr>
          <w:rFonts w:hint="eastAsia"/>
          <w:szCs w:val="21"/>
        </w:rPr>
        <w:t>谈判</w:t>
      </w:r>
      <w:r>
        <w:rPr>
          <w:szCs w:val="21"/>
        </w:rPr>
        <w:t>文件要求编写)</w:t>
      </w:r>
    </w:p>
    <w:p>
      <w:pPr>
        <w:spacing w:before="120" w:beforeLines="50" w:after="120" w:afterLines="50"/>
        <w:ind w:firstLine="420" w:firstLineChars="200"/>
        <w:rPr>
          <w:kern w:val="0"/>
          <w:szCs w:val="21"/>
        </w:rPr>
      </w:pPr>
    </w:p>
    <w:p>
      <w:pPr>
        <w:spacing w:before="120" w:beforeLines="50" w:after="120" w:afterLines="50"/>
        <w:ind w:right="1050" w:rightChars="500"/>
        <w:jc w:val="right"/>
        <w:rPr>
          <w:rFonts w:hAnsiTheme="minorEastAsia" w:eastAsiaTheme="minorEastAsia"/>
          <w:szCs w:val="21"/>
        </w:rPr>
      </w:pPr>
      <w:r>
        <w:rPr>
          <w:rFonts w:hAnsiTheme="minorEastAsia" w:eastAsiaTheme="minorEastAsia"/>
          <w:szCs w:val="21"/>
        </w:rPr>
        <w:t>法定代表人</w:t>
      </w:r>
      <w:r>
        <w:rPr>
          <w:rFonts w:hint="eastAsia" w:hAnsi="宋体"/>
          <w:kern w:val="0"/>
          <w:szCs w:val="21"/>
        </w:rPr>
        <w:t>或全权代表</w:t>
      </w:r>
      <w:r>
        <w:rPr>
          <w:rFonts w:hAnsiTheme="minorEastAsia" w:eastAsiaTheme="minorEastAsia"/>
          <w:szCs w:val="21"/>
        </w:rPr>
        <w:t>：（签</w:t>
      </w:r>
      <w:r>
        <w:rPr>
          <w:rFonts w:hint="eastAsia" w:hAnsiTheme="minorEastAsia" w:eastAsiaTheme="minorEastAsia"/>
          <w:szCs w:val="21"/>
        </w:rPr>
        <w:t>字或盖章</w:t>
      </w:r>
      <w:r>
        <w:rPr>
          <w:rFonts w:hAnsiTheme="minorEastAsia" w:eastAsiaTheme="minorEastAsia"/>
          <w:szCs w:val="21"/>
        </w:rPr>
        <w:t>）</w:t>
      </w:r>
    </w:p>
    <w:p>
      <w:pPr>
        <w:tabs>
          <w:tab w:val="center" w:pos="4755"/>
          <w:tab w:val="right" w:pos="9070"/>
        </w:tabs>
        <w:spacing w:before="120" w:beforeLines="50" w:after="120" w:afterLines="50"/>
        <w:ind w:right="1050" w:rightChars="500"/>
        <w:jc w:val="right"/>
        <w:rPr>
          <w:rFonts w:hAnsiTheme="minorEastAsia" w:eastAsiaTheme="minorEastAsia"/>
          <w:szCs w:val="21"/>
          <w:u w:val="single"/>
        </w:rPr>
      </w:pPr>
      <w:r>
        <w:rPr>
          <w:rFonts w:hint="eastAsia" w:hAnsiTheme="minorEastAsia" w:eastAsiaTheme="minorEastAsia"/>
          <w:szCs w:val="21"/>
        </w:rPr>
        <w:t>谈判响应方全称</w:t>
      </w:r>
      <w:r>
        <w:rPr>
          <w:rFonts w:hAnsiTheme="minorEastAsia" w:eastAsiaTheme="minorEastAsia"/>
          <w:szCs w:val="21"/>
        </w:rPr>
        <w:t>：（</w:t>
      </w:r>
      <w:r>
        <w:rPr>
          <w:rFonts w:hint="eastAsia" w:hAnsiTheme="minorEastAsia" w:eastAsiaTheme="minorEastAsia"/>
          <w:szCs w:val="21"/>
        </w:rPr>
        <w:t>公章</w:t>
      </w:r>
      <w:r>
        <w:rPr>
          <w:rFonts w:hAnsiTheme="minorEastAsia" w:eastAsiaTheme="minorEastAsia"/>
          <w:szCs w:val="21"/>
        </w:rPr>
        <w:t>）</w:t>
      </w:r>
    </w:p>
    <w:p>
      <w:pPr>
        <w:tabs>
          <w:tab w:val="center" w:pos="4755"/>
          <w:tab w:val="right" w:pos="9070"/>
        </w:tabs>
        <w:spacing w:before="120" w:beforeLines="50" w:after="120" w:afterLines="50"/>
        <w:ind w:right="1050" w:rightChars="500"/>
        <w:jc w:val="right"/>
        <w:rPr>
          <w:rFonts w:eastAsiaTheme="minorEastAsia"/>
          <w:sz w:val="24"/>
          <w:u w:val="single"/>
        </w:rPr>
      </w:pPr>
      <w:r>
        <w:rPr>
          <w:rFonts w:hAnsiTheme="minorEastAsia" w:eastAsiaTheme="minorEastAsia"/>
          <w:szCs w:val="21"/>
        </w:rPr>
        <w:t>日期：</w:t>
      </w:r>
      <w:r>
        <w:rPr>
          <w:rFonts w:hint="eastAsia" w:hAnsiTheme="minorEastAsia" w:eastAsiaTheme="minorEastAsia"/>
          <w:szCs w:val="21"/>
        </w:rPr>
        <w:t>___</w:t>
      </w:r>
      <w:r>
        <w:rPr>
          <w:rFonts w:hAnsiTheme="minorEastAsia" w:eastAsiaTheme="minorEastAsia"/>
          <w:szCs w:val="21"/>
        </w:rPr>
        <w:t>年</w:t>
      </w:r>
      <w:r>
        <w:rPr>
          <w:rFonts w:hint="eastAsia" w:hAnsiTheme="minorEastAsia" w:eastAsiaTheme="minorEastAsia"/>
          <w:szCs w:val="21"/>
        </w:rPr>
        <w:t>___</w:t>
      </w:r>
      <w:r>
        <w:rPr>
          <w:rFonts w:hAnsiTheme="minorEastAsia" w:eastAsiaTheme="minorEastAsia"/>
          <w:szCs w:val="21"/>
        </w:rPr>
        <w:t>月</w:t>
      </w:r>
      <w:r>
        <w:rPr>
          <w:rFonts w:hint="eastAsia" w:hAnsiTheme="minorEastAsia" w:eastAsiaTheme="minorEastAsia"/>
          <w:szCs w:val="21"/>
        </w:rPr>
        <w:t>___</w:t>
      </w:r>
      <w:r>
        <w:rPr>
          <w:rFonts w:hAnsiTheme="minorEastAsia" w:eastAsiaTheme="minorEastAsia"/>
          <w:szCs w:val="21"/>
        </w:rPr>
        <w:t>日</w:t>
      </w:r>
    </w:p>
    <w:p>
      <w:pPr>
        <w:spacing w:line="360" w:lineRule="auto"/>
        <w:ind w:firstLine="480" w:firstLineChars="200"/>
        <w:rPr>
          <w:kern w:val="0"/>
          <w:sz w:val="24"/>
          <w:szCs w:val="24"/>
        </w:rPr>
      </w:pPr>
    </w:p>
    <w:p>
      <w:pPr>
        <w:spacing w:before="120" w:beforeLines="50" w:after="120" w:afterLines="50"/>
        <w:jc w:val="center"/>
        <w:rPr>
          <w:rFonts w:asciiTheme="majorHAnsi" w:hAnsiTheme="majorHAnsi" w:cstheme="majorBidi"/>
          <w:b/>
          <w:bCs/>
          <w:sz w:val="36"/>
          <w:szCs w:val="32"/>
        </w:rPr>
      </w:pPr>
    </w:p>
    <w:p>
      <w:pPr>
        <w:spacing w:before="120" w:beforeLines="50" w:after="120" w:afterLines="50"/>
        <w:jc w:val="center"/>
        <w:rPr>
          <w:rFonts w:asciiTheme="majorHAnsi" w:hAnsiTheme="majorHAnsi" w:cstheme="majorBidi"/>
          <w:b/>
          <w:bCs/>
          <w:sz w:val="36"/>
          <w:szCs w:val="32"/>
        </w:rPr>
      </w:pPr>
    </w:p>
    <w:p>
      <w:pPr>
        <w:spacing w:before="120" w:beforeLines="50" w:after="120" w:afterLines="50"/>
        <w:jc w:val="center"/>
        <w:rPr>
          <w:rFonts w:asciiTheme="majorHAnsi" w:hAnsiTheme="majorHAnsi" w:cstheme="majorBidi"/>
          <w:b/>
          <w:bCs/>
          <w:sz w:val="36"/>
          <w:szCs w:val="32"/>
        </w:rPr>
      </w:pPr>
    </w:p>
    <w:p>
      <w:pPr>
        <w:spacing w:before="120" w:beforeLines="50" w:after="120" w:afterLines="50"/>
        <w:jc w:val="center"/>
        <w:rPr>
          <w:rFonts w:asciiTheme="majorHAnsi" w:hAnsiTheme="majorHAnsi" w:cstheme="majorBidi"/>
          <w:b/>
          <w:bCs/>
          <w:sz w:val="36"/>
          <w:szCs w:val="32"/>
        </w:rPr>
      </w:pPr>
    </w:p>
    <w:p>
      <w:pPr>
        <w:spacing w:before="120" w:beforeLines="50" w:after="120" w:afterLines="50"/>
        <w:jc w:val="center"/>
        <w:rPr>
          <w:rFonts w:asciiTheme="majorHAnsi" w:hAnsiTheme="majorHAnsi" w:cstheme="majorBidi"/>
          <w:b/>
          <w:bCs/>
          <w:sz w:val="36"/>
          <w:szCs w:val="32"/>
        </w:rPr>
      </w:pPr>
      <w:r>
        <w:rPr>
          <w:rFonts w:hint="eastAsia" w:asciiTheme="majorHAnsi" w:hAnsiTheme="majorHAnsi" w:cstheme="majorBidi"/>
          <w:b/>
          <w:bCs/>
          <w:sz w:val="36"/>
          <w:szCs w:val="32"/>
        </w:rPr>
        <w:t>前期开业筹备与运营方案</w:t>
      </w:r>
    </w:p>
    <w:p>
      <w:pPr>
        <w:spacing w:before="120" w:beforeLines="50" w:after="120" w:afterLines="50"/>
        <w:jc w:val="center"/>
        <w:rPr>
          <w:szCs w:val="21"/>
        </w:rPr>
      </w:pPr>
      <w:r>
        <w:rPr>
          <w:szCs w:val="21"/>
        </w:rPr>
        <w:t>(格式自拟，由响应方根据</w:t>
      </w:r>
      <w:r>
        <w:rPr>
          <w:rFonts w:hint="eastAsia"/>
          <w:szCs w:val="21"/>
        </w:rPr>
        <w:t>项目需求</w:t>
      </w:r>
      <w:r>
        <w:rPr>
          <w:szCs w:val="21"/>
        </w:rPr>
        <w:t>及</w:t>
      </w:r>
      <w:r>
        <w:rPr>
          <w:rFonts w:hint="eastAsia"/>
          <w:szCs w:val="21"/>
        </w:rPr>
        <w:t>谈判</w:t>
      </w:r>
      <w:r>
        <w:rPr>
          <w:szCs w:val="21"/>
        </w:rPr>
        <w:t>文件要求编写)</w:t>
      </w:r>
    </w:p>
    <w:p>
      <w:pPr>
        <w:spacing w:before="120" w:beforeLines="50" w:after="120" w:afterLines="50"/>
        <w:ind w:firstLine="420" w:firstLineChars="200"/>
        <w:rPr>
          <w:kern w:val="0"/>
          <w:szCs w:val="21"/>
        </w:rPr>
      </w:pPr>
    </w:p>
    <w:p>
      <w:pPr>
        <w:spacing w:before="120" w:beforeLines="50" w:after="120" w:afterLines="50"/>
        <w:ind w:right="1050" w:rightChars="500"/>
        <w:jc w:val="right"/>
        <w:rPr>
          <w:rFonts w:hAnsiTheme="minorEastAsia" w:eastAsiaTheme="minorEastAsia"/>
          <w:szCs w:val="21"/>
        </w:rPr>
      </w:pPr>
      <w:r>
        <w:rPr>
          <w:rFonts w:hAnsiTheme="minorEastAsia" w:eastAsiaTheme="minorEastAsia"/>
          <w:szCs w:val="21"/>
        </w:rPr>
        <w:t>法定代表人</w:t>
      </w:r>
      <w:r>
        <w:rPr>
          <w:rFonts w:hint="eastAsia" w:hAnsi="宋体"/>
          <w:kern w:val="0"/>
          <w:szCs w:val="21"/>
        </w:rPr>
        <w:t>或全权代表</w:t>
      </w:r>
      <w:r>
        <w:rPr>
          <w:rFonts w:hAnsiTheme="minorEastAsia" w:eastAsiaTheme="minorEastAsia"/>
          <w:szCs w:val="21"/>
        </w:rPr>
        <w:t>：（签</w:t>
      </w:r>
      <w:r>
        <w:rPr>
          <w:rFonts w:hint="eastAsia" w:hAnsiTheme="minorEastAsia" w:eastAsiaTheme="minorEastAsia"/>
          <w:szCs w:val="21"/>
        </w:rPr>
        <w:t>字或盖章</w:t>
      </w:r>
      <w:r>
        <w:rPr>
          <w:rFonts w:hAnsiTheme="minorEastAsia" w:eastAsiaTheme="minorEastAsia"/>
          <w:szCs w:val="21"/>
        </w:rPr>
        <w:t>）</w:t>
      </w:r>
    </w:p>
    <w:p>
      <w:pPr>
        <w:tabs>
          <w:tab w:val="center" w:pos="4755"/>
          <w:tab w:val="right" w:pos="9070"/>
        </w:tabs>
        <w:spacing w:before="120" w:beforeLines="50" w:after="120" w:afterLines="50"/>
        <w:ind w:right="1050" w:rightChars="500"/>
        <w:jc w:val="right"/>
        <w:rPr>
          <w:rFonts w:hAnsiTheme="minorEastAsia" w:eastAsiaTheme="minorEastAsia"/>
          <w:szCs w:val="21"/>
          <w:u w:val="single"/>
        </w:rPr>
      </w:pPr>
      <w:r>
        <w:rPr>
          <w:rFonts w:hint="eastAsia" w:hAnsiTheme="minorEastAsia" w:eastAsiaTheme="minorEastAsia"/>
          <w:szCs w:val="21"/>
        </w:rPr>
        <w:t>谈判响应方全称</w:t>
      </w:r>
      <w:r>
        <w:rPr>
          <w:rFonts w:hAnsiTheme="minorEastAsia" w:eastAsiaTheme="minorEastAsia"/>
          <w:szCs w:val="21"/>
        </w:rPr>
        <w:t>：（</w:t>
      </w:r>
      <w:r>
        <w:rPr>
          <w:rFonts w:hint="eastAsia" w:hAnsiTheme="minorEastAsia" w:eastAsiaTheme="minorEastAsia"/>
          <w:szCs w:val="21"/>
        </w:rPr>
        <w:t>公章</w:t>
      </w:r>
      <w:r>
        <w:rPr>
          <w:rFonts w:hAnsiTheme="minorEastAsia" w:eastAsiaTheme="minorEastAsia"/>
          <w:szCs w:val="21"/>
        </w:rPr>
        <w:t>）</w:t>
      </w:r>
    </w:p>
    <w:p>
      <w:pPr>
        <w:tabs>
          <w:tab w:val="center" w:pos="4755"/>
          <w:tab w:val="right" w:pos="9070"/>
        </w:tabs>
        <w:spacing w:before="120" w:beforeLines="50" w:after="120" w:afterLines="50"/>
        <w:ind w:right="1050" w:rightChars="500"/>
        <w:jc w:val="right"/>
        <w:rPr>
          <w:rFonts w:eastAsiaTheme="minorEastAsia"/>
          <w:sz w:val="24"/>
          <w:u w:val="single"/>
        </w:rPr>
      </w:pPr>
      <w:r>
        <w:rPr>
          <w:rFonts w:hAnsiTheme="minorEastAsia" w:eastAsiaTheme="minorEastAsia"/>
          <w:szCs w:val="21"/>
        </w:rPr>
        <w:t>日期：</w:t>
      </w:r>
      <w:r>
        <w:rPr>
          <w:rFonts w:hint="eastAsia" w:hAnsiTheme="minorEastAsia" w:eastAsiaTheme="minorEastAsia"/>
          <w:szCs w:val="21"/>
        </w:rPr>
        <w:t>___</w:t>
      </w:r>
      <w:r>
        <w:rPr>
          <w:rFonts w:hAnsiTheme="minorEastAsia" w:eastAsiaTheme="minorEastAsia"/>
          <w:szCs w:val="21"/>
        </w:rPr>
        <w:t>年</w:t>
      </w:r>
      <w:r>
        <w:rPr>
          <w:rFonts w:hint="eastAsia" w:hAnsiTheme="minorEastAsia" w:eastAsiaTheme="minorEastAsia"/>
          <w:szCs w:val="21"/>
        </w:rPr>
        <w:t>___</w:t>
      </w:r>
      <w:r>
        <w:rPr>
          <w:rFonts w:hAnsiTheme="minorEastAsia" w:eastAsiaTheme="minorEastAsia"/>
          <w:szCs w:val="21"/>
        </w:rPr>
        <w:t>月</w:t>
      </w:r>
      <w:r>
        <w:rPr>
          <w:rFonts w:hint="eastAsia" w:hAnsiTheme="minorEastAsia" w:eastAsiaTheme="minorEastAsia"/>
          <w:szCs w:val="21"/>
        </w:rPr>
        <w:t>___</w:t>
      </w:r>
      <w:r>
        <w:rPr>
          <w:rFonts w:hAnsiTheme="minorEastAsia" w:eastAsiaTheme="minorEastAsia"/>
          <w:szCs w:val="21"/>
        </w:rPr>
        <w:t>日</w:t>
      </w:r>
    </w:p>
    <w:p>
      <w:pPr>
        <w:spacing w:line="360" w:lineRule="auto"/>
        <w:ind w:firstLine="480" w:firstLineChars="200"/>
        <w:rPr>
          <w:kern w:val="0"/>
          <w:sz w:val="24"/>
          <w:szCs w:val="24"/>
        </w:rPr>
      </w:pPr>
    </w:p>
    <w:p>
      <w:pPr>
        <w:spacing w:before="120" w:beforeLines="50" w:after="120" w:afterLines="50"/>
        <w:jc w:val="center"/>
        <w:rPr>
          <w:rFonts w:asciiTheme="majorHAnsi" w:hAnsiTheme="majorHAnsi" w:cstheme="majorBidi"/>
          <w:b/>
          <w:bCs/>
          <w:sz w:val="36"/>
          <w:szCs w:val="32"/>
        </w:rPr>
      </w:pPr>
      <w:r>
        <w:rPr>
          <w:rFonts w:hint="eastAsia" w:eastAsiaTheme="minorEastAsia"/>
          <w:szCs w:val="21"/>
        </w:rPr>
        <w:br w:type="page"/>
      </w:r>
      <w:r>
        <w:rPr>
          <w:rFonts w:hint="eastAsia" w:asciiTheme="majorHAnsi" w:hAnsiTheme="majorHAnsi" w:cstheme="majorBidi"/>
          <w:b/>
          <w:bCs/>
          <w:sz w:val="36"/>
          <w:szCs w:val="32"/>
        </w:rPr>
        <w:t>商务住宿服务方案</w:t>
      </w:r>
    </w:p>
    <w:p>
      <w:pPr>
        <w:spacing w:before="120" w:beforeLines="50" w:after="120" w:afterLines="50"/>
        <w:jc w:val="center"/>
        <w:rPr>
          <w:szCs w:val="21"/>
        </w:rPr>
      </w:pPr>
      <w:r>
        <w:rPr>
          <w:szCs w:val="21"/>
        </w:rPr>
        <w:t>(格式自拟，由响应方根据</w:t>
      </w:r>
      <w:r>
        <w:rPr>
          <w:rFonts w:hint="eastAsia"/>
          <w:szCs w:val="21"/>
        </w:rPr>
        <w:t>项目需求</w:t>
      </w:r>
      <w:r>
        <w:rPr>
          <w:szCs w:val="21"/>
        </w:rPr>
        <w:t>及</w:t>
      </w:r>
      <w:r>
        <w:rPr>
          <w:rFonts w:hint="eastAsia"/>
          <w:szCs w:val="21"/>
        </w:rPr>
        <w:t>谈判</w:t>
      </w:r>
      <w:r>
        <w:rPr>
          <w:szCs w:val="21"/>
        </w:rPr>
        <w:t>文件要求编写)</w:t>
      </w:r>
    </w:p>
    <w:p>
      <w:pPr>
        <w:spacing w:before="120" w:beforeLines="50" w:after="120" w:afterLines="50"/>
        <w:ind w:firstLine="420" w:firstLineChars="200"/>
        <w:rPr>
          <w:kern w:val="0"/>
          <w:szCs w:val="21"/>
        </w:rPr>
      </w:pPr>
    </w:p>
    <w:p>
      <w:pPr>
        <w:spacing w:before="120" w:beforeLines="50" w:after="120" w:afterLines="50"/>
        <w:ind w:right="1050" w:rightChars="500"/>
        <w:jc w:val="right"/>
        <w:rPr>
          <w:rFonts w:hAnsiTheme="minorEastAsia" w:eastAsiaTheme="minorEastAsia"/>
          <w:szCs w:val="21"/>
        </w:rPr>
      </w:pPr>
      <w:r>
        <w:rPr>
          <w:rFonts w:hAnsiTheme="minorEastAsia" w:eastAsiaTheme="minorEastAsia"/>
          <w:szCs w:val="21"/>
        </w:rPr>
        <w:t>法定代表人</w:t>
      </w:r>
      <w:r>
        <w:rPr>
          <w:rFonts w:hint="eastAsia" w:hAnsi="宋体"/>
          <w:kern w:val="0"/>
          <w:szCs w:val="21"/>
        </w:rPr>
        <w:t>或全权代表</w:t>
      </w:r>
      <w:r>
        <w:rPr>
          <w:rFonts w:hAnsiTheme="minorEastAsia" w:eastAsiaTheme="minorEastAsia"/>
          <w:szCs w:val="21"/>
        </w:rPr>
        <w:t>：（签</w:t>
      </w:r>
      <w:r>
        <w:rPr>
          <w:rFonts w:hint="eastAsia" w:hAnsiTheme="minorEastAsia" w:eastAsiaTheme="minorEastAsia"/>
          <w:szCs w:val="21"/>
        </w:rPr>
        <w:t>字或盖章</w:t>
      </w:r>
      <w:r>
        <w:rPr>
          <w:rFonts w:hAnsiTheme="minorEastAsia" w:eastAsiaTheme="minorEastAsia"/>
          <w:szCs w:val="21"/>
        </w:rPr>
        <w:t>）</w:t>
      </w:r>
    </w:p>
    <w:p>
      <w:pPr>
        <w:tabs>
          <w:tab w:val="center" w:pos="4755"/>
          <w:tab w:val="right" w:pos="9070"/>
        </w:tabs>
        <w:spacing w:before="120" w:beforeLines="50" w:after="120" w:afterLines="50"/>
        <w:ind w:right="1050" w:rightChars="500"/>
        <w:jc w:val="right"/>
        <w:rPr>
          <w:rFonts w:hAnsiTheme="minorEastAsia" w:eastAsiaTheme="minorEastAsia"/>
          <w:szCs w:val="21"/>
          <w:u w:val="single"/>
        </w:rPr>
      </w:pPr>
      <w:r>
        <w:rPr>
          <w:rFonts w:hint="eastAsia" w:hAnsiTheme="minorEastAsia" w:eastAsiaTheme="minorEastAsia"/>
          <w:szCs w:val="21"/>
        </w:rPr>
        <w:t>谈判响应方全称</w:t>
      </w:r>
      <w:r>
        <w:rPr>
          <w:rFonts w:hAnsiTheme="minorEastAsia" w:eastAsiaTheme="minorEastAsia"/>
          <w:szCs w:val="21"/>
        </w:rPr>
        <w:t>：（</w:t>
      </w:r>
      <w:r>
        <w:rPr>
          <w:rFonts w:hint="eastAsia" w:hAnsiTheme="minorEastAsia" w:eastAsiaTheme="minorEastAsia"/>
          <w:szCs w:val="21"/>
        </w:rPr>
        <w:t>公章</w:t>
      </w:r>
      <w:r>
        <w:rPr>
          <w:rFonts w:hAnsiTheme="minorEastAsia" w:eastAsiaTheme="minorEastAsia"/>
          <w:szCs w:val="21"/>
        </w:rPr>
        <w:t>）</w:t>
      </w:r>
    </w:p>
    <w:p>
      <w:pPr>
        <w:tabs>
          <w:tab w:val="center" w:pos="4755"/>
          <w:tab w:val="right" w:pos="9070"/>
        </w:tabs>
        <w:spacing w:before="120" w:beforeLines="50" w:after="120" w:afterLines="50"/>
        <w:ind w:right="1050" w:rightChars="500"/>
        <w:jc w:val="right"/>
        <w:rPr>
          <w:rFonts w:eastAsiaTheme="minorEastAsia"/>
          <w:sz w:val="24"/>
          <w:u w:val="single"/>
        </w:rPr>
      </w:pPr>
      <w:r>
        <w:rPr>
          <w:rFonts w:hAnsiTheme="minorEastAsia" w:eastAsiaTheme="minorEastAsia"/>
          <w:szCs w:val="21"/>
        </w:rPr>
        <w:t>日期：</w:t>
      </w:r>
      <w:r>
        <w:rPr>
          <w:rFonts w:hint="eastAsia" w:hAnsiTheme="minorEastAsia" w:eastAsiaTheme="minorEastAsia"/>
          <w:szCs w:val="21"/>
        </w:rPr>
        <w:t>___</w:t>
      </w:r>
      <w:r>
        <w:rPr>
          <w:rFonts w:hAnsiTheme="minorEastAsia" w:eastAsiaTheme="minorEastAsia"/>
          <w:szCs w:val="21"/>
        </w:rPr>
        <w:t>年</w:t>
      </w:r>
      <w:r>
        <w:rPr>
          <w:rFonts w:hint="eastAsia" w:hAnsiTheme="minorEastAsia" w:eastAsiaTheme="minorEastAsia"/>
          <w:szCs w:val="21"/>
        </w:rPr>
        <w:t>___</w:t>
      </w:r>
      <w:r>
        <w:rPr>
          <w:rFonts w:hAnsiTheme="minorEastAsia" w:eastAsiaTheme="minorEastAsia"/>
          <w:szCs w:val="21"/>
        </w:rPr>
        <w:t>月</w:t>
      </w:r>
      <w:r>
        <w:rPr>
          <w:rFonts w:hint="eastAsia" w:hAnsiTheme="minorEastAsia" w:eastAsiaTheme="minorEastAsia"/>
          <w:szCs w:val="21"/>
        </w:rPr>
        <w:t>___</w:t>
      </w:r>
      <w:r>
        <w:rPr>
          <w:rFonts w:hAnsiTheme="minorEastAsia" w:eastAsiaTheme="minorEastAsia"/>
          <w:szCs w:val="21"/>
        </w:rPr>
        <w:t>日</w:t>
      </w:r>
    </w:p>
    <w:p>
      <w:pPr>
        <w:spacing w:before="120" w:beforeLines="50" w:after="120" w:afterLines="50"/>
        <w:jc w:val="center"/>
        <w:rPr>
          <w:rFonts w:asciiTheme="majorHAnsi" w:hAnsiTheme="majorHAnsi" w:cstheme="majorBidi"/>
          <w:b/>
          <w:bCs/>
          <w:sz w:val="36"/>
          <w:szCs w:val="32"/>
        </w:rPr>
      </w:pPr>
      <w:r>
        <w:rPr>
          <w:rFonts w:hint="eastAsia" w:asciiTheme="majorHAnsi" w:hAnsiTheme="majorHAnsi" w:cstheme="majorBidi"/>
          <w:b/>
          <w:bCs/>
          <w:sz w:val="36"/>
          <w:szCs w:val="32"/>
        </w:rPr>
        <w:t>培训、会议服务方案（含相关礼仪服务）</w:t>
      </w:r>
    </w:p>
    <w:p>
      <w:pPr>
        <w:spacing w:before="120" w:beforeLines="50" w:after="120" w:afterLines="50"/>
        <w:jc w:val="center"/>
        <w:rPr>
          <w:szCs w:val="21"/>
        </w:rPr>
      </w:pPr>
      <w:r>
        <w:rPr>
          <w:szCs w:val="21"/>
        </w:rPr>
        <w:t>(格式自拟，由响应方根据</w:t>
      </w:r>
      <w:r>
        <w:rPr>
          <w:rFonts w:hint="eastAsia"/>
          <w:szCs w:val="21"/>
        </w:rPr>
        <w:t>项目需求</w:t>
      </w:r>
      <w:r>
        <w:rPr>
          <w:szCs w:val="21"/>
        </w:rPr>
        <w:t>及</w:t>
      </w:r>
      <w:r>
        <w:rPr>
          <w:rFonts w:hint="eastAsia"/>
          <w:szCs w:val="21"/>
        </w:rPr>
        <w:t>谈判</w:t>
      </w:r>
      <w:r>
        <w:rPr>
          <w:szCs w:val="21"/>
        </w:rPr>
        <w:t>文件要求编写)</w:t>
      </w:r>
    </w:p>
    <w:p>
      <w:pPr>
        <w:spacing w:before="120" w:beforeLines="50" w:after="120" w:afterLines="50"/>
        <w:ind w:firstLine="420" w:firstLineChars="200"/>
        <w:rPr>
          <w:kern w:val="0"/>
          <w:szCs w:val="21"/>
        </w:rPr>
      </w:pPr>
    </w:p>
    <w:p>
      <w:pPr>
        <w:spacing w:before="120" w:beforeLines="50" w:after="120" w:afterLines="50"/>
        <w:ind w:right="1050" w:rightChars="500"/>
        <w:jc w:val="right"/>
        <w:rPr>
          <w:rFonts w:hAnsiTheme="minorEastAsia" w:eastAsiaTheme="minorEastAsia"/>
          <w:szCs w:val="21"/>
        </w:rPr>
      </w:pPr>
      <w:r>
        <w:rPr>
          <w:rFonts w:hAnsiTheme="minorEastAsia" w:eastAsiaTheme="minorEastAsia"/>
          <w:szCs w:val="21"/>
        </w:rPr>
        <w:t>法定代表人</w:t>
      </w:r>
      <w:r>
        <w:rPr>
          <w:rFonts w:hint="eastAsia" w:hAnsi="宋体"/>
          <w:kern w:val="0"/>
          <w:szCs w:val="21"/>
        </w:rPr>
        <w:t>或全权代表</w:t>
      </w:r>
      <w:r>
        <w:rPr>
          <w:rFonts w:hAnsiTheme="minorEastAsia" w:eastAsiaTheme="minorEastAsia"/>
          <w:szCs w:val="21"/>
        </w:rPr>
        <w:t>：（签</w:t>
      </w:r>
      <w:r>
        <w:rPr>
          <w:rFonts w:hint="eastAsia" w:hAnsiTheme="minorEastAsia" w:eastAsiaTheme="minorEastAsia"/>
          <w:szCs w:val="21"/>
        </w:rPr>
        <w:t>字或盖章</w:t>
      </w:r>
      <w:r>
        <w:rPr>
          <w:rFonts w:hAnsiTheme="minorEastAsia" w:eastAsiaTheme="minorEastAsia"/>
          <w:szCs w:val="21"/>
        </w:rPr>
        <w:t>）</w:t>
      </w:r>
    </w:p>
    <w:p>
      <w:pPr>
        <w:tabs>
          <w:tab w:val="center" w:pos="4755"/>
          <w:tab w:val="right" w:pos="9070"/>
        </w:tabs>
        <w:spacing w:before="120" w:beforeLines="50" w:after="120" w:afterLines="50"/>
        <w:ind w:right="1050" w:rightChars="500"/>
        <w:jc w:val="right"/>
        <w:rPr>
          <w:rFonts w:hAnsiTheme="minorEastAsia" w:eastAsiaTheme="minorEastAsia"/>
          <w:szCs w:val="21"/>
          <w:u w:val="single"/>
        </w:rPr>
      </w:pPr>
      <w:r>
        <w:rPr>
          <w:rFonts w:hint="eastAsia" w:hAnsiTheme="minorEastAsia" w:eastAsiaTheme="minorEastAsia"/>
          <w:szCs w:val="21"/>
        </w:rPr>
        <w:t>谈判响应方全称</w:t>
      </w:r>
      <w:r>
        <w:rPr>
          <w:rFonts w:hAnsiTheme="minorEastAsia" w:eastAsiaTheme="minorEastAsia"/>
          <w:szCs w:val="21"/>
        </w:rPr>
        <w:t>：（</w:t>
      </w:r>
      <w:r>
        <w:rPr>
          <w:rFonts w:hint="eastAsia" w:hAnsiTheme="minorEastAsia" w:eastAsiaTheme="minorEastAsia"/>
          <w:szCs w:val="21"/>
        </w:rPr>
        <w:t>公章</w:t>
      </w:r>
      <w:r>
        <w:rPr>
          <w:rFonts w:hAnsiTheme="minorEastAsia" w:eastAsiaTheme="minorEastAsia"/>
          <w:szCs w:val="21"/>
        </w:rPr>
        <w:t>）</w:t>
      </w:r>
    </w:p>
    <w:p>
      <w:pPr>
        <w:tabs>
          <w:tab w:val="center" w:pos="4755"/>
          <w:tab w:val="right" w:pos="9070"/>
        </w:tabs>
        <w:spacing w:before="120" w:beforeLines="50" w:after="120" w:afterLines="50"/>
        <w:ind w:right="1050" w:rightChars="500"/>
        <w:jc w:val="right"/>
        <w:rPr>
          <w:rFonts w:eastAsiaTheme="minorEastAsia"/>
          <w:sz w:val="24"/>
          <w:u w:val="single"/>
        </w:rPr>
      </w:pPr>
      <w:r>
        <w:rPr>
          <w:rFonts w:hAnsiTheme="minorEastAsia" w:eastAsiaTheme="minorEastAsia"/>
          <w:szCs w:val="21"/>
        </w:rPr>
        <w:t>日期：</w:t>
      </w:r>
      <w:r>
        <w:rPr>
          <w:rFonts w:hint="eastAsia" w:hAnsiTheme="minorEastAsia" w:eastAsiaTheme="minorEastAsia"/>
          <w:szCs w:val="21"/>
        </w:rPr>
        <w:t>___</w:t>
      </w:r>
      <w:r>
        <w:rPr>
          <w:rFonts w:hAnsiTheme="minorEastAsia" w:eastAsiaTheme="minorEastAsia"/>
          <w:szCs w:val="21"/>
        </w:rPr>
        <w:t>年</w:t>
      </w:r>
      <w:r>
        <w:rPr>
          <w:rFonts w:hint="eastAsia" w:hAnsiTheme="minorEastAsia" w:eastAsiaTheme="minorEastAsia"/>
          <w:szCs w:val="21"/>
        </w:rPr>
        <w:t>___</w:t>
      </w:r>
      <w:r>
        <w:rPr>
          <w:rFonts w:hAnsiTheme="minorEastAsia" w:eastAsiaTheme="minorEastAsia"/>
          <w:szCs w:val="21"/>
        </w:rPr>
        <w:t>月</w:t>
      </w:r>
      <w:r>
        <w:rPr>
          <w:rFonts w:hint="eastAsia" w:hAnsiTheme="minorEastAsia" w:eastAsiaTheme="minorEastAsia"/>
          <w:szCs w:val="21"/>
        </w:rPr>
        <w:t>___</w:t>
      </w:r>
      <w:r>
        <w:rPr>
          <w:rFonts w:hAnsiTheme="minorEastAsia" w:eastAsiaTheme="minorEastAsia"/>
          <w:szCs w:val="21"/>
        </w:rPr>
        <w:t>日</w:t>
      </w:r>
    </w:p>
    <w:p>
      <w:pPr>
        <w:spacing w:before="120" w:beforeLines="50" w:after="120" w:afterLines="50"/>
        <w:jc w:val="center"/>
        <w:rPr>
          <w:rFonts w:asciiTheme="majorHAnsi" w:hAnsiTheme="majorHAnsi" w:cstheme="majorBidi"/>
          <w:b/>
          <w:bCs/>
          <w:sz w:val="36"/>
          <w:szCs w:val="32"/>
        </w:rPr>
      </w:pPr>
      <w:r>
        <w:rPr>
          <w:rFonts w:hint="eastAsia" w:asciiTheme="majorHAnsi" w:hAnsiTheme="majorHAnsi" w:cstheme="majorBidi"/>
          <w:b/>
          <w:bCs/>
          <w:sz w:val="36"/>
          <w:szCs w:val="32"/>
        </w:rPr>
        <w:t>针对本项目的合理化建议、重难点分析及解决措施</w:t>
      </w:r>
    </w:p>
    <w:p>
      <w:pPr>
        <w:spacing w:before="120" w:beforeLines="50" w:after="120" w:afterLines="50"/>
        <w:jc w:val="center"/>
        <w:rPr>
          <w:szCs w:val="21"/>
        </w:rPr>
      </w:pPr>
      <w:r>
        <w:rPr>
          <w:szCs w:val="21"/>
        </w:rPr>
        <w:t>(格式自拟，由响应方根据</w:t>
      </w:r>
      <w:r>
        <w:rPr>
          <w:rFonts w:hint="eastAsia"/>
          <w:szCs w:val="21"/>
        </w:rPr>
        <w:t>项目需求</w:t>
      </w:r>
      <w:r>
        <w:rPr>
          <w:szCs w:val="21"/>
        </w:rPr>
        <w:t>及</w:t>
      </w:r>
      <w:r>
        <w:rPr>
          <w:rFonts w:hint="eastAsia"/>
          <w:szCs w:val="21"/>
        </w:rPr>
        <w:t>谈判</w:t>
      </w:r>
      <w:r>
        <w:rPr>
          <w:szCs w:val="21"/>
        </w:rPr>
        <w:t>文件要求编写)</w:t>
      </w:r>
    </w:p>
    <w:p>
      <w:pPr>
        <w:spacing w:before="120" w:beforeLines="50" w:after="120" w:afterLines="50"/>
        <w:ind w:firstLine="420" w:firstLineChars="200"/>
        <w:rPr>
          <w:kern w:val="0"/>
          <w:szCs w:val="21"/>
        </w:rPr>
      </w:pPr>
    </w:p>
    <w:p>
      <w:pPr>
        <w:spacing w:before="120" w:beforeLines="50" w:after="120" w:afterLines="50"/>
        <w:ind w:right="1050" w:rightChars="500"/>
        <w:jc w:val="right"/>
        <w:rPr>
          <w:rFonts w:hAnsiTheme="minorEastAsia" w:eastAsiaTheme="minorEastAsia"/>
          <w:szCs w:val="21"/>
        </w:rPr>
      </w:pPr>
      <w:r>
        <w:rPr>
          <w:rFonts w:hAnsiTheme="minorEastAsia" w:eastAsiaTheme="minorEastAsia"/>
          <w:szCs w:val="21"/>
        </w:rPr>
        <w:t>法定代表人</w:t>
      </w:r>
      <w:r>
        <w:rPr>
          <w:rFonts w:hint="eastAsia" w:hAnsi="宋体"/>
          <w:kern w:val="0"/>
          <w:szCs w:val="21"/>
        </w:rPr>
        <w:t>或全权代表</w:t>
      </w:r>
      <w:r>
        <w:rPr>
          <w:rFonts w:hAnsiTheme="minorEastAsia" w:eastAsiaTheme="minorEastAsia"/>
          <w:szCs w:val="21"/>
        </w:rPr>
        <w:t>：（签</w:t>
      </w:r>
      <w:r>
        <w:rPr>
          <w:rFonts w:hint="eastAsia" w:hAnsiTheme="minorEastAsia" w:eastAsiaTheme="minorEastAsia"/>
          <w:szCs w:val="21"/>
        </w:rPr>
        <w:t>字或盖章</w:t>
      </w:r>
      <w:r>
        <w:rPr>
          <w:rFonts w:hAnsiTheme="minorEastAsia" w:eastAsiaTheme="minorEastAsia"/>
          <w:szCs w:val="21"/>
        </w:rPr>
        <w:t>）</w:t>
      </w:r>
    </w:p>
    <w:p>
      <w:pPr>
        <w:tabs>
          <w:tab w:val="center" w:pos="4755"/>
          <w:tab w:val="right" w:pos="9070"/>
        </w:tabs>
        <w:spacing w:before="120" w:beforeLines="50" w:after="120" w:afterLines="50"/>
        <w:ind w:right="1050" w:rightChars="500"/>
        <w:jc w:val="right"/>
        <w:rPr>
          <w:rFonts w:hAnsiTheme="minorEastAsia" w:eastAsiaTheme="minorEastAsia"/>
          <w:szCs w:val="21"/>
          <w:u w:val="single"/>
        </w:rPr>
      </w:pPr>
      <w:r>
        <w:rPr>
          <w:rFonts w:hint="eastAsia" w:hAnsiTheme="minorEastAsia" w:eastAsiaTheme="minorEastAsia"/>
          <w:szCs w:val="21"/>
        </w:rPr>
        <w:t>谈判响应方全称</w:t>
      </w:r>
      <w:r>
        <w:rPr>
          <w:rFonts w:hAnsiTheme="minorEastAsia" w:eastAsiaTheme="minorEastAsia"/>
          <w:szCs w:val="21"/>
        </w:rPr>
        <w:t>：（</w:t>
      </w:r>
      <w:r>
        <w:rPr>
          <w:rFonts w:hint="eastAsia" w:hAnsiTheme="minorEastAsia" w:eastAsiaTheme="minorEastAsia"/>
          <w:szCs w:val="21"/>
        </w:rPr>
        <w:t>公章</w:t>
      </w:r>
      <w:r>
        <w:rPr>
          <w:rFonts w:hAnsiTheme="minorEastAsia" w:eastAsiaTheme="minorEastAsia"/>
          <w:szCs w:val="21"/>
        </w:rPr>
        <w:t>）</w:t>
      </w:r>
    </w:p>
    <w:p>
      <w:pPr>
        <w:tabs>
          <w:tab w:val="center" w:pos="4755"/>
          <w:tab w:val="right" w:pos="9070"/>
        </w:tabs>
        <w:spacing w:before="120" w:beforeLines="50" w:after="120" w:afterLines="50"/>
        <w:ind w:right="1050" w:rightChars="500"/>
        <w:jc w:val="right"/>
        <w:rPr>
          <w:rFonts w:eastAsiaTheme="minorEastAsia"/>
          <w:sz w:val="24"/>
          <w:u w:val="single"/>
        </w:rPr>
      </w:pPr>
      <w:r>
        <w:rPr>
          <w:rFonts w:hAnsiTheme="minorEastAsia" w:eastAsiaTheme="minorEastAsia"/>
          <w:szCs w:val="21"/>
        </w:rPr>
        <w:t>日期：</w:t>
      </w:r>
      <w:r>
        <w:rPr>
          <w:rFonts w:hint="eastAsia" w:hAnsiTheme="minorEastAsia" w:eastAsiaTheme="minorEastAsia"/>
          <w:szCs w:val="21"/>
        </w:rPr>
        <w:t>___</w:t>
      </w:r>
      <w:r>
        <w:rPr>
          <w:rFonts w:hAnsiTheme="minorEastAsia" w:eastAsiaTheme="minorEastAsia"/>
          <w:szCs w:val="21"/>
        </w:rPr>
        <w:t>年</w:t>
      </w:r>
      <w:r>
        <w:rPr>
          <w:rFonts w:hint="eastAsia" w:hAnsiTheme="minorEastAsia" w:eastAsiaTheme="minorEastAsia"/>
          <w:szCs w:val="21"/>
        </w:rPr>
        <w:t>___</w:t>
      </w:r>
      <w:r>
        <w:rPr>
          <w:rFonts w:hAnsiTheme="minorEastAsia" w:eastAsiaTheme="minorEastAsia"/>
          <w:szCs w:val="21"/>
        </w:rPr>
        <w:t>月</w:t>
      </w:r>
      <w:r>
        <w:rPr>
          <w:rFonts w:hint="eastAsia" w:hAnsiTheme="minorEastAsia" w:eastAsiaTheme="minorEastAsia"/>
          <w:szCs w:val="21"/>
        </w:rPr>
        <w:t>___</w:t>
      </w:r>
      <w:r>
        <w:rPr>
          <w:rFonts w:hAnsiTheme="minorEastAsia" w:eastAsiaTheme="minorEastAsia"/>
          <w:szCs w:val="21"/>
        </w:rPr>
        <w:t>日</w:t>
      </w:r>
    </w:p>
    <w:p>
      <w:pPr>
        <w:rPr>
          <w:rFonts w:eastAsiaTheme="minorEastAsia"/>
          <w:szCs w:val="21"/>
        </w:rPr>
      </w:pPr>
    </w:p>
    <w:p>
      <w:pPr>
        <w:spacing w:before="120" w:beforeLines="50" w:after="120" w:afterLines="50"/>
        <w:jc w:val="center"/>
        <w:rPr>
          <w:rFonts w:asciiTheme="majorHAnsi" w:hAnsiTheme="majorHAnsi" w:cstheme="majorBidi"/>
          <w:b/>
          <w:bCs/>
          <w:sz w:val="36"/>
          <w:szCs w:val="32"/>
        </w:rPr>
      </w:pPr>
      <w:r>
        <w:rPr>
          <w:rFonts w:hint="eastAsia" w:asciiTheme="majorHAnsi" w:hAnsiTheme="majorHAnsi" w:cstheme="majorBidi"/>
          <w:b/>
          <w:bCs/>
          <w:sz w:val="36"/>
          <w:szCs w:val="32"/>
        </w:rPr>
        <w:t>谈判响应方认为需要提供的其他资料</w:t>
      </w:r>
    </w:p>
    <w:p>
      <w:pPr>
        <w:spacing w:before="120" w:beforeLines="50" w:after="120" w:afterLines="50"/>
        <w:jc w:val="center"/>
        <w:rPr>
          <w:szCs w:val="21"/>
        </w:rPr>
      </w:pPr>
      <w:r>
        <w:rPr>
          <w:szCs w:val="21"/>
        </w:rPr>
        <w:t>(</w:t>
      </w:r>
      <w:r>
        <w:rPr>
          <w:rFonts w:hint="eastAsia"/>
          <w:szCs w:val="21"/>
        </w:rPr>
        <w:t>如与评分关的其它资料</w:t>
      </w:r>
      <w:r>
        <w:rPr>
          <w:szCs w:val="21"/>
        </w:rPr>
        <w:t>格式自拟，由响应方根据</w:t>
      </w:r>
      <w:r>
        <w:rPr>
          <w:rFonts w:hint="eastAsia"/>
          <w:szCs w:val="21"/>
        </w:rPr>
        <w:t>项目需求</w:t>
      </w:r>
      <w:r>
        <w:rPr>
          <w:szCs w:val="21"/>
        </w:rPr>
        <w:t>及</w:t>
      </w:r>
      <w:r>
        <w:rPr>
          <w:rFonts w:hint="eastAsia"/>
          <w:szCs w:val="21"/>
        </w:rPr>
        <w:t>谈判</w:t>
      </w:r>
      <w:r>
        <w:rPr>
          <w:szCs w:val="21"/>
        </w:rPr>
        <w:t>文件要求编写)</w:t>
      </w:r>
    </w:p>
    <w:p>
      <w:pPr>
        <w:spacing w:before="120" w:beforeLines="50" w:after="120" w:afterLines="50"/>
        <w:ind w:firstLine="420" w:firstLineChars="200"/>
        <w:rPr>
          <w:kern w:val="0"/>
          <w:szCs w:val="21"/>
        </w:rPr>
      </w:pPr>
    </w:p>
    <w:p>
      <w:pPr>
        <w:spacing w:before="120" w:beforeLines="50" w:after="120" w:afterLines="50"/>
        <w:ind w:right="1050" w:rightChars="500"/>
        <w:jc w:val="right"/>
        <w:rPr>
          <w:rFonts w:hAnsiTheme="minorEastAsia" w:eastAsiaTheme="minorEastAsia"/>
          <w:szCs w:val="21"/>
        </w:rPr>
      </w:pPr>
      <w:r>
        <w:rPr>
          <w:rFonts w:hAnsiTheme="minorEastAsia" w:eastAsiaTheme="minorEastAsia"/>
          <w:szCs w:val="21"/>
        </w:rPr>
        <w:t>法定代表人</w:t>
      </w:r>
      <w:r>
        <w:rPr>
          <w:rFonts w:hint="eastAsia" w:hAnsi="宋体"/>
          <w:kern w:val="0"/>
          <w:szCs w:val="21"/>
        </w:rPr>
        <w:t>或全权代表</w:t>
      </w:r>
      <w:r>
        <w:rPr>
          <w:rFonts w:hAnsiTheme="minorEastAsia" w:eastAsiaTheme="minorEastAsia"/>
          <w:szCs w:val="21"/>
        </w:rPr>
        <w:t>：（签</w:t>
      </w:r>
      <w:r>
        <w:rPr>
          <w:rFonts w:hint="eastAsia" w:hAnsiTheme="minorEastAsia" w:eastAsiaTheme="minorEastAsia"/>
          <w:szCs w:val="21"/>
        </w:rPr>
        <w:t>字或盖章</w:t>
      </w:r>
      <w:r>
        <w:rPr>
          <w:rFonts w:hAnsiTheme="minorEastAsia" w:eastAsiaTheme="minorEastAsia"/>
          <w:szCs w:val="21"/>
        </w:rPr>
        <w:t>）</w:t>
      </w:r>
    </w:p>
    <w:p>
      <w:pPr>
        <w:tabs>
          <w:tab w:val="center" w:pos="4755"/>
          <w:tab w:val="right" w:pos="9070"/>
        </w:tabs>
        <w:spacing w:before="120" w:beforeLines="50" w:after="120" w:afterLines="50"/>
        <w:ind w:right="1050" w:rightChars="500"/>
        <w:jc w:val="right"/>
        <w:rPr>
          <w:rFonts w:hAnsiTheme="minorEastAsia" w:eastAsiaTheme="minorEastAsia"/>
          <w:szCs w:val="21"/>
          <w:u w:val="single"/>
        </w:rPr>
      </w:pPr>
      <w:r>
        <w:rPr>
          <w:rFonts w:hint="eastAsia" w:hAnsiTheme="minorEastAsia" w:eastAsiaTheme="minorEastAsia"/>
          <w:szCs w:val="21"/>
        </w:rPr>
        <w:t>谈判响应方全称</w:t>
      </w:r>
      <w:r>
        <w:rPr>
          <w:rFonts w:hAnsiTheme="minorEastAsia" w:eastAsiaTheme="minorEastAsia"/>
          <w:szCs w:val="21"/>
        </w:rPr>
        <w:t>：（</w:t>
      </w:r>
      <w:r>
        <w:rPr>
          <w:rFonts w:hint="eastAsia" w:hAnsiTheme="minorEastAsia" w:eastAsiaTheme="minorEastAsia"/>
          <w:szCs w:val="21"/>
        </w:rPr>
        <w:t>公章</w:t>
      </w:r>
      <w:r>
        <w:rPr>
          <w:rFonts w:hAnsiTheme="minorEastAsia" w:eastAsiaTheme="minorEastAsia"/>
          <w:szCs w:val="21"/>
        </w:rPr>
        <w:t>）</w:t>
      </w:r>
    </w:p>
    <w:p>
      <w:pPr>
        <w:tabs>
          <w:tab w:val="center" w:pos="4755"/>
          <w:tab w:val="right" w:pos="9070"/>
        </w:tabs>
        <w:spacing w:before="120" w:beforeLines="50" w:after="120" w:afterLines="50"/>
        <w:ind w:right="1050" w:rightChars="500"/>
        <w:jc w:val="right"/>
        <w:rPr>
          <w:rFonts w:hAnsiTheme="minorEastAsia" w:eastAsiaTheme="minorEastAsia"/>
          <w:szCs w:val="21"/>
        </w:rPr>
      </w:pPr>
      <w:r>
        <w:rPr>
          <w:rFonts w:hAnsiTheme="minorEastAsia" w:eastAsiaTheme="minorEastAsia"/>
          <w:szCs w:val="21"/>
        </w:rPr>
        <w:t>日期：</w:t>
      </w:r>
      <w:r>
        <w:rPr>
          <w:rFonts w:hint="eastAsia" w:hAnsiTheme="minorEastAsia" w:eastAsiaTheme="minorEastAsia"/>
          <w:szCs w:val="21"/>
        </w:rPr>
        <w:t>___</w:t>
      </w:r>
      <w:r>
        <w:rPr>
          <w:rFonts w:hAnsiTheme="minorEastAsia" w:eastAsiaTheme="minorEastAsia"/>
          <w:szCs w:val="21"/>
        </w:rPr>
        <w:t>年</w:t>
      </w:r>
      <w:r>
        <w:rPr>
          <w:rFonts w:hint="eastAsia" w:hAnsiTheme="minorEastAsia" w:eastAsiaTheme="minorEastAsia"/>
          <w:szCs w:val="21"/>
        </w:rPr>
        <w:t>___</w:t>
      </w:r>
      <w:r>
        <w:rPr>
          <w:rFonts w:hAnsiTheme="minorEastAsia" w:eastAsiaTheme="minorEastAsia"/>
          <w:szCs w:val="21"/>
        </w:rPr>
        <w:t>月</w:t>
      </w:r>
      <w:r>
        <w:rPr>
          <w:rFonts w:hint="eastAsia" w:hAnsiTheme="minorEastAsia" w:eastAsiaTheme="minorEastAsia"/>
          <w:szCs w:val="21"/>
        </w:rPr>
        <w:t>___</w:t>
      </w:r>
      <w:r>
        <w:rPr>
          <w:rFonts w:hAnsiTheme="minorEastAsia" w:eastAsiaTheme="minorEastAsia"/>
          <w:szCs w:val="21"/>
        </w:rPr>
        <w:t>日</w:t>
      </w:r>
    </w:p>
    <w:p>
      <w:pPr>
        <w:tabs>
          <w:tab w:val="center" w:pos="4755"/>
          <w:tab w:val="right" w:pos="9070"/>
        </w:tabs>
        <w:spacing w:before="120" w:beforeLines="50" w:after="120" w:afterLines="50"/>
        <w:ind w:right="1050" w:rightChars="500"/>
        <w:jc w:val="right"/>
        <w:rPr>
          <w:rFonts w:hAnsiTheme="minorEastAsia" w:eastAsiaTheme="minorEastAsia"/>
          <w:szCs w:val="21"/>
        </w:rPr>
      </w:pPr>
    </w:p>
    <w:p>
      <w:pPr>
        <w:rPr>
          <w:rFonts w:eastAsiaTheme="minorEastAsia"/>
          <w:szCs w:val="21"/>
        </w:rPr>
      </w:pPr>
    </w:p>
    <w:p>
      <w:pPr>
        <w:pStyle w:val="79"/>
        <w:ind w:firstLine="420"/>
        <w:rPr>
          <w:rFonts w:eastAsiaTheme="minorEastAsia"/>
          <w:szCs w:val="21"/>
        </w:rPr>
      </w:pPr>
      <w:r>
        <w:rPr>
          <w:rFonts w:hint="eastAsia" w:eastAsiaTheme="minorEastAsia"/>
          <w:szCs w:val="21"/>
        </w:rPr>
        <w:t>附件一：封条格式</w:t>
      </w:r>
    </w:p>
    <w:p>
      <w:pPr>
        <w:spacing w:line="360" w:lineRule="auto"/>
        <w:jc w:val="center"/>
        <w:rPr>
          <w:rFonts w:ascii="黑体" w:hAnsi="黑体" w:eastAsia="黑体"/>
          <w:sz w:val="32"/>
          <w:szCs w:val="52"/>
        </w:rPr>
      </w:pPr>
    </w:p>
    <w:p>
      <w:pPr>
        <w:spacing w:line="360" w:lineRule="auto"/>
        <w:jc w:val="center"/>
        <w:rPr>
          <w:rFonts w:eastAsiaTheme="minorEastAsia"/>
          <w:b/>
          <w:sz w:val="52"/>
        </w:rPr>
      </w:pPr>
      <w:r>
        <w:rPr>
          <w:rFonts w:eastAsiaTheme="minorEastAsia"/>
          <w:b/>
          <w:sz w:val="52"/>
        </w:rPr>
        <w:t>(</w:t>
      </w:r>
      <w:r>
        <w:rPr>
          <w:rFonts w:hAnsiTheme="minorEastAsia" w:eastAsiaTheme="minorEastAsia"/>
          <w:b/>
          <w:sz w:val="52"/>
        </w:rPr>
        <w:t>项目名称</w:t>
      </w:r>
      <w:r>
        <w:rPr>
          <w:rFonts w:eastAsiaTheme="minorEastAsia"/>
          <w:b/>
          <w:sz w:val="52"/>
        </w:rPr>
        <w:t>)</w:t>
      </w:r>
      <w:r>
        <w:rPr>
          <w:rFonts w:hAnsiTheme="minorEastAsia" w:eastAsiaTheme="minorEastAsia"/>
          <w:b/>
          <w:sz w:val="52"/>
        </w:rPr>
        <w:t>项目</w:t>
      </w:r>
    </w:p>
    <w:p>
      <w:pPr>
        <w:spacing w:line="360" w:lineRule="auto"/>
        <w:ind w:left="130" w:right="-1079" w:hanging="1027"/>
        <w:jc w:val="center"/>
        <w:rPr>
          <w:rFonts w:eastAsiaTheme="minorEastAsia"/>
          <w:sz w:val="32"/>
        </w:rPr>
      </w:pPr>
      <w:r>
        <w:rPr>
          <w:rFonts w:hAnsiTheme="minorEastAsia" w:eastAsiaTheme="minorEastAsia"/>
          <w:sz w:val="32"/>
        </w:rPr>
        <w:t>项目编号：</w:t>
      </w:r>
    </w:p>
    <w:p>
      <w:pPr>
        <w:jc w:val="center"/>
        <w:rPr>
          <w:rFonts w:eastAsiaTheme="minorEastAsia"/>
          <w:sz w:val="52"/>
        </w:rPr>
      </w:pPr>
    </w:p>
    <w:p>
      <w:pPr>
        <w:pStyle w:val="79"/>
        <w:ind w:firstLine="420"/>
        <w:rPr>
          <w:lang w:val="en-US"/>
        </w:rPr>
      </w:pPr>
    </w:p>
    <w:p>
      <w:pPr>
        <w:spacing w:line="240" w:lineRule="auto"/>
        <w:jc w:val="center"/>
        <w:rPr>
          <w:rFonts w:hAnsiTheme="minorEastAsia" w:eastAsiaTheme="minorEastAsia"/>
          <w:b/>
          <w:sz w:val="52"/>
        </w:rPr>
      </w:pPr>
      <w:r>
        <w:rPr>
          <w:rFonts w:hint="eastAsia" w:hAnsiTheme="minorEastAsia" w:eastAsiaTheme="minorEastAsia"/>
          <w:b/>
          <w:sz w:val="52"/>
        </w:rPr>
        <w:t>竞</w:t>
      </w:r>
    </w:p>
    <w:p>
      <w:pPr>
        <w:spacing w:line="240" w:lineRule="auto"/>
        <w:jc w:val="center"/>
        <w:rPr>
          <w:rFonts w:hAnsiTheme="minorEastAsia" w:eastAsiaTheme="minorEastAsia"/>
          <w:b/>
          <w:sz w:val="52"/>
        </w:rPr>
      </w:pPr>
      <w:r>
        <w:rPr>
          <w:rFonts w:hint="eastAsia" w:hAnsiTheme="minorEastAsia" w:eastAsiaTheme="minorEastAsia"/>
          <w:b/>
          <w:sz w:val="52"/>
        </w:rPr>
        <w:t>争</w:t>
      </w:r>
    </w:p>
    <w:p>
      <w:pPr>
        <w:spacing w:line="240" w:lineRule="auto"/>
        <w:jc w:val="center"/>
        <w:rPr>
          <w:rFonts w:hAnsiTheme="minorEastAsia" w:eastAsiaTheme="minorEastAsia"/>
          <w:b/>
          <w:sz w:val="52"/>
        </w:rPr>
      </w:pPr>
      <w:r>
        <w:rPr>
          <w:rFonts w:hint="eastAsia" w:hAnsiTheme="minorEastAsia" w:eastAsiaTheme="minorEastAsia"/>
          <w:b/>
          <w:sz w:val="52"/>
        </w:rPr>
        <w:t>性</w:t>
      </w:r>
    </w:p>
    <w:p>
      <w:pPr>
        <w:spacing w:line="240" w:lineRule="auto"/>
        <w:jc w:val="center"/>
        <w:rPr>
          <w:rFonts w:hAnsiTheme="minorEastAsia" w:eastAsiaTheme="minorEastAsia"/>
          <w:b/>
          <w:sz w:val="52"/>
        </w:rPr>
      </w:pPr>
      <w:r>
        <w:rPr>
          <w:rFonts w:hint="eastAsia" w:hAnsiTheme="minorEastAsia" w:eastAsiaTheme="minorEastAsia"/>
          <w:b/>
          <w:sz w:val="52"/>
        </w:rPr>
        <w:t>谈</w:t>
      </w:r>
    </w:p>
    <w:p>
      <w:pPr>
        <w:spacing w:line="240" w:lineRule="auto"/>
        <w:jc w:val="center"/>
        <w:rPr>
          <w:rFonts w:hAnsiTheme="minorEastAsia" w:eastAsiaTheme="minorEastAsia"/>
          <w:b/>
          <w:sz w:val="52"/>
        </w:rPr>
      </w:pPr>
      <w:r>
        <w:rPr>
          <w:rFonts w:hint="eastAsia" w:hAnsiTheme="minorEastAsia" w:eastAsiaTheme="minorEastAsia"/>
          <w:b/>
          <w:sz w:val="52"/>
        </w:rPr>
        <w:t>判</w:t>
      </w:r>
    </w:p>
    <w:p>
      <w:pPr>
        <w:spacing w:line="240" w:lineRule="auto"/>
        <w:jc w:val="center"/>
        <w:rPr>
          <w:rFonts w:hAnsiTheme="minorEastAsia" w:eastAsiaTheme="minorEastAsia"/>
          <w:b/>
          <w:sz w:val="52"/>
        </w:rPr>
      </w:pPr>
      <w:r>
        <w:rPr>
          <w:rFonts w:hAnsiTheme="minorEastAsia" w:eastAsiaTheme="minorEastAsia"/>
          <w:b/>
          <w:sz w:val="52"/>
        </w:rPr>
        <w:t>响</w:t>
      </w:r>
    </w:p>
    <w:p>
      <w:pPr>
        <w:spacing w:line="240" w:lineRule="auto"/>
        <w:jc w:val="center"/>
        <w:rPr>
          <w:rFonts w:eastAsiaTheme="minorEastAsia"/>
          <w:b/>
          <w:sz w:val="52"/>
        </w:rPr>
      </w:pPr>
      <w:r>
        <w:rPr>
          <w:rFonts w:hAnsiTheme="minorEastAsia" w:eastAsiaTheme="minorEastAsia"/>
          <w:b/>
          <w:sz w:val="52"/>
        </w:rPr>
        <w:t>应</w:t>
      </w:r>
    </w:p>
    <w:p>
      <w:pPr>
        <w:spacing w:line="240" w:lineRule="auto"/>
        <w:jc w:val="center"/>
        <w:rPr>
          <w:rFonts w:eastAsiaTheme="minorEastAsia"/>
          <w:b/>
          <w:sz w:val="52"/>
        </w:rPr>
      </w:pPr>
      <w:r>
        <w:rPr>
          <w:rFonts w:hAnsiTheme="minorEastAsia" w:eastAsiaTheme="minorEastAsia"/>
          <w:b/>
          <w:sz w:val="52"/>
        </w:rPr>
        <w:t>文</w:t>
      </w:r>
    </w:p>
    <w:p>
      <w:pPr>
        <w:spacing w:line="240" w:lineRule="auto"/>
        <w:jc w:val="center"/>
        <w:rPr>
          <w:rFonts w:eastAsiaTheme="minorEastAsia"/>
          <w:b/>
          <w:sz w:val="52"/>
        </w:rPr>
      </w:pPr>
      <w:r>
        <w:rPr>
          <w:rFonts w:hAnsiTheme="minorEastAsia" w:eastAsiaTheme="minorEastAsia"/>
          <w:b/>
          <w:sz w:val="52"/>
        </w:rPr>
        <w:t>件</w:t>
      </w:r>
    </w:p>
    <w:p>
      <w:pPr>
        <w:pStyle w:val="79"/>
        <w:ind w:firstLine="420"/>
        <w:rPr>
          <w:lang w:val="en-US"/>
        </w:rPr>
      </w:pPr>
    </w:p>
    <w:p>
      <w:pPr>
        <w:spacing w:line="360" w:lineRule="auto"/>
        <w:ind w:firstLine="1600"/>
        <w:rPr>
          <w:rFonts w:eastAsiaTheme="minorEastAsia"/>
          <w:sz w:val="32"/>
        </w:rPr>
      </w:pPr>
    </w:p>
    <w:p>
      <w:pPr>
        <w:spacing w:line="360" w:lineRule="auto"/>
        <w:ind w:firstLine="1599"/>
        <w:rPr>
          <w:rFonts w:eastAsiaTheme="minorEastAsia"/>
          <w:sz w:val="32"/>
        </w:rPr>
      </w:pPr>
      <w:r>
        <w:rPr>
          <w:rFonts w:hint="eastAsia" w:hAnsiTheme="minorEastAsia" w:eastAsiaTheme="minorEastAsia"/>
          <w:sz w:val="32"/>
        </w:rPr>
        <w:t>谈判响应方</w:t>
      </w:r>
      <w:r>
        <w:rPr>
          <w:rFonts w:hAnsiTheme="minorEastAsia" w:eastAsiaTheme="minorEastAsia"/>
          <w:sz w:val="32"/>
        </w:rPr>
        <w:t>名称：（加盖单位公章）</w:t>
      </w:r>
    </w:p>
    <w:p>
      <w:pPr>
        <w:spacing w:line="360" w:lineRule="auto"/>
        <w:ind w:firstLine="1599"/>
        <w:rPr>
          <w:rFonts w:eastAsiaTheme="minorEastAsia"/>
          <w:sz w:val="32"/>
          <w:u w:val="single"/>
        </w:rPr>
      </w:pPr>
      <w:r>
        <w:rPr>
          <w:rFonts w:hint="eastAsia" w:hAnsiTheme="minorEastAsia" w:eastAsiaTheme="minorEastAsia"/>
          <w:sz w:val="32"/>
        </w:rPr>
        <w:t>谈判响应方</w:t>
      </w:r>
      <w:r>
        <w:rPr>
          <w:rFonts w:hAnsiTheme="minorEastAsia" w:eastAsiaTheme="minorEastAsia"/>
          <w:sz w:val="32"/>
        </w:rPr>
        <w:t>地址：</w:t>
      </w:r>
    </w:p>
    <w:p>
      <w:pPr>
        <w:spacing w:line="360" w:lineRule="auto"/>
        <w:ind w:firstLine="1599"/>
        <w:rPr>
          <w:rFonts w:asciiTheme="minorEastAsia" w:hAnsiTheme="minorEastAsia" w:eastAsiaTheme="minorEastAsia"/>
          <w:sz w:val="32"/>
          <w:szCs w:val="32"/>
        </w:rPr>
      </w:pPr>
      <w:r>
        <w:rPr>
          <w:rFonts w:asciiTheme="minorEastAsia" w:hAnsiTheme="minorEastAsia" w:eastAsiaTheme="minorEastAsia"/>
          <w:sz w:val="32"/>
          <w:szCs w:val="32"/>
        </w:rPr>
        <w:t>联系方式</w:t>
      </w:r>
      <w:r>
        <w:rPr>
          <w:rFonts w:hint="eastAsia" w:asciiTheme="minorEastAsia" w:hAnsiTheme="minorEastAsia" w:eastAsiaTheme="minorEastAsia"/>
          <w:sz w:val="32"/>
          <w:szCs w:val="32"/>
        </w:rPr>
        <w:t>：</w:t>
      </w:r>
    </w:p>
    <w:p>
      <w:pPr>
        <w:spacing w:line="360" w:lineRule="auto"/>
        <w:ind w:left="840" w:leftChars="4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__</w:t>
      </w:r>
      <w:r>
        <w:rPr>
          <w:rFonts w:asciiTheme="minorEastAsia" w:hAnsiTheme="minorEastAsia" w:eastAsiaTheme="minorEastAsia"/>
          <w:sz w:val="32"/>
          <w:szCs w:val="32"/>
        </w:rPr>
        <w:t>年</w:t>
      </w:r>
      <w:r>
        <w:rPr>
          <w:rFonts w:hint="eastAsia" w:asciiTheme="minorEastAsia" w:hAnsiTheme="minorEastAsia" w:eastAsiaTheme="minorEastAsia"/>
          <w:sz w:val="32"/>
          <w:szCs w:val="32"/>
        </w:rPr>
        <w:t>__</w:t>
      </w:r>
      <w:r>
        <w:rPr>
          <w:rFonts w:asciiTheme="minorEastAsia" w:hAnsiTheme="minorEastAsia" w:eastAsiaTheme="minorEastAsia"/>
          <w:sz w:val="32"/>
          <w:szCs w:val="32"/>
        </w:rPr>
        <w:t>月</w:t>
      </w:r>
      <w:r>
        <w:rPr>
          <w:rFonts w:hint="eastAsia" w:asciiTheme="minorEastAsia" w:hAnsiTheme="minorEastAsia" w:eastAsiaTheme="minorEastAsia"/>
          <w:sz w:val="32"/>
          <w:szCs w:val="32"/>
        </w:rPr>
        <w:t>__</w:t>
      </w:r>
      <w:r>
        <w:rPr>
          <w:rFonts w:asciiTheme="minorEastAsia" w:hAnsiTheme="minorEastAsia" w:eastAsiaTheme="minorEastAsia"/>
          <w:sz w:val="32"/>
          <w:szCs w:val="32"/>
        </w:rPr>
        <w:t>日</w:t>
      </w:r>
      <w:r>
        <w:rPr>
          <w:rFonts w:hint="eastAsia" w:asciiTheme="minorEastAsia" w:hAnsiTheme="minorEastAsia" w:eastAsiaTheme="minorEastAsia"/>
          <w:sz w:val="32"/>
          <w:szCs w:val="32"/>
        </w:rPr>
        <w:t>__</w:t>
      </w:r>
      <w:r>
        <w:rPr>
          <w:rFonts w:asciiTheme="minorEastAsia" w:hAnsiTheme="minorEastAsia" w:eastAsiaTheme="minorEastAsia"/>
          <w:sz w:val="32"/>
          <w:szCs w:val="32"/>
        </w:rPr>
        <w:t>时</w:t>
      </w:r>
      <w:r>
        <w:rPr>
          <w:rFonts w:hint="eastAsia" w:asciiTheme="minorEastAsia" w:hAnsiTheme="minorEastAsia" w:eastAsiaTheme="minorEastAsia"/>
          <w:sz w:val="32"/>
          <w:szCs w:val="32"/>
        </w:rPr>
        <w:t>__</w:t>
      </w:r>
      <w:r>
        <w:rPr>
          <w:rFonts w:asciiTheme="minorEastAsia" w:hAnsiTheme="minorEastAsia" w:eastAsiaTheme="minorEastAsia"/>
          <w:sz w:val="32"/>
          <w:szCs w:val="32"/>
        </w:rPr>
        <w:t>分开标</w:t>
      </w:r>
      <w:r>
        <w:rPr>
          <w:rFonts w:hint="eastAsia" w:asciiTheme="minorEastAsia" w:hAnsiTheme="minorEastAsia" w:eastAsiaTheme="minorEastAsia"/>
          <w:sz w:val="32"/>
          <w:szCs w:val="32"/>
        </w:rPr>
        <w:t>，</w:t>
      </w:r>
      <w:r>
        <w:rPr>
          <w:rFonts w:asciiTheme="minorEastAsia" w:hAnsiTheme="minorEastAsia" w:eastAsiaTheme="minorEastAsia"/>
          <w:sz w:val="32"/>
          <w:szCs w:val="32"/>
        </w:rPr>
        <w:t>此时间以前不得开封。</w:t>
      </w:r>
    </w:p>
    <w:p>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sz w:val="32"/>
          <w:szCs w:val="32"/>
        </w:rPr>
        <w:t>日期：    年    月    日</w:t>
      </w:r>
    </w:p>
    <w:sectPr>
      <w:footerReference r:id="rId9" w:type="default"/>
      <w:pgSz w:w="11906" w:h="16838"/>
      <w:pgMar w:top="1440" w:right="1080" w:bottom="1440" w:left="1080" w:header="624" w:footer="624"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Consolas">
    <w:panose1 w:val="020B0609020204030204"/>
    <w:charset w:val="00"/>
    <w:family w:val="modern"/>
    <w:pitch w:val="default"/>
    <w:sig w:usb0="E10002FF" w:usb1="4000FCFF" w:usb2="00000009" w:usb3="00000000" w:csb0="6000019F" w:csb1="DFD7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MingLiU">
    <w:panose1 w:val="02020509000000000000"/>
    <w:charset w:val="88"/>
    <w:family w:val="modern"/>
    <w:pitch w:val="default"/>
    <w:sig w:usb0="A00002FF" w:usb1="28CFFCFA" w:usb2="00000016" w:usb3="00000000" w:csb0="00100001" w:csb1="0000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roma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jc w:val="center"/>
    </w:pPr>
    <w:r>
      <w:fldChar w:fldCharType="begin"/>
    </w:r>
    <w:r>
      <w:instrText xml:space="preserve"> PAGE   \* MERGEFORMAT </w:instrText>
    </w:r>
    <w:r>
      <w:fldChar w:fldCharType="separate"/>
    </w:r>
    <w:r>
      <w:rPr>
        <w:lang w:val="zh-CN"/>
      </w:rPr>
      <w:t>2</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jc w:val="center"/>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343535" cy="254000"/>
              <wp:effectExtent l="0" t="0" r="12065" b="6350"/>
              <wp:wrapNone/>
              <wp:docPr id="4" name="文本框 1"/>
              <wp:cNvGraphicFramePr/>
              <a:graphic xmlns:a="http://schemas.openxmlformats.org/drawingml/2006/main">
                <a:graphicData uri="http://schemas.microsoft.com/office/word/2010/wordprocessingShape">
                  <wps:wsp>
                    <wps:cNvSpPr txBox="1"/>
                    <wps:spPr>
                      <a:xfrm>
                        <a:off x="0" y="0"/>
                        <a:ext cx="343535" cy="254000"/>
                      </a:xfrm>
                      <a:prstGeom prst="rect">
                        <a:avLst/>
                      </a:prstGeom>
                      <a:noFill/>
                      <a:ln w="6350">
                        <a:noFill/>
                      </a:ln>
                      <a:effectLst/>
                    </wps:spPr>
                    <wps:txbx>
                      <w:txbxContent>
                        <w:p>
                          <w:pPr>
                            <w:pStyle w:val="29"/>
                            <w:ind w:firstLine="360"/>
                            <w:jc w:val="center"/>
                          </w:pPr>
                          <w:r>
                            <w:rPr>
                              <w:rStyle w:val="45"/>
                            </w:rPr>
                            <w:fldChar w:fldCharType="begin"/>
                          </w:r>
                          <w:r>
                            <w:rPr>
                              <w:rStyle w:val="45"/>
                            </w:rPr>
                            <w:instrText xml:space="preserve"> PAGE </w:instrText>
                          </w:r>
                          <w:r>
                            <w:rPr>
                              <w:rStyle w:val="45"/>
                            </w:rPr>
                            <w:fldChar w:fldCharType="separate"/>
                          </w:r>
                          <w:r>
                            <w:rPr>
                              <w:rStyle w:val="45"/>
                            </w:rPr>
                            <w:t>22</w:t>
                          </w:r>
                          <w:r>
                            <w:rPr>
                              <w:rStyle w:val="45"/>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20pt;width:27.05pt;mso-position-horizontal:center;mso-position-horizontal-relative:margin;mso-wrap-style:none;z-index:251657216;mso-width-relative:page;mso-height-relative:page;" filled="f" stroked="f" coordsize="21600,21600" o:gfxdata="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UsdJXSAAAAAwEAAA8AAAAA&#10;AAAAAQAgAAAAIgAAAGRycy9kb3ducmV2LnhtbFBLAQIUABQAAAAIAIdO4kDPG+m4GgIAABMEAAAO&#10;AAAAAAAAAAEAIAAAACEBAABkcnMvZTJvRG9jLnhtbFBLBQYAAAAABgAGAFkBAACtBQAAAAA=&#10;">
              <v:fill on="f" focussize="0,0"/>
              <v:stroke on="f" weight="0.5pt"/>
              <v:imagedata o:title=""/>
              <o:lock v:ext="edit" aspectratio="f"/>
              <v:textbox inset="0mm,0mm,0mm,0mm" style="mso-fit-shape-to-text:t;">
                <w:txbxContent>
                  <w:p>
                    <w:pPr>
                      <w:pStyle w:val="29"/>
                      <w:ind w:firstLine="360"/>
                      <w:jc w:val="center"/>
                    </w:pPr>
                    <w:r>
                      <w:rPr>
                        <w:rStyle w:val="45"/>
                      </w:rPr>
                      <w:fldChar w:fldCharType="begin"/>
                    </w:r>
                    <w:r>
                      <w:rPr>
                        <w:rStyle w:val="45"/>
                      </w:rPr>
                      <w:instrText xml:space="preserve"> PAGE </w:instrText>
                    </w:r>
                    <w:r>
                      <w:rPr>
                        <w:rStyle w:val="45"/>
                      </w:rPr>
                      <w:fldChar w:fldCharType="separate"/>
                    </w:r>
                    <w:r>
                      <w:rPr>
                        <w:rStyle w:val="45"/>
                      </w:rPr>
                      <w:t>22</w:t>
                    </w:r>
                    <w:r>
                      <w:rPr>
                        <w:rStyle w:val="45"/>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2"/>
      <w:rPr>
        <w:rStyle w:val="45"/>
      </w:rPr>
    </w:pPr>
    <w:r>
      <w:fldChar w:fldCharType="begin"/>
    </w:r>
    <w:r>
      <w:rPr>
        <w:rStyle w:val="45"/>
      </w:rPr>
      <w:instrText xml:space="preserve">PAGE  </w:instrText>
    </w:r>
    <w:r>
      <w:fldChar w:fldCharType="separate"/>
    </w:r>
    <w:r>
      <w:rPr>
        <w:rStyle w:val="45"/>
      </w:rPr>
      <w:t>26</w:t>
    </w:r>
    <w:r>
      <w:fldChar w:fldCharType="end"/>
    </w:r>
  </w:p>
  <w:p>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343535" cy="254000"/>
              <wp:effectExtent l="0" t="0" r="12065" b="6350"/>
              <wp:wrapNone/>
              <wp:docPr id="5" name="文本框 3"/>
              <wp:cNvGraphicFramePr/>
              <a:graphic xmlns:a="http://schemas.openxmlformats.org/drawingml/2006/main">
                <a:graphicData uri="http://schemas.microsoft.com/office/word/2010/wordprocessingShape">
                  <wps:wsp>
                    <wps:cNvSpPr txBox="1"/>
                    <wps:spPr>
                      <a:xfrm>
                        <a:off x="0" y="0"/>
                        <a:ext cx="343535" cy="254000"/>
                      </a:xfrm>
                      <a:prstGeom prst="rect">
                        <a:avLst/>
                      </a:prstGeom>
                      <a:noFill/>
                      <a:ln w="6350">
                        <a:noFill/>
                      </a:ln>
                      <a:effectLst/>
                    </wps:spPr>
                    <wps:txbx>
                      <w:txbxContent>
                        <w:p>
                          <w:pPr>
                            <w:pStyle w:val="29"/>
                            <w:ind w:firstLine="360"/>
                            <w:jc w:val="center"/>
                          </w:pPr>
                          <w:r>
                            <w:rPr>
                              <w:rStyle w:val="45"/>
                            </w:rPr>
                            <w:fldChar w:fldCharType="begin"/>
                          </w:r>
                          <w:r>
                            <w:rPr>
                              <w:rStyle w:val="45"/>
                            </w:rPr>
                            <w:instrText xml:space="preserve"> PAGE </w:instrText>
                          </w:r>
                          <w:r>
                            <w:rPr>
                              <w:rStyle w:val="45"/>
                            </w:rPr>
                            <w:fldChar w:fldCharType="separate"/>
                          </w:r>
                          <w:r>
                            <w:rPr>
                              <w:rStyle w:val="45"/>
                            </w:rPr>
                            <w:t>36</w:t>
                          </w:r>
                          <w:r>
                            <w:rPr>
                              <w:rStyle w:val="45"/>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20pt;width:27.05pt;mso-position-horizontal:center;mso-position-horizontal-relative:margin;mso-wrap-style:none;z-index:251658240;mso-width-relative:page;mso-height-relative:page;" filled="f" stroked="f" coordsize="21600,21600" o:gfxdata="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lLHSV0gAAAAMBAAAPAAAA&#10;AAAAAAEAIAAAACIAAABkcnMvZG93bnJldi54bWxQSwECFAAUAAAACACHTuJAfOdLNhsCAAATBAAA&#10;DgAAAAAAAAABACAAAAAhAQAAZHJzL2Uyb0RvYy54bWxQSwUGAAAAAAYABgBZAQAArgUAAAAA&#10;">
              <v:fill on="f" focussize="0,0"/>
              <v:stroke on="f" weight="0.5pt"/>
              <v:imagedata o:title=""/>
              <o:lock v:ext="edit" aspectratio="f"/>
              <v:textbox inset="0mm,0mm,0mm,0mm" style="mso-fit-shape-to-text:t;">
                <w:txbxContent>
                  <w:p>
                    <w:pPr>
                      <w:pStyle w:val="29"/>
                      <w:ind w:firstLine="360"/>
                      <w:jc w:val="center"/>
                    </w:pPr>
                    <w:r>
                      <w:rPr>
                        <w:rStyle w:val="45"/>
                      </w:rPr>
                      <w:fldChar w:fldCharType="begin"/>
                    </w:r>
                    <w:r>
                      <w:rPr>
                        <w:rStyle w:val="45"/>
                      </w:rPr>
                      <w:instrText xml:space="preserve"> PAGE </w:instrText>
                    </w:r>
                    <w:r>
                      <w:rPr>
                        <w:rStyle w:val="45"/>
                      </w:rPr>
                      <w:fldChar w:fldCharType="separate"/>
                    </w:r>
                    <w:r>
                      <w:rPr>
                        <w:rStyle w:val="45"/>
                      </w:rPr>
                      <w:t>36</w:t>
                    </w:r>
                    <w:r>
                      <w:rPr>
                        <w:rStyle w:val="45"/>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rPr>
        <w:color w:val="FF0000"/>
      </w:rPr>
    </w:pPr>
    <w:r>
      <w:rPr>
        <w:color w:val="FF0000"/>
      </w:rPr>
      <w:ptab w:relativeTo="margin" w:alignment="center" w:leader="none"/>
    </w:r>
    <w:r>
      <w:rPr>
        <w:color w:val="FF0000"/>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1E585C"/>
    <w:multiLevelType w:val="singleLevel"/>
    <w:tmpl w:val="A81E585C"/>
    <w:lvl w:ilvl="0" w:tentative="0">
      <w:start w:val="2"/>
      <w:numFmt w:val="decimal"/>
      <w:suff w:val="nothing"/>
      <w:lvlText w:val="%1．"/>
      <w:lvlJc w:val="left"/>
    </w:lvl>
  </w:abstractNum>
  <w:abstractNum w:abstractNumId="1">
    <w:nsid w:val="BC62CAF5"/>
    <w:multiLevelType w:val="singleLevel"/>
    <w:tmpl w:val="BC62CAF5"/>
    <w:lvl w:ilvl="0" w:tentative="0">
      <w:start w:val="1"/>
      <w:numFmt w:val="decimal"/>
      <w:suff w:val="nothing"/>
      <w:lvlText w:val="（%1）"/>
      <w:lvlJc w:val="left"/>
      <w:pPr>
        <w:ind w:left="420" w:firstLine="0"/>
      </w:pPr>
    </w:lvl>
  </w:abstractNum>
  <w:abstractNum w:abstractNumId="2">
    <w:nsid w:val="C3FC2FEC"/>
    <w:multiLevelType w:val="singleLevel"/>
    <w:tmpl w:val="C3FC2FEC"/>
    <w:lvl w:ilvl="0" w:tentative="0">
      <w:start w:val="1"/>
      <w:numFmt w:val="decimal"/>
      <w:lvlText w:val="(%1)"/>
      <w:lvlJc w:val="left"/>
      <w:pPr>
        <w:ind w:left="425" w:hanging="425"/>
      </w:pPr>
      <w:rPr>
        <w:rFonts w:hint="default"/>
      </w:rPr>
    </w:lvl>
  </w:abstractNum>
  <w:abstractNum w:abstractNumId="3">
    <w:nsid w:val="CCE72323"/>
    <w:multiLevelType w:val="singleLevel"/>
    <w:tmpl w:val="CCE72323"/>
    <w:lvl w:ilvl="0" w:tentative="0">
      <w:start w:val="3"/>
      <w:numFmt w:val="decimal"/>
      <w:lvlText w:val="%1."/>
      <w:lvlJc w:val="left"/>
      <w:pPr>
        <w:tabs>
          <w:tab w:val="left" w:pos="312"/>
        </w:tabs>
      </w:pPr>
    </w:lvl>
  </w:abstractNum>
  <w:abstractNum w:abstractNumId="4">
    <w:nsid w:val="F5C25AA6"/>
    <w:multiLevelType w:val="multilevel"/>
    <w:tmpl w:val="F5C25AA6"/>
    <w:lvl w:ilvl="0" w:tentative="0">
      <w:start w:val="1"/>
      <w:numFmt w:val="decimal"/>
      <w:lvlText w:val="%1."/>
      <w:lvlJc w:val="left"/>
      <w:pPr>
        <w:tabs>
          <w:tab w:val="left" w:pos="1129"/>
        </w:tabs>
        <w:ind w:left="1129" w:hanging="420"/>
      </w:pPr>
      <w:rPr>
        <w:rFonts w:cs="Times New Roman"/>
      </w:rPr>
    </w:lvl>
    <w:lvl w:ilvl="1" w:tentative="0">
      <w:start w:val="1"/>
      <w:numFmt w:val="upp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10397899"/>
    <w:multiLevelType w:val="singleLevel"/>
    <w:tmpl w:val="10397899"/>
    <w:lvl w:ilvl="0" w:tentative="0">
      <w:start w:val="1"/>
      <w:numFmt w:val="decimal"/>
      <w:suff w:val="nothing"/>
      <w:lvlText w:val="（%1）"/>
      <w:lvlJc w:val="left"/>
      <w:pPr>
        <w:ind w:left="340" w:firstLine="0"/>
      </w:pPr>
    </w:lvl>
  </w:abstractNum>
  <w:abstractNum w:abstractNumId="6">
    <w:nsid w:val="3173CE45"/>
    <w:multiLevelType w:val="multilevel"/>
    <w:tmpl w:val="3173CE45"/>
    <w:lvl w:ilvl="0" w:tentative="0">
      <w:start w:val="1"/>
      <w:numFmt w:val="decimal"/>
      <w:lvlText w:val="%1."/>
      <w:lvlJc w:val="left"/>
      <w:pPr>
        <w:tabs>
          <w:tab w:val="left" w:pos="420"/>
        </w:tabs>
        <w:ind w:left="420" w:hanging="420"/>
      </w:pPr>
      <w:rPr>
        <w:rFonts w:cs="Times New Roman"/>
      </w:rPr>
    </w:lvl>
    <w:lvl w:ilvl="1" w:tentative="0">
      <w:start w:val="1"/>
      <w:numFmt w:val="upp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3BD88F23"/>
    <w:multiLevelType w:val="singleLevel"/>
    <w:tmpl w:val="3BD88F23"/>
    <w:lvl w:ilvl="0" w:tentative="0">
      <w:start w:val="1"/>
      <w:numFmt w:val="decimal"/>
      <w:suff w:val="nothing"/>
      <w:lvlText w:val="%1、"/>
      <w:lvlJc w:val="left"/>
    </w:lvl>
  </w:abstractNum>
  <w:abstractNum w:abstractNumId="8">
    <w:nsid w:val="780AF165"/>
    <w:multiLevelType w:val="singleLevel"/>
    <w:tmpl w:val="780AF165"/>
    <w:lvl w:ilvl="0" w:tentative="0">
      <w:start w:val="1"/>
      <w:numFmt w:val="decimal"/>
      <w:lvlText w:val="(%1)"/>
      <w:lvlJc w:val="left"/>
      <w:pPr>
        <w:ind w:left="425" w:hanging="425"/>
      </w:pPr>
      <w:rPr>
        <w:rFonts w:hint="default"/>
      </w:rPr>
    </w:lvl>
  </w:abstractNum>
  <w:num w:numId="1">
    <w:abstractNumId w:val="1"/>
  </w:num>
  <w:num w:numId="2">
    <w:abstractNumId w:val="7"/>
  </w:num>
  <w:num w:numId="3">
    <w:abstractNumId w:val="5"/>
  </w:num>
  <w:num w:numId="4">
    <w:abstractNumId w:val="6"/>
  </w:num>
  <w:num w:numId="5">
    <w:abstractNumId w:val="4"/>
  </w:num>
  <w:num w:numId="6">
    <w:abstractNumId w:val="8"/>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D30"/>
    <w:rsid w:val="0000092E"/>
    <w:rsid w:val="00006F98"/>
    <w:rsid w:val="00014B74"/>
    <w:rsid w:val="000227A6"/>
    <w:rsid w:val="000253D9"/>
    <w:rsid w:val="00026926"/>
    <w:rsid w:val="00037179"/>
    <w:rsid w:val="00043695"/>
    <w:rsid w:val="00045343"/>
    <w:rsid w:val="000508FF"/>
    <w:rsid w:val="00052F51"/>
    <w:rsid w:val="00053101"/>
    <w:rsid w:val="00057B21"/>
    <w:rsid w:val="00060755"/>
    <w:rsid w:val="00061E75"/>
    <w:rsid w:val="00066DA7"/>
    <w:rsid w:val="00066E26"/>
    <w:rsid w:val="0007237F"/>
    <w:rsid w:val="0007531A"/>
    <w:rsid w:val="00075A62"/>
    <w:rsid w:val="00081224"/>
    <w:rsid w:val="00084766"/>
    <w:rsid w:val="000908A2"/>
    <w:rsid w:val="000925EF"/>
    <w:rsid w:val="000955C5"/>
    <w:rsid w:val="00097BD5"/>
    <w:rsid w:val="000A42F5"/>
    <w:rsid w:val="000A46D1"/>
    <w:rsid w:val="000B0A56"/>
    <w:rsid w:val="000B195A"/>
    <w:rsid w:val="000B2654"/>
    <w:rsid w:val="000B34C5"/>
    <w:rsid w:val="000B3CC0"/>
    <w:rsid w:val="000B3F54"/>
    <w:rsid w:val="000B5574"/>
    <w:rsid w:val="000C0B09"/>
    <w:rsid w:val="000C3D40"/>
    <w:rsid w:val="000C5352"/>
    <w:rsid w:val="000C7442"/>
    <w:rsid w:val="000C793E"/>
    <w:rsid w:val="000D27EC"/>
    <w:rsid w:val="000D328D"/>
    <w:rsid w:val="000D553D"/>
    <w:rsid w:val="000D5BAF"/>
    <w:rsid w:val="000D6777"/>
    <w:rsid w:val="000D754A"/>
    <w:rsid w:val="000E1C92"/>
    <w:rsid w:val="000E2EEC"/>
    <w:rsid w:val="000E7134"/>
    <w:rsid w:val="000F0003"/>
    <w:rsid w:val="000F00C0"/>
    <w:rsid w:val="000F19FF"/>
    <w:rsid w:val="000F24B5"/>
    <w:rsid w:val="000F386B"/>
    <w:rsid w:val="00102646"/>
    <w:rsid w:val="00103F89"/>
    <w:rsid w:val="00104F4B"/>
    <w:rsid w:val="00106B81"/>
    <w:rsid w:val="00107960"/>
    <w:rsid w:val="00110D7B"/>
    <w:rsid w:val="00111499"/>
    <w:rsid w:val="00112462"/>
    <w:rsid w:val="001128BD"/>
    <w:rsid w:val="0011393C"/>
    <w:rsid w:val="00127221"/>
    <w:rsid w:val="001326A9"/>
    <w:rsid w:val="00142C9B"/>
    <w:rsid w:val="00142EEF"/>
    <w:rsid w:val="001436DC"/>
    <w:rsid w:val="00143C06"/>
    <w:rsid w:val="00144EF8"/>
    <w:rsid w:val="00145B55"/>
    <w:rsid w:val="001465BA"/>
    <w:rsid w:val="00150ABC"/>
    <w:rsid w:val="0015125B"/>
    <w:rsid w:val="00176133"/>
    <w:rsid w:val="0017651D"/>
    <w:rsid w:val="00176D13"/>
    <w:rsid w:val="0018543D"/>
    <w:rsid w:val="00194B54"/>
    <w:rsid w:val="00195836"/>
    <w:rsid w:val="001A0871"/>
    <w:rsid w:val="001A2FCD"/>
    <w:rsid w:val="001A481E"/>
    <w:rsid w:val="001A58AD"/>
    <w:rsid w:val="001A60EA"/>
    <w:rsid w:val="001A6133"/>
    <w:rsid w:val="001B3934"/>
    <w:rsid w:val="001C4186"/>
    <w:rsid w:val="001D1532"/>
    <w:rsid w:val="001D37FA"/>
    <w:rsid w:val="001D5915"/>
    <w:rsid w:val="001E105D"/>
    <w:rsid w:val="001E5601"/>
    <w:rsid w:val="001E61A7"/>
    <w:rsid w:val="00201722"/>
    <w:rsid w:val="00203461"/>
    <w:rsid w:val="002052B5"/>
    <w:rsid w:val="002066A9"/>
    <w:rsid w:val="00207824"/>
    <w:rsid w:val="00210534"/>
    <w:rsid w:val="002116FE"/>
    <w:rsid w:val="0021535E"/>
    <w:rsid w:val="00215F6B"/>
    <w:rsid w:val="0021784C"/>
    <w:rsid w:val="00217F01"/>
    <w:rsid w:val="00220427"/>
    <w:rsid w:val="002230EF"/>
    <w:rsid w:val="0024037F"/>
    <w:rsid w:val="00247747"/>
    <w:rsid w:val="002478D3"/>
    <w:rsid w:val="00250076"/>
    <w:rsid w:val="0025279A"/>
    <w:rsid w:val="00256CAE"/>
    <w:rsid w:val="002576FC"/>
    <w:rsid w:val="002634EF"/>
    <w:rsid w:val="002672CF"/>
    <w:rsid w:val="00272042"/>
    <w:rsid w:val="002823CF"/>
    <w:rsid w:val="00283B31"/>
    <w:rsid w:val="002841CA"/>
    <w:rsid w:val="0028645F"/>
    <w:rsid w:val="002867A0"/>
    <w:rsid w:val="00286AF3"/>
    <w:rsid w:val="00294386"/>
    <w:rsid w:val="002945C0"/>
    <w:rsid w:val="002958F9"/>
    <w:rsid w:val="00295DD1"/>
    <w:rsid w:val="00295E19"/>
    <w:rsid w:val="00297BBE"/>
    <w:rsid w:val="002A00CB"/>
    <w:rsid w:val="002A3A84"/>
    <w:rsid w:val="002A3BA7"/>
    <w:rsid w:val="002A55E6"/>
    <w:rsid w:val="002A5F5B"/>
    <w:rsid w:val="002A6949"/>
    <w:rsid w:val="002B2E6A"/>
    <w:rsid w:val="002B32C9"/>
    <w:rsid w:val="002B58AF"/>
    <w:rsid w:val="002C0650"/>
    <w:rsid w:val="002C267A"/>
    <w:rsid w:val="002C30B2"/>
    <w:rsid w:val="002C3EE0"/>
    <w:rsid w:val="002D0358"/>
    <w:rsid w:val="002E23F5"/>
    <w:rsid w:val="002F0C43"/>
    <w:rsid w:val="002F0DD4"/>
    <w:rsid w:val="002F255B"/>
    <w:rsid w:val="002F3859"/>
    <w:rsid w:val="002F3F01"/>
    <w:rsid w:val="002F57C3"/>
    <w:rsid w:val="00306591"/>
    <w:rsid w:val="00310BF7"/>
    <w:rsid w:val="0031256D"/>
    <w:rsid w:val="00314260"/>
    <w:rsid w:val="003156D7"/>
    <w:rsid w:val="003216E9"/>
    <w:rsid w:val="00322664"/>
    <w:rsid w:val="00326756"/>
    <w:rsid w:val="003275FB"/>
    <w:rsid w:val="00327C41"/>
    <w:rsid w:val="00332543"/>
    <w:rsid w:val="00333394"/>
    <w:rsid w:val="00333CA5"/>
    <w:rsid w:val="0033437E"/>
    <w:rsid w:val="003362EA"/>
    <w:rsid w:val="0034107E"/>
    <w:rsid w:val="003411F1"/>
    <w:rsid w:val="003427AD"/>
    <w:rsid w:val="00342AAB"/>
    <w:rsid w:val="003436BB"/>
    <w:rsid w:val="0034568F"/>
    <w:rsid w:val="0034652B"/>
    <w:rsid w:val="00346C43"/>
    <w:rsid w:val="00347A69"/>
    <w:rsid w:val="00352AD1"/>
    <w:rsid w:val="003532E3"/>
    <w:rsid w:val="003554C2"/>
    <w:rsid w:val="003572E6"/>
    <w:rsid w:val="00366780"/>
    <w:rsid w:val="0037041E"/>
    <w:rsid w:val="00374AA8"/>
    <w:rsid w:val="00380461"/>
    <w:rsid w:val="00380906"/>
    <w:rsid w:val="00385D8F"/>
    <w:rsid w:val="00386319"/>
    <w:rsid w:val="00387AB9"/>
    <w:rsid w:val="0039050D"/>
    <w:rsid w:val="00391EF5"/>
    <w:rsid w:val="003A4FC9"/>
    <w:rsid w:val="003A57B4"/>
    <w:rsid w:val="003A641F"/>
    <w:rsid w:val="003B6EFB"/>
    <w:rsid w:val="003C3759"/>
    <w:rsid w:val="003C6994"/>
    <w:rsid w:val="003D0555"/>
    <w:rsid w:val="003D11C4"/>
    <w:rsid w:val="003D4029"/>
    <w:rsid w:val="003D499F"/>
    <w:rsid w:val="003D4F42"/>
    <w:rsid w:val="003D774A"/>
    <w:rsid w:val="003E3E44"/>
    <w:rsid w:val="003E4F34"/>
    <w:rsid w:val="003E6DBD"/>
    <w:rsid w:val="003F22A4"/>
    <w:rsid w:val="003F2310"/>
    <w:rsid w:val="003F39F1"/>
    <w:rsid w:val="003F521A"/>
    <w:rsid w:val="003F5F15"/>
    <w:rsid w:val="00401529"/>
    <w:rsid w:val="00403C1A"/>
    <w:rsid w:val="0040501D"/>
    <w:rsid w:val="00405DE3"/>
    <w:rsid w:val="004079EB"/>
    <w:rsid w:val="00412BBB"/>
    <w:rsid w:val="00412FEB"/>
    <w:rsid w:val="004146A8"/>
    <w:rsid w:val="00414F6B"/>
    <w:rsid w:val="0041737A"/>
    <w:rsid w:val="00421C36"/>
    <w:rsid w:val="00422042"/>
    <w:rsid w:val="0042256B"/>
    <w:rsid w:val="00422993"/>
    <w:rsid w:val="0042453A"/>
    <w:rsid w:val="00425A47"/>
    <w:rsid w:val="004260C5"/>
    <w:rsid w:val="00427C11"/>
    <w:rsid w:val="00432EC4"/>
    <w:rsid w:val="004339DB"/>
    <w:rsid w:val="00435BBB"/>
    <w:rsid w:val="004367E7"/>
    <w:rsid w:val="004427D3"/>
    <w:rsid w:val="00442EFE"/>
    <w:rsid w:val="004456E6"/>
    <w:rsid w:val="004534B4"/>
    <w:rsid w:val="00472FDA"/>
    <w:rsid w:val="0047416C"/>
    <w:rsid w:val="004751D9"/>
    <w:rsid w:val="00476863"/>
    <w:rsid w:val="00482193"/>
    <w:rsid w:val="00483386"/>
    <w:rsid w:val="004842AA"/>
    <w:rsid w:val="00485198"/>
    <w:rsid w:val="00486CF1"/>
    <w:rsid w:val="004872B9"/>
    <w:rsid w:val="00492A18"/>
    <w:rsid w:val="00492F96"/>
    <w:rsid w:val="004951E1"/>
    <w:rsid w:val="00497D15"/>
    <w:rsid w:val="004A07B1"/>
    <w:rsid w:val="004A1F7F"/>
    <w:rsid w:val="004B22A3"/>
    <w:rsid w:val="004B2B45"/>
    <w:rsid w:val="004B3A93"/>
    <w:rsid w:val="004B3F75"/>
    <w:rsid w:val="004B6749"/>
    <w:rsid w:val="004C00E4"/>
    <w:rsid w:val="004C08F2"/>
    <w:rsid w:val="004C1BE7"/>
    <w:rsid w:val="004C2913"/>
    <w:rsid w:val="004C3EDD"/>
    <w:rsid w:val="004D1AE3"/>
    <w:rsid w:val="004D5D43"/>
    <w:rsid w:val="004D72A4"/>
    <w:rsid w:val="004D7CEB"/>
    <w:rsid w:val="004E0D8E"/>
    <w:rsid w:val="004E23C5"/>
    <w:rsid w:val="004E2A5B"/>
    <w:rsid w:val="004F1A8F"/>
    <w:rsid w:val="004F23EF"/>
    <w:rsid w:val="004F7D22"/>
    <w:rsid w:val="004F7F9C"/>
    <w:rsid w:val="005039AE"/>
    <w:rsid w:val="00507804"/>
    <w:rsid w:val="00516336"/>
    <w:rsid w:val="00522922"/>
    <w:rsid w:val="00523F87"/>
    <w:rsid w:val="00525746"/>
    <w:rsid w:val="00525DF0"/>
    <w:rsid w:val="00526E49"/>
    <w:rsid w:val="005336A0"/>
    <w:rsid w:val="00534128"/>
    <w:rsid w:val="00543CBD"/>
    <w:rsid w:val="005449D0"/>
    <w:rsid w:val="005573B8"/>
    <w:rsid w:val="00557B64"/>
    <w:rsid w:val="00561269"/>
    <w:rsid w:val="005619F5"/>
    <w:rsid w:val="00562D45"/>
    <w:rsid w:val="00563B46"/>
    <w:rsid w:val="00573DE5"/>
    <w:rsid w:val="00581878"/>
    <w:rsid w:val="00586623"/>
    <w:rsid w:val="00593573"/>
    <w:rsid w:val="005A0DEA"/>
    <w:rsid w:val="005A1A18"/>
    <w:rsid w:val="005A2186"/>
    <w:rsid w:val="005A56F7"/>
    <w:rsid w:val="005B000F"/>
    <w:rsid w:val="005B5AFD"/>
    <w:rsid w:val="005C6F66"/>
    <w:rsid w:val="005D02AA"/>
    <w:rsid w:val="005D14F6"/>
    <w:rsid w:val="005E0DDF"/>
    <w:rsid w:val="005E2622"/>
    <w:rsid w:val="005E3267"/>
    <w:rsid w:val="005F3C27"/>
    <w:rsid w:val="00600E9B"/>
    <w:rsid w:val="0060237C"/>
    <w:rsid w:val="00606DCA"/>
    <w:rsid w:val="006100EE"/>
    <w:rsid w:val="00612F00"/>
    <w:rsid w:val="00616084"/>
    <w:rsid w:val="00621418"/>
    <w:rsid w:val="00621564"/>
    <w:rsid w:val="0062490A"/>
    <w:rsid w:val="00630BB6"/>
    <w:rsid w:val="0063100B"/>
    <w:rsid w:val="00635627"/>
    <w:rsid w:val="00635EF8"/>
    <w:rsid w:val="00636273"/>
    <w:rsid w:val="00644DC3"/>
    <w:rsid w:val="0065110A"/>
    <w:rsid w:val="006520E4"/>
    <w:rsid w:val="00655F57"/>
    <w:rsid w:val="00657B6A"/>
    <w:rsid w:val="00660D61"/>
    <w:rsid w:val="00666245"/>
    <w:rsid w:val="00667834"/>
    <w:rsid w:val="00680B3F"/>
    <w:rsid w:val="00681732"/>
    <w:rsid w:val="006843C5"/>
    <w:rsid w:val="00684F07"/>
    <w:rsid w:val="00690552"/>
    <w:rsid w:val="00690AB3"/>
    <w:rsid w:val="00697BA5"/>
    <w:rsid w:val="006A1A87"/>
    <w:rsid w:val="006A6349"/>
    <w:rsid w:val="006A7AB6"/>
    <w:rsid w:val="006B01B6"/>
    <w:rsid w:val="006B1B36"/>
    <w:rsid w:val="006B2E49"/>
    <w:rsid w:val="006B5B48"/>
    <w:rsid w:val="006B76B2"/>
    <w:rsid w:val="006C0C41"/>
    <w:rsid w:val="006C163B"/>
    <w:rsid w:val="006C7393"/>
    <w:rsid w:val="006D1ABF"/>
    <w:rsid w:val="006D3B2E"/>
    <w:rsid w:val="006D4FC2"/>
    <w:rsid w:val="006D722F"/>
    <w:rsid w:val="006E227A"/>
    <w:rsid w:val="006E588A"/>
    <w:rsid w:val="006F51A1"/>
    <w:rsid w:val="006F6142"/>
    <w:rsid w:val="00701836"/>
    <w:rsid w:val="0071126F"/>
    <w:rsid w:val="00711C78"/>
    <w:rsid w:val="007134B3"/>
    <w:rsid w:val="00714FE2"/>
    <w:rsid w:val="00723067"/>
    <w:rsid w:val="0073234E"/>
    <w:rsid w:val="00733506"/>
    <w:rsid w:val="00733A29"/>
    <w:rsid w:val="00736013"/>
    <w:rsid w:val="007374C5"/>
    <w:rsid w:val="00741DF7"/>
    <w:rsid w:val="0074269B"/>
    <w:rsid w:val="0074739B"/>
    <w:rsid w:val="00752271"/>
    <w:rsid w:val="00753880"/>
    <w:rsid w:val="00754544"/>
    <w:rsid w:val="00755FD4"/>
    <w:rsid w:val="00771DEC"/>
    <w:rsid w:val="0077480F"/>
    <w:rsid w:val="00776E23"/>
    <w:rsid w:val="007806DF"/>
    <w:rsid w:val="007875E5"/>
    <w:rsid w:val="007907C3"/>
    <w:rsid w:val="00795180"/>
    <w:rsid w:val="00796475"/>
    <w:rsid w:val="007A0F67"/>
    <w:rsid w:val="007A6720"/>
    <w:rsid w:val="007A697F"/>
    <w:rsid w:val="007B2E26"/>
    <w:rsid w:val="007B2F93"/>
    <w:rsid w:val="007C084D"/>
    <w:rsid w:val="007C22D6"/>
    <w:rsid w:val="007C75E8"/>
    <w:rsid w:val="007D2823"/>
    <w:rsid w:val="007D4684"/>
    <w:rsid w:val="007D4839"/>
    <w:rsid w:val="007F1B91"/>
    <w:rsid w:val="007F4878"/>
    <w:rsid w:val="007F7406"/>
    <w:rsid w:val="00802067"/>
    <w:rsid w:val="008049FF"/>
    <w:rsid w:val="00805E8A"/>
    <w:rsid w:val="008076A1"/>
    <w:rsid w:val="00817FFB"/>
    <w:rsid w:val="0082330B"/>
    <w:rsid w:val="00823DD9"/>
    <w:rsid w:val="0082451C"/>
    <w:rsid w:val="00824CCC"/>
    <w:rsid w:val="0082748A"/>
    <w:rsid w:val="008311A3"/>
    <w:rsid w:val="008343A3"/>
    <w:rsid w:val="00845113"/>
    <w:rsid w:val="00847AAC"/>
    <w:rsid w:val="008516D1"/>
    <w:rsid w:val="0085218E"/>
    <w:rsid w:val="0085453D"/>
    <w:rsid w:val="00855A88"/>
    <w:rsid w:val="00862037"/>
    <w:rsid w:val="00863DD0"/>
    <w:rsid w:val="008640BF"/>
    <w:rsid w:val="008665D6"/>
    <w:rsid w:val="00870C8E"/>
    <w:rsid w:val="00875A7F"/>
    <w:rsid w:val="00885295"/>
    <w:rsid w:val="00885A1A"/>
    <w:rsid w:val="00886075"/>
    <w:rsid w:val="00890B83"/>
    <w:rsid w:val="00891C22"/>
    <w:rsid w:val="0089215D"/>
    <w:rsid w:val="008925D8"/>
    <w:rsid w:val="008964D2"/>
    <w:rsid w:val="008A43C8"/>
    <w:rsid w:val="008A66C1"/>
    <w:rsid w:val="008B0234"/>
    <w:rsid w:val="008B3510"/>
    <w:rsid w:val="008B3EF6"/>
    <w:rsid w:val="008B52EE"/>
    <w:rsid w:val="008B5874"/>
    <w:rsid w:val="008C0574"/>
    <w:rsid w:val="008C136E"/>
    <w:rsid w:val="008C476D"/>
    <w:rsid w:val="008C79C8"/>
    <w:rsid w:val="008D17F8"/>
    <w:rsid w:val="008D1B45"/>
    <w:rsid w:val="008D5B5E"/>
    <w:rsid w:val="008E1447"/>
    <w:rsid w:val="008E3F17"/>
    <w:rsid w:val="008F09DC"/>
    <w:rsid w:val="008F597B"/>
    <w:rsid w:val="00900DB1"/>
    <w:rsid w:val="00901698"/>
    <w:rsid w:val="009027A7"/>
    <w:rsid w:val="00904D86"/>
    <w:rsid w:val="00905C9A"/>
    <w:rsid w:val="00910F1E"/>
    <w:rsid w:val="00911D0B"/>
    <w:rsid w:val="00912A68"/>
    <w:rsid w:val="00917F2D"/>
    <w:rsid w:val="00920729"/>
    <w:rsid w:val="00921ACA"/>
    <w:rsid w:val="009240CF"/>
    <w:rsid w:val="00925DAC"/>
    <w:rsid w:val="009261AF"/>
    <w:rsid w:val="00926CDD"/>
    <w:rsid w:val="00927BF5"/>
    <w:rsid w:val="0093005D"/>
    <w:rsid w:val="0093161E"/>
    <w:rsid w:val="00932642"/>
    <w:rsid w:val="0093271C"/>
    <w:rsid w:val="00941C45"/>
    <w:rsid w:val="00943845"/>
    <w:rsid w:val="009473D8"/>
    <w:rsid w:val="00947C8C"/>
    <w:rsid w:val="009506BB"/>
    <w:rsid w:val="00950CB4"/>
    <w:rsid w:val="00954BED"/>
    <w:rsid w:val="00954C1B"/>
    <w:rsid w:val="00960B41"/>
    <w:rsid w:val="00960DBE"/>
    <w:rsid w:val="00963316"/>
    <w:rsid w:val="009637ED"/>
    <w:rsid w:val="009644CC"/>
    <w:rsid w:val="00971E0D"/>
    <w:rsid w:val="009829D2"/>
    <w:rsid w:val="00985D6B"/>
    <w:rsid w:val="00997AB2"/>
    <w:rsid w:val="009A002A"/>
    <w:rsid w:val="009A5A35"/>
    <w:rsid w:val="009A5ACD"/>
    <w:rsid w:val="009A6FF0"/>
    <w:rsid w:val="009B25FC"/>
    <w:rsid w:val="009B2818"/>
    <w:rsid w:val="009B76FB"/>
    <w:rsid w:val="009C4CD9"/>
    <w:rsid w:val="009C5F3D"/>
    <w:rsid w:val="009C63D0"/>
    <w:rsid w:val="009D10D0"/>
    <w:rsid w:val="009D3A2A"/>
    <w:rsid w:val="009D4707"/>
    <w:rsid w:val="009E08C2"/>
    <w:rsid w:val="009E2211"/>
    <w:rsid w:val="009E3561"/>
    <w:rsid w:val="009E547C"/>
    <w:rsid w:val="009E7D7F"/>
    <w:rsid w:val="009F062C"/>
    <w:rsid w:val="009F5263"/>
    <w:rsid w:val="009F563C"/>
    <w:rsid w:val="00A00265"/>
    <w:rsid w:val="00A006C6"/>
    <w:rsid w:val="00A009B9"/>
    <w:rsid w:val="00A049A5"/>
    <w:rsid w:val="00A074AC"/>
    <w:rsid w:val="00A1757F"/>
    <w:rsid w:val="00A220A3"/>
    <w:rsid w:val="00A23A69"/>
    <w:rsid w:val="00A362C5"/>
    <w:rsid w:val="00A36BCA"/>
    <w:rsid w:val="00A406AF"/>
    <w:rsid w:val="00A40B90"/>
    <w:rsid w:val="00A43611"/>
    <w:rsid w:val="00A44DA2"/>
    <w:rsid w:val="00A4572A"/>
    <w:rsid w:val="00A46906"/>
    <w:rsid w:val="00A53CC2"/>
    <w:rsid w:val="00A57903"/>
    <w:rsid w:val="00A64451"/>
    <w:rsid w:val="00A6595A"/>
    <w:rsid w:val="00A6697B"/>
    <w:rsid w:val="00A70A6C"/>
    <w:rsid w:val="00A711C9"/>
    <w:rsid w:val="00A72C05"/>
    <w:rsid w:val="00A76880"/>
    <w:rsid w:val="00A804A5"/>
    <w:rsid w:val="00A817AE"/>
    <w:rsid w:val="00A90C37"/>
    <w:rsid w:val="00A928F5"/>
    <w:rsid w:val="00AA08E1"/>
    <w:rsid w:val="00AA58D7"/>
    <w:rsid w:val="00AA6024"/>
    <w:rsid w:val="00AB0C19"/>
    <w:rsid w:val="00AB2083"/>
    <w:rsid w:val="00AB3A13"/>
    <w:rsid w:val="00AB48C9"/>
    <w:rsid w:val="00AB5620"/>
    <w:rsid w:val="00AB754B"/>
    <w:rsid w:val="00AC0E86"/>
    <w:rsid w:val="00AC6724"/>
    <w:rsid w:val="00AC6BCC"/>
    <w:rsid w:val="00AD27A6"/>
    <w:rsid w:val="00AD2F36"/>
    <w:rsid w:val="00AD68E2"/>
    <w:rsid w:val="00AD691D"/>
    <w:rsid w:val="00AE0F9D"/>
    <w:rsid w:val="00AE1B72"/>
    <w:rsid w:val="00AE4F3A"/>
    <w:rsid w:val="00AF1479"/>
    <w:rsid w:val="00AF14EE"/>
    <w:rsid w:val="00AF4528"/>
    <w:rsid w:val="00B117E4"/>
    <w:rsid w:val="00B12896"/>
    <w:rsid w:val="00B14589"/>
    <w:rsid w:val="00B1464F"/>
    <w:rsid w:val="00B14F9A"/>
    <w:rsid w:val="00B17AA4"/>
    <w:rsid w:val="00B20176"/>
    <w:rsid w:val="00B24427"/>
    <w:rsid w:val="00B2578A"/>
    <w:rsid w:val="00B25BA9"/>
    <w:rsid w:val="00B27F54"/>
    <w:rsid w:val="00B3255C"/>
    <w:rsid w:val="00B34FF1"/>
    <w:rsid w:val="00B54DCE"/>
    <w:rsid w:val="00B55026"/>
    <w:rsid w:val="00B55E0C"/>
    <w:rsid w:val="00B6392D"/>
    <w:rsid w:val="00B65EB8"/>
    <w:rsid w:val="00B66B9D"/>
    <w:rsid w:val="00B715A9"/>
    <w:rsid w:val="00B71D67"/>
    <w:rsid w:val="00B71E7A"/>
    <w:rsid w:val="00B7225C"/>
    <w:rsid w:val="00B80E83"/>
    <w:rsid w:val="00B846C2"/>
    <w:rsid w:val="00B93189"/>
    <w:rsid w:val="00B93CE6"/>
    <w:rsid w:val="00BA02E4"/>
    <w:rsid w:val="00BA16AD"/>
    <w:rsid w:val="00BA331D"/>
    <w:rsid w:val="00BA5BD7"/>
    <w:rsid w:val="00BA5E2F"/>
    <w:rsid w:val="00BB0EC2"/>
    <w:rsid w:val="00BB3D3E"/>
    <w:rsid w:val="00BB6268"/>
    <w:rsid w:val="00BB64FE"/>
    <w:rsid w:val="00BB71A4"/>
    <w:rsid w:val="00BB7497"/>
    <w:rsid w:val="00BC017C"/>
    <w:rsid w:val="00BC2032"/>
    <w:rsid w:val="00BC3F67"/>
    <w:rsid w:val="00BC7603"/>
    <w:rsid w:val="00BC7B55"/>
    <w:rsid w:val="00BC7B68"/>
    <w:rsid w:val="00BD19E6"/>
    <w:rsid w:val="00BD1AAA"/>
    <w:rsid w:val="00BD2686"/>
    <w:rsid w:val="00BD30CF"/>
    <w:rsid w:val="00BD6D98"/>
    <w:rsid w:val="00BD7449"/>
    <w:rsid w:val="00BD79F9"/>
    <w:rsid w:val="00BE5985"/>
    <w:rsid w:val="00BF059C"/>
    <w:rsid w:val="00BF1D11"/>
    <w:rsid w:val="00BF4F76"/>
    <w:rsid w:val="00BF56AD"/>
    <w:rsid w:val="00BF59F4"/>
    <w:rsid w:val="00BF70FF"/>
    <w:rsid w:val="00C0064D"/>
    <w:rsid w:val="00C0162A"/>
    <w:rsid w:val="00C04560"/>
    <w:rsid w:val="00C0462B"/>
    <w:rsid w:val="00C05265"/>
    <w:rsid w:val="00C05E19"/>
    <w:rsid w:val="00C063E8"/>
    <w:rsid w:val="00C0697F"/>
    <w:rsid w:val="00C06B2C"/>
    <w:rsid w:val="00C06FCD"/>
    <w:rsid w:val="00C1387F"/>
    <w:rsid w:val="00C22DBC"/>
    <w:rsid w:val="00C24156"/>
    <w:rsid w:val="00C26A0F"/>
    <w:rsid w:val="00C27170"/>
    <w:rsid w:val="00C34314"/>
    <w:rsid w:val="00C36D55"/>
    <w:rsid w:val="00C45627"/>
    <w:rsid w:val="00C45A63"/>
    <w:rsid w:val="00C50504"/>
    <w:rsid w:val="00C524B1"/>
    <w:rsid w:val="00C569BC"/>
    <w:rsid w:val="00C62F10"/>
    <w:rsid w:val="00C734ED"/>
    <w:rsid w:val="00C7542D"/>
    <w:rsid w:val="00C763AB"/>
    <w:rsid w:val="00C80AEB"/>
    <w:rsid w:val="00C87954"/>
    <w:rsid w:val="00C9191C"/>
    <w:rsid w:val="00C96ABB"/>
    <w:rsid w:val="00CA0320"/>
    <w:rsid w:val="00CA4701"/>
    <w:rsid w:val="00CB0127"/>
    <w:rsid w:val="00CB0D2A"/>
    <w:rsid w:val="00CB50B2"/>
    <w:rsid w:val="00CB6E1D"/>
    <w:rsid w:val="00CB7D56"/>
    <w:rsid w:val="00CC3E99"/>
    <w:rsid w:val="00CC4F44"/>
    <w:rsid w:val="00CC5044"/>
    <w:rsid w:val="00CC5192"/>
    <w:rsid w:val="00CC5A0E"/>
    <w:rsid w:val="00CC5D2E"/>
    <w:rsid w:val="00CC7BAA"/>
    <w:rsid w:val="00CD17EC"/>
    <w:rsid w:val="00CD18CB"/>
    <w:rsid w:val="00CD5D17"/>
    <w:rsid w:val="00CD71A3"/>
    <w:rsid w:val="00CF0C95"/>
    <w:rsid w:val="00CF0E8C"/>
    <w:rsid w:val="00CF1B84"/>
    <w:rsid w:val="00CF2F33"/>
    <w:rsid w:val="00CF2F6C"/>
    <w:rsid w:val="00CF429A"/>
    <w:rsid w:val="00D01311"/>
    <w:rsid w:val="00D02563"/>
    <w:rsid w:val="00D03FEB"/>
    <w:rsid w:val="00D04A28"/>
    <w:rsid w:val="00D05847"/>
    <w:rsid w:val="00D14161"/>
    <w:rsid w:val="00D16425"/>
    <w:rsid w:val="00D175EC"/>
    <w:rsid w:val="00D2103E"/>
    <w:rsid w:val="00D21E9C"/>
    <w:rsid w:val="00D24A9F"/>
    <w:rsid w:val="00D35CCB"/>
    <w:rsid w:val="00D35D30"/>
    <w:rsid w:val="00D37033"/>
    <w:rsid w:val="00D3761A"/>
    <w:rsid w:val="00D423B4"/>
    <w:rsid w:val="00D43B82"/>
    <w:rsid w:val="00D446CC"/>
    <w:rsid w:val="00D448EC"/>
    <w:rsid w:val="00D45543"/>
    <w:rsid w:val="00D51717"/>
    <w:rsid w:val="00D54DAE"/>
    <w:rsid w:val="00D569C5"/>
    <w:rsid w:val="00D56F30"/>
    <w:rsid w:val="00D572FF"/>
    <w:rsid w:val="00D573FB"/>
    <w:rsid w:val="00D620D7"/>
    <w:rsid w:val="00D6371B"/>
    <w:rsid w:val="00D71456"/>
    <w:rsid w:val="00D729FE"/>
    <w:rsid w:val="00D74A43"/>
    <w:rsid w:val="00D76304"/>
    <w:rsid w:val="00D77EC4"/>
    <w:rsid w:val="00D80B77"/>
    <w:rsid w:val="00D81838"/>
    <w:rsid w:val="00D82475"/>
    <w:rsid w:val="00D83438"/>
    <w:rsid w:val="00D84A47"/>
    <w:rsid w:val="00D91D91"/>
    <w:rsid w:val="00D937FE"/>
    <w:rsid w:val="00D93BB6"/>
    <w:rsid w:val="00D9478C"/>
    <w:rsid w:val="00D95ECB"/>
    <w:rsid w:val="00D97C17"/>
    <w:rsid w:val="00DA2555"/>
    <w:rsid w:val="00DA3B0D"/>
    <w:rsid w:val="00DA5146"/>
    <w:rsid w:val="00DA6544"/>
    <w:rsid w:val="00DB3DDA"/>
    <w:rsid w:val="00DB65DD"/>
    <w:rsid w:val="00DC1098"/>
    <w:rsid w:val="00DC47C2"/>
    <w:rsid w:val="00DC50AE"/>
    <w:rsid w:val="00DD13B8"/>
    <w:rsid w:val="00DD1C7E"/>
    <w:rsid w:val="00DD4464"/>
    <w:rsid w:val="00DE0E95"/>
    <w:rsid w:val="00DF117E"/>
    <w:rsid w:val="00DF2D03"/>
    <w:rsid w:val="00E00BB1"/>
    <w:rsid w:val="00E03615"/>
    <w:rsid w:val="00E07B61"/>
    <w:rsid w:val="00E140C9"/>
    <w:rsid w:val="00E16AD3"/>
    <w:rsid w:val="00E1719C"/>
    <w:rsid w:val="00E24990"/>
    <w:rsid w:val="00E3030F"/>
    <w:rsid w:val="00E319EF"/>
    <w:rsid w:val="00E32863"/>
    <w:rsid w:val="00E365A2"/>
    <w:rsid w:val="00E37FB9"/>
    <w:rsid w:val="00E465D3"/>
    <w:rsid w:val="00E4678E"/>
    <w:rsid w:val="00E543A9"/>
    <w:rsid w:val="00E62D7B"/>
    <w:rsid w:val="00E6586B"/>
    <w:rsid w:val="00E67156"/>
    <w:rsid w:val="00E67492"/>
    <w:rsid w:val="00E70577"/>
    <w:rsid w:val="00E71503"/>
    <w:rsid w:val="00E71514"/>
    <w:rsid w:val="00E72119"/>
    <w:rsid w:val="00E761A9"/>
    <w:rsid w:val="00E90064"/>
    <w:rsid w:val="00E9304E"/>
    <w:rsid w:val="00E937AA"/>
    <w:rsid w:val="00E9428D"/>
    <w:rsid w:val="00EA08EF"/>
    <w:rsid w:val="00EA1897"/>
    <w:rsid w:val="00EB0B63"/>
    <w:rsid w:val="00EB6F6F"/>
    <w:rsid w:val="00EB7156"/>
    <w:rsid w:val="00EC1C4F"/>
    <w:rsid w:val="00EC360B"/>
    <w:rsid w:val="00ED1AC7"/>
    <w:rsid w:val="00ED5227"/>
    <w:rsid w:val="00EE1D8C"/>
    <w:rsid w:val="00EE34E4"/>
    <w:rsid w:val="00EE43BA"/>
    <w:rsid w:val="00EE5997"/>
    <w:rsid w:val="00EF27A9"/>
    <w:rsid w:val="00EF6374"/>
    <w:rsid w:val="00EF712B"/>
    <w:rsid w:val="00F05F96"/>
    <w:rsid w:val="00F12878"/>
    <w:rsid w:val="00F130FF"/>
    <w:rsid w:val="00F20E2C"/>
    <w:rsid w:val="00F21DFC"/>
    <w:rsid w:val="00F233D9"/>
    <w:rsid w:val="00F23AE8"/>
    <w:rsid w:val="00F242F2"/>
    <w:rsid w:val="00F26392"/>
    <w:rsid w:val="00F313F3"/>
    <w:rsid w:val="00F31D9C"/>
    <w:rsid w:val="00F406E9"/>
    <w:rsid w:val="00F42BA3"/>
    <w:rsid w:val="00F4430A"/>
    <w:rsid w:val="00F4430E"/>
    <w:rsid w:val="00F5235E"/>
    <w:rsid w:val="00F5343A"/>
    <w:rsid w:val="00F61B04"/>
    <w:rsid w:val="00F632EB"/>
    <w:rsid w:val="00F6428B"/>
    <w:rsid w:val="00F773C8"/>
    <w:rsid w:val="00F77C78"/>
    <w:rsid w:val="00F8182A"/>
    <w:rsid w:val="00F81A6A"/>
    <w:rsid w:val="00F81BA7"/>
    <w:rsid w:val="00F84A23"/>
    <w:rsid w:val="00F85BA2"/>
    <w:rsid w:val="00F92F08"/>
    <w:rsid w:val="00F95659"/>
    <w:rsid w:val="00F96776"/>
    <w:rsid w:val="00FA12C0"/>
    <w:rsid w:val="00FA4AB4"/>
    <w:rsid w:val="00FA61AC"/>
    <w:rsid w:val="00FC3979"/>
    <w:rsid w:val="00FC7596"/>
    <w:rsid w:val="00FD0B28"/>
    <w:rsid w:val="00FE12DB"/>
    <w:rsid w:val="00FE160D"/>
    <w:rsid w:val="00FE2CF2"/>
    <w:rsid w:val="00FE38E9"/>
    <w:rsid w:val="00FE5EDA"/>
    <w:rsid w:val="00FF1733"/>
    <w:rsid w:val="00FF5DBF"/>
    <w:rsid w:val="00FF7B19"/>
    <w:rsid w:val="01E32398"/>
    <w:rsid w:val="043B25BA"/>
    <w:rsid w:val="043B6276"/>
    <w:rsid w:val="046C7892"/>
    <w:rsid w:val="04F8355F"/>
    <w:rsid w:val="05935B88"/>
    <w:rsid w:val="063E7214"/>
    <w:rsid w:val="065E3737"/>
    <w:rsid w:val="074A4459"/>
    <w:rsid w:val="07590CAF"/>
    <w:rsid w:val="077B7361"/>
    <w:rsid w:val="07A621F2"/>
    <w:rsid w:val="085314DD"/>
    <w:rsid w:val="08563792"/>
    <w:rsid w:val="08690EB3"/>
    <w:rsid w:val="08725D57"/>
    <w:rsid w:val="097E0B35"/>
    <w:rsid w:val="0A047E2D"/>
    <w:rsid w:val="0A3B1F2E"/>
    <w:rsid w:val="0AE867C0"/>
    <w:rsid w:val="0BC149DE"/>
    <w:rsid w:val="0CC83C9F"/>
    <w:rsid w:val="0CF22657"/>
    <w:rsid w:val="0D374A00"/>
    <w:rsid w:val="0DE47F0B"/>
    <w:rsid w:val="0E1E635D"/>
    <w:rsid w:val="0E2A3586"/>
    <w:rsid w:val="0EC93CC6"/>
    <w:rsid w:val="0F381BD0"/>
    <w:rsid w:val="0F3A5BE5"/>
    <w:rsid w:val="0F4941E4"/>
    <w:rsid w:val="0FE53C20"/>
    <w:rsid w:val="10185C46"/>
    <w:rsid w:val="10E035B4"/>
    <w:rsid w:val="11176A18"/>
    <w:rsid w:val="11875C4C"/>
    <w:rsid w:val="11995DF9"/>
    <w:rsid w:val="11A85DC4"/>
    <w:rsid w:val="12A2799B"/>
    <w:rsid w:val="13BA2E1F"/>
    <w:rsid w:val="15654DA5"/>
    <w:rsid w:val="15CF4BBE"/>
    <w:rsid w:val="16164254"/>
    <w:rsid w:val="162076DA"/>
    <w:rsid w:val="181B379D"/>
    <w:rsid w:val="18D822A1"/>
    <w:rsid w:val="19B553D0"/>
    <w:rsid w:val="1A197771"/>
    <w:rsid w:val="1B69555E"/>
    <w:rsid w:val="1B884260"/>
    <w:rsid w:val="1BC35E31"/>
    <w:rsid w:val="1BE01B27"/>
    <w:rsid w:val="1D157BFC"/>
    <w:rsid w:val="1D741643"/>
    <w:rsid w:val="1DBF5D11"/>
    <w:rsid w:val="1E5A5860"/>
    <w:rsid w:val="1E923572"/>
    <w:rsid w:val="20B346EA"/>
    <w:rsid w:val="21A9160B"/>
    <w:rsid w:val="21AC15CC"/>
    <w:rsid w:val="22616B7C"/>
    <w:rsid w:val="22A84028"/>
    <w:rsid w:val="22DC1178"/>
    <w:rsid w:val="22EE07A0"/>
    <w:rsid w:val="23473C12"/>
    <w:rsid w:val="247B2DF6"/>
    <w:rsid w:val="24D4508F"/>
    <w:rsid w:val="25364B69"/>
    <w:rsid w:val="25795647"/>
    <w:rsid w:val="25D458AE"/>
    <w:rsid w:val="268E55B1"/>
    <w:rsid w:val="277D6CD3"/>
    <w:rsid w:val="27FE3068"/>
    <w:rsid w:val="280D6059"/>
    <w:rsid w:val="28D85A80"/>
    <w:rsid w:val="28DC7C80"/>
    <w:rsid w:val="28F21BD3"/>
    <w:rsid w:val="29446407"/>
    <w:rsid w:val="2994385E"/>
    <w:rsid w:val="2A190DF4"/>
    <w:rsid w:val="2AB2247D"/>
    <w:rsid w:val="2CF412DF"/>
    <w:rsid w:val="2CFD50BA"/>
    <w:rsid w:val="2DD62A60"/>
    <w:rsid w:val="2F3619EC"/>
    <w:rsid w:val="2F7156C6"/>
    <w:rsid w:val="31670710"/>
    <w:rsid w:val="32347ABF"/>
    <w:rsid w:val="32AC0F08"/>
    <w:rsid w:val="32D406FD"/>
    <w:rsid w:val="32E40928"/>
    <w:rsid w:val="34DB0647"/>
    <w:rsid w:val="381E2824"/>
    <w:rsid w:val="38512A0C"/>
    <w:rsid w:val="39816B11"/>
    <w:rsid w:val="3A0109D2"/>
    <w:rsid w:val="3A8023A3"/>
    <w:rsid w:val="3AF53D36"/>
    <w:rsid w:val="3B0A4AC6"/>
    <w:rsid w:val="3C3C0DF3"/>
    <w:rsid w:val="3C9C35FA"/>
    <w:rsid w:val="3D21625F"/>
    <w:rsid w:val="3D31433E"/>
    <w:rsid w:val="3DC7155F"/>
    <w:rsid w:val="3E777CA6"/>
    <w:rsid w:val="3EE36962"/>
    <w:rsid w:val="3F123479"/>
    <w:rsid w:val="40A15B62"/>
    <w:rsid w:val="42B86817"/>
    <w:rsid w:val="42DD6054"/>
    <w:rsid w:val="44BF5E52"/>
    <w:rsid w:val="45662E75"/>
    <w:rsid w:val="46686F7B"/>
    <w:rsid w:val="469A1ECE"/>
    <w:rsid w:val="46F838AB"/>
    <w:rsid w:val="476D7F5B"/>
    <w:rsid w:val="491D0971"/>
    <w:rsid w:val="49AE259A"/>
    <w:rsid w:val="49C231E5"/>
    <w:rsid w:val="4A263072"/>
    <w:rsid w:val="4B3F2701"/>
    <w:rsid w:val="4B5656CB"/>
    <w:rsid w:val="4B94476C"/>
    <w:rsid w:val="4BA37784"/>
    <w:rsid w:val="4BE65FC0"/>
    <w:rsid w:val="4D9E0FEB"/>
    <w:rsid w:val="4DAA68EC"/>
    <w:rsid w:val="4F574479"/>
    <w:rsid w:val="500D1B2D"/>
    <w:rsid w:val="504C2D96"/>
    <w:rsid w:val="508526CA"/>
    <w:rsid w:val="51234867"/>
    <w:rsid w:val="53583DC9"/>
    <w:rsid w:val="54415F92"/>
    <w:rsid w:val="54662E1C"/>
    <w:rsid w:val="553D4FEC"/>
    <w:rsid w:val="55C82E7D"/>
    <w:rsid w:val="56782557"/>
    <w:rsid w:val="57427BD0"/>
    <w:rsid w:val="588D5F9A"/>
    <w:rsid w:val="58F76054"/>
    <w:rsid w:val="59FF7C64"/>
    <w:rsid w:val="5A636421"/>
    <w:rsid w:val="5AC50330"/>
    <w:rsid w:val="5D215F7E"/>
    <w:rsid w:val="5D671159"/>
    <w:rsid w:val="5DD1427F"/>
    <w:rsid w:val="5E2B6A7B"/>
    <w:rsid w:val="5E5C71B3"/>
    <w:rsid w:val="5E8E07C1"/>
    <w:rsid w:val="5EA06346"/>
    <w:rsid w:val="5EBC4E95"/>
    <w:rsid w:val="5EC95E20"/>
    <w:rsid w:val="5F2E004D"/>
    <w:rsid w:val="604912B2"/>
    <w:rsid w:val="605620EA"/>
    <w:rsid w:val="60D661A5"/>
    <w:rsid w:val="618F1B68"/>
    <w:rsid w:val="61F938E4"/>
    <w:rsid w:val="624861D0"/>
    <w:rsid w:val="62EF700B"/>
    <w:rsid w:val="637061D4"/>
    <w:rsid w:val="63F05231"/>
    <w:rsid w:val="652B5281"/>
    <w:rsid w:val="65EE043A"/>
    <w:rsid w:val="677F6E52"/>
    <w:rsid w:val="682C0618"/>
    <w:rsid w:val="6A3B0B38"/>
    <w:rsid w:val="6B6277B0"/>
    <w:rsid w:val="6BB62EC2"/>
    <w:rsid w:val="6C1F65CB"/>
    <w:rsid w:val="6C5B440F"/>
    <w:rsid w:val="6C982FD9"/>
    <w:rsid w:val="6D3A5BA2"/>
    <w:rsid w:val="6D70670B"/>
    <w:rsid w:val="6D843C5B"/>
    <w:rsid w:val="6DD36C21"/>
    <w:rsid w:val="6DE352E6"/>
    <w:rsid w:val="6DEC75A8"/>
    <w:rsid w:val="70D069C3"/>
    <w:rsid w:val="713E6F0F"/>
    <w:rsid w:val="73D116BC"/>
    <w:rsid w:val="74F91728"/>
    <w:rsid w:val="75237748"/>
    <w:rsid w:val="757832B6"/>
    <w:rsid w:val="76452D48"/>
    <w:rsid w:val="76863085"/>
    <w:rsid w:val="787D4D8A"/>
    <w:rsid w:val="7A0E108B"/>
    <w:rsid w:val="7A935D4F"/>
    <w:rsid w:val="7AE46A71"/>
    <w:rsid w:val="7B2B16CC"/>
    <w:rsid w:val="7B892AA9"/>
    <w:rsid w:val="7DD93E18"/>
    <w:rsid w:val="7E884831"/>
    <w:rsid w:val="7EB21D40"/>
  </w:rsids>
  <m:mathPr>
    <m:lMargin m:val="0"/>
    <m:mathFont m:val="Cambria Math"/>
    <m:rMargin m:val="0"/>
    <m:wrapIndent m:val="1440"/>
    <m:brkBin m:val="before"/>
    <m:brkBinSub m:val="--"/>
    <m:defJc m:val="centerGroup"/>
    <m:intLim m:val="subSup"/>
    <m:naryLim m:val="undOvr"/>
    <m:smallFrac m:val=""/>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ocked="1"/>
    <w:lsdException w:qFormat="1" w:unhideWhenUsed="0" w:uiPriority="0" w:semiHidden="0" w:name="heading 3"/>
    <w:lsdException w:qFormat="1" w:unhideWhenUsed="0" w:uiPriority="0" w:semiHidden="0" w:name="heading 4"/>
    <w:lsdException w:qFormat="1"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iPriority="0" w:semiHidden="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ocked="1"/>
    <w:lsdException w:uiPriority="99"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ocked="1"/>
    <w:lsdException w:qFormat="1" w:unhideWhenUsed="0" w:uiPriority="20" w:semiHidden="0" w:name="Emphasis" w:locked="1"/>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iPriority="99" w:name="HTML Typewriter"/>
    <w:lsdException w:uiPriority="99" w:name="HTML Variable"/>
    <w:lsdException w:uiPriority="99" w:name="Normal Table"/>
    <w:lsdException w:qFormat="1"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qFormat="1" w:unhideWhenUsed="0" w:uiPriority="0" w:semiHidden="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9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82"/>
    <w:unhideWhenUsed/>
    <w:qFormat/>
    <w:locked/>
    <w:uiPriority w:val="0"/>
    <w:pPr>
      <w:keepNext/>
      <w:keepLines/>
      <w:spacing w:beforeLines="50" w:afterLines="50"/>
      <w:outlineLvl w:val="1"/>
    </w:pPr>
    <w:rPr>
      <w:rFonts w:cstheme="majorBidi"/>
      <w:b/>
      <w:bCs/>
      <w:szCs w:val="32"/>
    </w:rPr>
  </w:style>
  <w:style w:type="paragraph" w:styleId="5">
    <w:name w:val="heading 3"/>
    <w:basedOn w:val="1"/>
    <w:next w:val="1"/>
    <w:link w:val="59"/>
    <w:qFormat/>
    <w:uiPriority w:val="0"/>
    <w:pPr>
      <w:keepNext/>
      <w:keepLines/>
      <w:outlineLvl w:val="2"/>
    </w:pPr>
    <w:rPr>
      <w:b/>
      <w:bCs/>
      <w:szCs w:val="32"/>
    </w:rPr>
  </w:style>
  <w:style w:type="paragraph" w:styleId="6">
    <w:name w:val="heading 4"/>
    <w:basedOn w:val="1"/>
    <w:next w:val="1"/>
    <w:link w:val="60"/>
    <w:qFormat/>
    <w:uiPriority w:val="0"/>
    <w:pPr>
      <w:keepNext/>
      <w:keepLines/>
      <w:spacing w:before="280" w:after="290" w:line="376" w:lineRule="auto"/>
      <w:outlineLvl w:val="3"/>
    </w:pPr>
    <w:rPr>
      <w:rFonts w:ascii="Arial" w:hAnsi="Arial" w:eastAsia="黑体"/>
      <w:bCs/>
      <w:color w:val="000000"/>
      <w:kern w:val="0"/>
      <w:sz w:val="32"/>
      <w:szCs w:val="28"/>
    </w:rPr>
  </w:style>
  <w:style w:type="paragraph" w:styleId="7">
    <w:name w:val="heading 5"/>
    <w:basedOn w:val="1"/>
    <w:next w:val="1"/>
    <w:link w:val="83"/>
    <w:unhideWhenUsed/>
    <w:qFormat/>
    <w:locked/>
    <w:uiPriority w:val="0"/>
    <w:pPr>
      <w:keepNext/>
      <w:keepLines/>
      <w:spacing w:before="280" w:after="290" w:line="376" w:lineRule="atLeast"/>
      <w:outlineLvl w:val="4"/>
    </w:pPr>
    <w:rPr>
      <w:b/>
      <w:bCs/>
      <w:sz w:val="28"/>
      <w:szCs w:val="28"/>
    </w:rPr>
  </w:style>
  <w:style w:type="paragraph" w:styleId="8">
    <w:name w:val="heading 6"/>
    <w:basedOn w:val="1"/>
    <w:next w:val="1"/>
    <w:link w:val="155"/>
    <w:qFormat/>
    <w:locked/>
    <w:uiPriority w:val="0"/>
    <w:pPr>
      <w:keepNext/>
      <w:keepLines/>
      <w:widowControl/>
      <w:spacing w:before="240" w:after="64" w:line="320" w:lineRule="auto"/>
      <w:jc w:val="left"/>
      <w:outlineLvl w:val="5"/>
    </w:pPr>
    <w:rPr>
      <w:rFonts w:ascii="Arial" w:hAnsi="Arial" w:eastAsia="黑体"/>
      <w:b/>
      <w:bCs/>
      <w:kern w:val="0"/>
      <w:sz w:val="24"/>
      <w:szCs w:val="24"/>
    </w:rPr>
  </w:style>
  <w:style w:type="paragraph" w:styleId="9">
    <w:name w:val="heading 7"/>
    <w:basedOn w:val="1"/>
    <w:next w:val="1"/>
    <w:link w:val="149"/>
    <w:qFormat/>
    <w:locked/>
    <w:uiPriority w:val="0"/>
    <w:pPr>
      <w:keepNext/>
      <w:keepLines/>
      <w:adjustRightInd w:val="0"/>
      <w:spacing w:before="240" w:after="64" w:line="320" w:lineRule="atLeast"/>
      <w:textAlignment w:val="baseline"/>
      <w:outlineLvl w:val="6"/>
    </w:pPr>
    <w:rPr>
      <w:rFonts w:ascii="宋体" w:eastAsia="仿宋_GB2312"/>
      <w:b/>
      <w:kern w:val="0"/>
      <w:sz w:val="24"/>
    </w:rPr>
  </w:style>
  <w:style w:type="paragraph" w:styleId="10">
    <w:name w:val="heading 8"/>
    <w:basedOn w:val="1"/>
    <w:next w:val="1"/>
    <w:link w:val="88"/>
    <w:qFormat/>
    <w:locked/>
    <w:uiPriority w:val="0"/>
    <w:pPr>
      <w:keepNext/>
      <w:keepLines/>
      <w:adjustRightInd w:val="0"/>
      <w:spacing w:before="240" w:after="64" w:line="320" w:lineRule="atLeast"/>
      <w:textAlignment w:val="baseline"/>
      <w:outlineLvl w:val="7"/>
    </w:pPr>
    <w:rPr>
      <w:rFonts w:ascii="Arial" w:hAnsi="Arial" w:eastAsia="黑体"/>
      <w:kern w:val="0"/>
      <w:sz w:val="24"/>
    </w:rPr>
  </w:style>
  <w:style w:type="paragraph" w:styleId="11">
    <w:name w:val="heading 9"/>
    <w:basedOn w:val="1"/>
    <w:next w:val="1"/>
    <w:link w:val="84"/>
    <w:unhideWhenUsed/>
    <w:qFormat/>
    <w:locked/>
    <w:uiPriority w:val="0"/>
    <w:pPr>
      <w:keepNext/>
      <w:keepLines/>
      <w:spacing w:before="240" w:after="64" w:line="320" w:lineRule="atLeast"/>
      <w:outlineLvl w:val="8"/>
    </w:pPr>
    <w:rPr>
      <w:rFonts w:asciiTheme="majorHAnsi" w:hAnsiTheme="majorHAnsi" w:eastAsiaTheme="majorEastAsia" w:cstheme="majorBidi"/>
      <w:szCs w:val="21"/>
    </w:rPr>
  </w:style>
  <w:style w:type="character" w:default="1" w:styleId="43">
    <w:name w:val="Default Paragraph Font"/>
    <w:unhideWhenUsed/>
    <w:uiPriority w:val="1"/>
  </w:style>
  <w:style w:type="table" w:default="1" w:styleId="55">
    <w:name w:val="Normal Table"/>
    <w:unhideWhenUsed/>
    <w:uiPriority w:val="99"/>
    <w:tblPr>
      <w:tblLayout w:type="fixed"/>
      <w:tblCellMar>
        <w:top w:w="0" w:type="dxa"/>
        <w:left w:w="108" w:type="dxa"/>
        <w:bottom w:w="0" w:type="dxa"/>
        <w:right w:w="108" w:type="dxa"/>
      </w:tblCellMar>
    </w:tblPr>
  </w:style>
  <w:style w:type="paragraph" w:styleId="4">
    <w:name w:val="Normal Indent"/>
    <w:basedOn w:val="1"/>
    <w:link w:val="74"/>
    <w:qFormat/>
    <w:uiPriority w:val="0"/>
    <w:pPr>
      <w:ind w:firstLine="420" w:firstLineChars="200"/>
    </w:pPr>
  </w:style>
  <w:style w:type="paragraph" w:styleId="12">
    <w:name w:val="annotation subject"/>
    <w:basedOn w:val="13"/>
    <w:next w:val="13"/>
    <w:link w:val="81"/>
    <w:unhideWhenUsed/>
    <w:qFormat/>
    <w:uiPriority w:val="0"/>
    <w:pPr>
      <w:spacing w:line="400" w:lineRule="exact"/>
    </w:pPr>
    <w:rPr>
      <w:rFonts w:ascii="Times New Roman" w:hAnsi="Times New Roman"/>
      <w:b/>
      <w:bCs/>
      <w:szCs w:val="20"/>
    </w:rPr>
  </w:style>
  <w:style w:type="paragraph" w:styleId="13">
    <w:name w:val="annotation text"/>
    <w:basedOn w:val="1"/>
    <w:link w:val="80"/>
    <w:unhideWhenUsed/>
    <w:qFormat/>
    <w:uiPriority w:val="0"/>
    <w:pPr>
      <w:spacing w:line="240" w:lineRule="auto"/>
      <w:jc w:val="left"/>
    </w:pPr>
    <w:rPr>
      <w:rFonts w:ascii="Calibri" w:hAnsi="Calibri"/>
      <w:szCs w:val="22"/>
    </w:rPr>
  </w:style>
  <w:style w:type="paragraph" w:styleId="14">
    <w:name w:val="toc 7"/>
    <w:basedOn w:val="1"/>
    <w:next w:val="1"/>
    <w:qFormat/>
    <w:uiPriority w:val="0"/>
    <w:pPr>
      <w:adjustRightInd w:val="0"/>
      <w:snapToGrid w:val="0"/>
      <w:spacing w:line="288" w:lineRule="auto"/>
      <w:ind w:left="1260" w:firstLine="200" w:firstLineChars="200"/>
      <w:jc w:val="left"/>
    </w:pPr>
    <w:rPr>
      <w:rFonts w:ascii="Calibri" w:hAnsi="Calibri"/>
      <w:sz w:val="18"/>
      <w:szCs w:val="18"/>
    </w:rPr>
  </w:style>
  <w:style w:type="paragraph" w:styleId="15">
    <w:name w:val="Body Text First Indent"/>
    <w:basedOn w:val="16"/>
    <w:link w:val="216"/>
    <w:qFormat/>
    <w:uiPriority w:val="0"/>
    <w:pPr>
      <w:spacing w:after="120"/>
      <w:ind w:firstLine="420" w:firstLineChars="100"/>
    </w:pPr>
    <w:rPr>
      <w:rFonts w:ascii="Times New Roman" w:eastAsia="宋体"/>
      <w:kern w:val="0"/>
      <w:sz w:val="20"/>
    </w:rPr>
  </w:style>
  <w:style w:type="paragraph" w:styleId="16">
    <w:name w:val="Body Text"/>
    <w:basedOn w:val="1"/>
    <w:link w:val="213"/>
    <w:qFormat/>
    <w:uiPriority w:val="0"/>
    <w:pPr>
      <w:spacing w:line="240" w:lineRule="auto"/>
    </w:pPr>
    <w:rPr>
      <w:rFonts w:ascii="仿宋_GB2312" w:eastAsia="仿宋_GB2312"/>
      <w:sz w:val="28"/>
      <w:szCs w:val="24"/>
    </w:rPr>
  </w:style>
  <w:style w:type="paragraph" w:styleId="17">
    <w:name w:val="caption"/>
    <w:basedOn w:val="1"/>
    <w:next w:val="1"/>
    <w:link w:val="197"/>
    <w:qFormat/>
    <w:locked/>
    <w:uiPriority w:val="0"/>
    <w:pPr>
      <w:spacing w:before="152" w:after="160" w:line="240" w:lineRule="auto"/>
    </w:pPr>
    <w:rPr>
      <w:rFonts w:ascii="Arial" w:hAnsi="Arial" w:eastAsia="黑体"/>
      <w:sz w:val="20"/>
    </w:rPr>
  </w:style>
  <w:style w:type="paragraph" w:styleId="18">
    <w:name w:val="Document Map"/>
    <w:basedOn w:val="1"/>
    <w:link w:val="214"/>
    <w:semiHidden/>
    <w:qFormat/>
    <w:uiPriority w:val="0"/>
    <w:pPr>
      <w:shd w:val="clear" w:color="auto" w:fill="000080"/>
      <w:spacing w:line="240" w:lineRule="auto"/>
    </w:pPr>
    <w:rPr>
      <w:szCs w:val="24"/>
    </w:rPr>
  </w:style>
  <w:style w:type="paragraph" w:styleId="19">
    <w:name w:val="Body Text 3"/>
    <w:basedOn w:val="1"/>
    <w:link w:val="61"/>
    <w:qFormat/>
    <w:uiPriority w:val="0"/>
    <w:pPr>
      <w:spacing w:after="120"/>
    </w:pPr>
    <w:rPr>
      <w:sz w:val="16"/>
      <w:szCs w:val="16"/>
    </w:rPr>
  </w:style>
  <w:style w:type="paragraph" w:styleId="20">
    <w:name w:val="Body Text Indent"/>
    <w:basedOn w:val="1"/>
    <w:link w:val="62"/>
    <w:qFormat/>
    <w:uiPriority w:val="0"/>
    <w:pPr>
      <w:spacing w:line="380" w:lineRule="exact"/>
      <w:ind w:firstLine="420" w:firstLineChars="200"/>
    </w:pPr>
  </w:style>
  <w:style w:type="paragraph" w:styleId="21">
    <w:name w:val="Block Text"/>
    <w:basedOn w:val="1"/>
    <w:qFormat/>
    <w:uiPriority w:val="0"/>
    <w:pPr>
      <w:snapToGrid w:val="0"/>
      <w:spacing w:line="320" w:lineRule="exact"/>
      <w:ind w:left="57" w:right="57" w:firstLine="361" w:firstLineChars="200"/>
    </w:pPr>
    <w:rPr>
      <w:rFonts w:eastAsia="黑体"/>
      <w:b/>
      <w:bCs/>
      <w:snapToGrid w:val="0"/>
      <w:kern w:val="0"/>
      <w:sz w:val="18"/>
      <w:szCs w:val="21"/>
    </w:rPr>
  </w:style>
  <w:style w:type="paragraph" w:styleId="22">
    <w:name w:val="toc 5"/>
    <w:basedOn w:val="1"/>
    <w:next w:val="1"/>
    <w:qFormat/>
    <w:uiPriority w:val="0"/>
    <w:pPr>
      <w:adjustRightInd w:val="0"/>
      <w:snapToGrid w:val="0"/>
      <w:spacing w:line="288" w:lineRule="auto"/>
      <w:ind w:left="840" w:firstLine="200" w:firstLineChars="200"/>
      <w:jc w:val="left"/>
    </w:pPr>
    <w:rPr>
      <w:rFonts w:ascii="Calibri" w:hAnsi="Calibri"/>
      <w:sz w:val="18"/>
      <w:szCs w:val="18"/>
    </w:rPr>
  </w:style>
  <w:style w:type="paragraph" w:styleId="23">
    <w:name w:val="toc 3"/>
    <w:basedOn w:val="1"/>
    <w:next w:val="1"/>
    <w:qFormat/>
    <w:uiPriority w:val="39"/>
    <w:pPr>
      <w:adjustRightInd w:val="0"/>
      <w:snapToGrid w:val="0"/>
      <w:spacing w:line="288" w:lineRule="auto"/>
      <w:ind w:left="420" w:firstLine="200" w:firstLineChars="200"/>
      <w:jc w:val="left"/>
    </w:pPr>
    <w:rPr>
      <w:rFonts w:ascii="Calibri" w:hAnsi="Calibri"/>
      <w:i/>
      <w:iCs/>
      <w:sz w:val="20"/>
    </w:rPr>
  </w:style>
  <w:style w:type="paragraph" w:styleId="24">
    <w:name w:val="Plain Text"/>
    <w:basedOn w:val="1"/>
    <w:link w:val="63"/>
    <w:qFormat/>
    <w:uiPriority w:val="0"/>
    <w:rPr>
      <w:rFonts w:ascii="宋体" w:hAnsi="Courier New" w:cs="Courier New"/>
      <w:szCs w:val="21"/>
    </w:rPr>
  </w:style>
  <w:style w:type="paragraph" w:styleId="25">
    <w:name w:val="toc 8"/>
    <w:basedOn w:val="1"/>
    <w:next w:val="1"/>
    <w:qFormat/>
    <w:uiPriority w:val="0"/>
    <w:pPr>
      <w:adjustRightInd w:val="0"/>
      <w:snapToGrid w:val="0"/>
      <w:spacing w:line="288" w:lineRule="auto"/>
      <w:ind w:left="1470" w:firstLine="200" w:firstLineChars="200"/>
      <w:jc w:val="left"/>
    </w:pPr>
    <w:rPr>
      <w:rFonts w:ascii="Calibri" w:hAnsi="Calibri"/>
      <w:sz w:val="18"/>
      <w:szCs w:val="18"/>
    </w:rPr>
  </w:style>
  <w:style w:type="paragraph" w:styleId="26">
    <w:name w:val="Date"/>
    <w:basedOn w:val="1"/>
    <w:next w:val="1"/>
    <w:link w:val="64"/>
    <w:qFormat/>
    <w:uiPriority w:val="0"/>
    <w:pPr>
      <w:ind w:left="2500" w:leftChars="2500"/>
    </w:pPr>
    <w:rPr>
      <w:sz w:val="24"/>
    </w:rPr>
  </w:style>
  <w:style w:type="paragraph" w:styleId="27">
    <w:name w:val="Body Text Indent 2"/>
    <w:basedOn w:val="1"/>
    <w:link w:val="65"/>
    <w:qFormat/>
    <w:uiPriority w:val="0"/>
    <w:pPr>
      <w:spacing w:after="120" w:line="480" w:lineRule="auto"/>
      <w:ind w:left="420" w:leftChars="200"/>
    </w:pPr>
  </w:style>
  <w:style w:type="paragraph" w:styleId="28">
    <w:name w:val="Balloon Text"/>
    <w:basedOn w:val="1"/>
    <w:link w:val="66"/>
    <w:semiHidden/>
    <w:qFormat/>
    <w:uiPriority w:val="0"/>
    <w:rPr>
      <w:sz w:val="18"/>
      <w:szCs w:val="18"/>
    </w:rPr>
  </w:style>
  <w:style w:type="paragraph" w:styleId="29">
    <w:name w:val="footer"/>
    <w:basedOn w:val="1"/>
    <w:link w:val="67"/>
    <w:qFormat/>
    <w:uiPriority w:val="0"/>
    <w:pPr>
      <w:tabs>
        <w:tab w:val="center" w:pos="4153"/>
        <w:tab w:val="right" w:pos="8306"/>
      </w:tabs>
      <w:snapToGrid w:val="0"/>
      <w:jc w:val="left"/>
    </w:pPr>
    <w:rPr>
      <w:sz w:val="18"/>
      <w:szCs w:val="18"/>
    </w:rPr>
  </w:style>
  <w:style w:type="paragraph" w:styleId="30">
    <w:name w:val="header"/>
    <w:basedOn w:val="1"/>
    <w:link w:val="68"/>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unhideWhenUsed/>
    <w:qFormat/>
    <w:uiPriority w:val="39"/>
  </w:style>
  <w:style w:type="paragraph" w:styleId="32">
    <w:name w:val="toc 4"/>
    <w:basedOn w:val="1"/>
    <w:next w:val="1"/>
    <w:qFormat/>
    <w:uiPriority w:val="0"/>
    <w:pPr>
      <w:adjustRightInd w:val="0"/>
      <w:snapToGrid w:val="0"/>
      <w:spacing w:line="288" w:lineRule="auto"/>
      <w:ind w:left="630" w:firstLine="200" w:firstLineChars="200"/>
      <w:jc w:val="left"/>
    </w:pPr>
    <w:rPr>
      <w:rFonts w:ascii="Calibri" w:hAnsi="Calibri"/>
      <w:sz w:val="18"/>
      <w:szCs w:val="18"/>
    </w:rPr>
  </w:style>
  <w:style w:type="paragraph" w:styleId="33">
    <w:name w:val="List"/>
    <w:basedOn w:val="1"/>
    <w:qFormat/>
    <w:uiPriority w:val="0"/>
    <w:pPr>
      <w:tabs>
        <w:tab w:val="left" w:pos="900"/>
      </w:tabs>
      <w:adjustRightInd w:val="0"/>
      <w:snapToGrid w:val="0"/>
      <w:spacing w:line="360" w:lineRule="auto"/>
      <w:ind w:left="898" w:leftChars="171" w:hanging="539"/>
    </w:pPr>
    <w:rPr>
      <w:sz w:val="24"/>
      <w:szCs w:val="24"/>
    </w:rPr>
  </w:style>
  <w:style w:type="paragraph" w:styleId="34">
    <w:name w:val="footnote text"/>
    <w:basedOn w:val="1"/>
    <w:link w:val="218"/>
    <w:semiHidden/>
    <w:qFormat/>
    <w:uiPriority w:val="0"/>
    <w:pPr>
      <w:snapToGrid w:val="0"/>
      <w:spacing w:line="240" w:lineRule="auto"/>
      <w:jc w:val="left"/>
    </w:pPr>
    <w:rPr>
      <w:sz w:val="18"/>
      <w:szCs w:val="18"/>
    </w:rPr>
  </w:style>
  <w:style w:type="paragraph" w:styleId="35">
    <w:name w:val="toc 6"/>
    <w:basedOn w:val="1"/>
    <w:next w:val="1"/>
    <w:qFormat/>
    <w:uiPriority w:val="0"/>
    <w:pPr>
      <w:adjustRightInd w:val="0"/>
      <w:snapToGrid w:val="0"/>
      <w:spacing w:line="288" w:lineRule="auto"/>
      <w:ind w:left="1050" w:firstLine="200" w:firstLineChars="200"/>
      <w:jc w:val="left"/>
    </w:pPr>
    <w:rPr>
      <w:rFonts w:ascii="Calibri" w:hAnsi="Calibri"/>
      <w:sz w:val="18"/>
      <w:szCs w:val="18"/>
    </w:rPr>
  </w:style>
  <w:style w:type="paragraph" w:styleId="36">
    <w:name w:val="Body Text Indent 3"/>
    <w:basedOn w:val="1"/>
    <w:link w:val="212"/>
    <w:qFormat/>
    <w:uiPriority w:val="0"/>
    <w:pPr>
      <w:spacing w:line="360" w:lineRule="auto"/>
      <w:ind w:firstLine="540"/>
    </w:pPr>
    <w:rPr>
      <w:sz w:val="28"/>
    </w:rPr>
  </w:style>
  <w:style w:type="paragraph" w:styleId="37">
    <w:name w:val="toc 2"/>
    <w:basedOn w:val="1"/>
    <w:next w:val="1"/>
    <w:unhideWhenUsed/>
    <w:qFormat/>
    <w:uiPriority w:val="39"/>
    <w:pPr>
      <w:ind w:left="420" w:leftChars="200"/>
    </w:pPr>
  </w:style>
  <w:style w:type="paragraph" w:styleId="38">
    <w:name w:val="toc 9"/>
    <w:basedOn w:val="1"/>
    <w:next w:val="1"/>
    <w:qFormat/>
    <w:uiPriority w:val="0"/>
    <w:pPr>
      <w:adjustRightInd w:val="0"/>
      <w:snapToGrid w:val="0"/>
      <w:spacing w:line="288" w:lineRule="auto"/>
      <w:ind w:left="1680" w:firstLine="200" w:firstLineChars="200"/>
      <w:jc w:val="left"/>
    </w:pPr>
    <w:rPr>
      <w:rFonts w:ascii="Calibri" w:hAnsi="Calibri"/>
      <w:sz w:val="18"/>
      <w:szCs w:val="18"/>
    </w:rPr>
  </w:style>
  <w:style w:type="paragraph" w:styleId="39">
    <w:name w:val="Body Text 2"/>
    <w:basedOn w:val="1"/>
    <w:link w:val="217"/>
    <w:qFormat/>
    <w:uiPriority w:val="0"/>
    <w:pPr>
      <w:adjustRightInd w:val="0"/>
      <w:snapToGrid w:val="0"/>
      <w:spacing w:line="300" w:lineRule="exact"/>
      <w:jc w:val="center"/>
    </w:pPr>
    <w:rPr>
      <w:rFonts w:ascii="宋体"/>
      <w:kern w:val="0"/>
      <w:sz w:val="20"/>
    </w:rPr>
  </w:style>
  <w:style w:type="paragraph" w:styleId="40">
    <w:name w:val="HTML Preformatted"/>
    <w:basedOn w:val="1"/>
    <w:link w:val="21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w:hAnsi="Arial" w:cs="Arial"/>
      <w:kern w:val="0"/>
      <w:sz w:val="24"/>
      <w:szCs w:val="24"/>
    </w:rPr>
  </w:style>
  <w:style w:type="paragraph" w:styleId="41">
    <w:name w:val="Normal (Web)"/>
    <w:basedOn w:val="1"/>
    <w:qFormat/>
    <w:uiPriority w:val="99"/>
    <w:pPr>
      <w:widowControl/>
      <w:spacing w:before="100" w:beforeAutospacing="1" w:after="100" w:afterAutospacing="1" w:line="240" w:lineRule="auto"/>
      <w:jc w:val="left"/>
    </w:pPr>
    <w:rPr>
      <w:rFonts w:ascii="宋体" w:hAnsi="宋体"/>
      <w:kern w:val="0"/>
      <w:sz w:val="24"/>
      <w:szCs w:val="24"/>
    </w:rPr>
  </w:style>
  <w:style w:type="paragraph" w:styleId="42">
    <w:name w:val="Title"/>
    <w:basedOn w:val="1"/>
    <w:next w:val="1"/>
    <w:link w:val="77"/>
    <w:qFormat/>
    <w:locked/>
    <w:uiPriority w:val="0"/>
    <w:pPr>
      <w:spacing w:beforeLines="50" w:afterLines="50"/>
      <w:jc w:val="center"/>
      <w:outlineLvl w:val="0"/>
    </w:pPr>
    <w:rPr>
      <w:rFonts w:asciiTheme="majorHAnsi" w:hAnsiTheme="majorHAnsi" w:cstheme="majorBidi"/>
      <w:b/>
      <w:bCs/>
      <w:sz w:val="36"/>
      <w:szCs w:val="32"/>
    </w:rPr>
  </w:style>
  <w:style w:type="character" w:styleId="44">
    <w:name w:val="Strong"/>
    <w:qFormat/>
    <w:locked/>
    <w:uiPriority w:val="22"/>
    <w:rPr>
      <w:b/>
    </w:rPr>
  </w:style>
  <w:style w:type="character" w:styleId="45">
    <w:name w:val="page number"/>
    <w:basedOn w:val="43"/>
    <w:qFormat/>
    <w:uiPriority w:val="0"/>
    <w:rPr>
      <w:rFonts w:cs="Times New Roman"/>
    </w:rPr>
  </w:style>
  <w:style w:type="character" w:styleId="46">
    <w:name w:val="FollowedHyperlink"/>
    <w:qFormat/>
    <w:uiPriority w:val="0"/>
    <w:rPr>
      <w:color w:val="000000"/>
      <w:u w:val="none"/>
    </w:rPr>
  </w:style>
  <w:style w:type="character" w:styleId="47">
    <w:name w:val="Emphasis"/>
    <w:qFormat/>
    <w:locked/>
    <w:uiPriority w:val="20"/>
    <w:rPr>
      <w:i/>
      <w:iCs/>
    </w:rPr>
  </w:style>
  <w:style w:type="character" w:styleId="48">
    <w:name w:val="HTML Definition"/>
    <w:qFormat/>
    <w:uiPriority w:val="0"/>
    <w:rPr>
      <w:i/>
    </w:rPr>
  </w:style>
  <w:style w:type="character" w:styleId="49">
    <w:name w:val="Hyperlink"/>
    <w:basedOn w:val="43"/>
    <w:unhideWhenUsed/>
    <w:qFormat/>
    <w:uiPriority w:val="99"/>
    <w:rPr>
      <w:color w:val="0000FF" w:themeColor="hyperlink"/>
      <w:u w:val="single"/>
      <w14:textFill>
        <w14:solidFill>
          <w14:schemeClr w14:val="hlink"/>
        </w14:solidFill>
      </w14:textFill>
    </w:rPr>
  </w:style>
  <w:style w:type="character" w:styleId="50">
    <w:name w:val="HTML Code"/>
    <w:qFormat/>
    <w:uiPriority w:val="0"/>
    <w:rPr>
      <w:rFonts w:ascii="Consolas" w:hAnsi="Consolas" w:eastAsia="Consolas" w:cs="Consolas"/>
      <w:sz w:val="21"/>
      <w:szCs w:val="21"/>
    </w:rPr>
  </w:style>
  <w:style w:type="character" w:styleId="51">
    <w:name w:val="annotation reference"/>
    <w:basedOn w:val="43"/>
    <w:unhideWhenUsed/>
    <w:qFormat/>
    <w:uiPriority w:val="0"/>
    <w:rPr>
      <w:sz w:val="21"/>
      <w:szCs w:val="21"/>
    </w:rPr>
  </w:style>
  <w:style w:type="character" w:styleId="52">
    <w:name w:val="footnote reference"/>
    <w:semiHidden/>
    <w:qFormat/>
    <w:uiPriority w:val="0"/>
    <w:rPr>
      <w:rFonts w:eastAsia="宋体"/>
      <w:sz w:val="21"/>
      <w:szCs w:val="18"/>
      <w:vertAlign w:val="superscript"/>
    </w:rPr>
  </w:style>
  <w:style w:type="character" w:styleId="53">
    <w:name w:val="HTML Keyboard"/>
    <w:qFormat/>
    <w:uiPriority w:val="0"/>
    <w:rPr>
      <w:rFonts w:hint="default" w:ascii="Consolas" w:hAnsi="Consolas" w:eastAsia="Consolas" w:cs="Consolas"/>
      <w:sz w:val="21"/>
      <w:szCs w:val="21"/>
    </w:rPr>
  </w:style>
  <w:style w:type="character" w:styleId="54">
    <w:name w:val="HTML Sample"/>
    <w:qFormat/>
    <w:uiPriority w:val="0"/>
    <w:rPr>
      <w:rFonts w:hint="default" w:ascii="Consolas" w:hAnsi="Consolas" w:eastAsia="Consolas" w:cs="Consolas"/>
      <w:sz w:val="21"/>
      <w:szCs w:val="21"/>
    </w:rPr>
  </w:style>
  <w:style w:type="table" w:styleId="56">
    <w:name w:val="Table Grid"/>
    <w:basedOn w:val="5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57">
    <w:name w:val="Table Colorful 1"/>
    <w:basedOn w:val="55"/>
    <w:qFormat/>
    <w:locked/>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Layout w:type="fixed"/>
    </w:tblPr>
    <w:tcPr>
      <w:shd w:val="solid" w:color="008080" w:fill="FFFFFF"/>
    </w:tcPr>
    <w:tblStylePr w:type="firstRow">
      <w:rPr>
        <w:b/>
        <w:bCs/>
        <w:i/>
        <w:iCs/>
      </w:rPr>
      <w:tblPr>
        <w:tblLayout w:type="fixed"/>
      </w:tblPr>
      <w:tcPr>
        <w:tcBorders>
          <w:top w:val="nil"/>
          <w:left w:val="nil"/>
          <w:bottom w:val="nil"/>
          <w:right w:val="nil"/>
          <w:insideH w:val="nil"/>
          <w:insideV w:val="nil"/>
          <w:tl2br w:val="nil"/>
          <w:tr2bl w:val="nil"/>
        </w:tcBorders>
        <w:shd w:val="solid" w:color="000000" w:fill="FFFFFF"/>
      </w:tcPr>
    </w:tblStylePr>
    <w:tblStylePr w:type="firstCol">
      <w:rPr>
        <w:b/>
        <w:bCs/>
        <w:i/>
        <w:iCs/>
      </w:rPr>
      <w:tblPr>
        <w:tblLayout w:type="fixed"/>
      </w:tblPr>
      <w:tcPr>
        <w:tcBorders>
          <w:top w:val="nil"/>
          <w:left w:val="nil"/>
          <w:bottom w:val="nil"/>
          <w:right w:val="nil"/>
          <w:insideH w:val="nil"/>
          <w:insideV w:val="nil"/>
          <w:tl2br w:val="nil"/>
          <w:tr2bl w:val="nil"/>
        </w:tcBorders>
        <w:shd w:val="solid" w:color="000080" w:fill="FFFFFF"/>
      </w:tcPr>
    </w:tblStylePr>
    <w:tblStylePr w:type="nwCell">
      <w:tblPr>
        <w:tblLayout w:type="fixed"/>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blLayout w:type="fixed"/>
      </w:tblPr>
      <w:tcPr>
        <w:tcBorders>
          <w:top w:val="nil"/>
          <w:left w:val="nil"/>
          <w:bottom w:val="nil"/>
          <w:right w:val="nil"/>
          <w:insideH w:val="nil"/>
          <w:insideV w:val="nil"/>
          <w:tl2br w:val="nil"/>
          <w:tr2bl w:val="nil"/>
        </w:tcBorders>
      </w:tcPr>
    </w:tblStylePr>
  </w:style>
  <w:style w:type="character" w:customStyle="1" w:styleId="58">
    <w:name w:val="标题 1 Char"/>
    <w:basedOn w:val="43"/>
    <w:link w:val="2"/>
    <w:qFormat/>
    <w:locked/>
    <w:uiPriority w:val="0"/>
    <w:rPr>
      <w:rFonts w:cs="Times New Roman"/>
      <w:b/>
      <w:bCs/>
      <w:kern w:val="44"/>
      <w:sz w:val="44"/>
      <w:szCs w:val="44"/>
    </w:rPr>
  </w:style>
  <w:style w:type="character" w:customStyle="1" w:styleId="59">
    <w:name w:val="标题 3 Char"/>
    <w:basedOn w:val="43"/>
    <w:link w:val="5"/>
    <w:qFormat/>
    <w:locked/>
    <w:uiPriority w:val="0"/>
    <w:rPr>
      <w:b/>
      <w:bCs/>
      <w:kern w:val="2"/>
      <w:sz w:val="21"/>
      <w:szCs w:val="32"/>
    </w:rPr>
  </w:style>
  <w:style w:type="character" w:customStyle="1" w:styleId="60">
    <w:name w:val="标题 4 Char"/>
    <w:basedOn w:val="43"/>
    <w:link w:val="6"/>
    <w:qFormat/>
    <w:locked/>
    <w:uiPriority w:val="0"/>
    <w:rPr>
      <w:rFonts w:ascii="Arial" w:hAnsi="Arial" w:eastAsia="黑体" w:cs="Times New Roman"/>
      <w:bCs/>
      <w:color w:val="000000"/>
      <w:sz w:val="28"/>
      <w:szCs w:val="28"/>
    </w:rPr>
  </w:style>
  <w:style w:type="character" w:customStyle="1" w:styleId="61">
    <w:name w:val="正文文本 3 Char"/>
    <w:basedOn w:val="43"/>
    <w:link w:val="19"/>
    <w:qFormat/>
    <w:uiPriority w:val="0"/>
    <w:rPr>
      <w:sz w:val="16"/>
      <w:szCs w:val="16"/>
    </w:rPr>
  </w:style>
  <w:style w:type="character" w:customStyle="1" w:styleId="62">
    <w:name w:val="正文文本缩进 Char"/>
    <w:basedOn w:val="43"/>
    <w:link w:val="20"/>
    <w:qFormat/>
    <w:locked/>
    <w:uiPriority w:val="0"/>
    <w:rPr>
      <w:rFonts w:cs="Times New Roman"/>
      <w:kern w:val="2"/>
      <w:sz w:val="21"/>
    </w:rPr>
  </w:style>
  <w:style w:type="character" w:customStyle="1" w:styleId="63">
    <w:name w:val="纯文本 Char"/>
    <w:basedOn w:val="43"/>
    <w:link w:val="24"/>
    <w:qFormat/>
    <w:locked/>
    <w:uiPriority w:val="0"/>
    <w:rPr>
      <w:rFonts w:ascii="宋体" w:hAnsi="Courier New" w:cs="Courier New"/>
      <w:kern w:val="2"/>
      <w:sz w:val="21"/>
      <w:szCs w:val="21"/>
    </w:rPr>
  </w:style>
  <w:style w:type="character" w:customStyle="1" w:styleId="64">
    <w:name w:val="日期 Char"/>
    <w:basedOn w:val="43"/>
    <w:link w:val="26"/>
    <w:qFormat/>
    <w:uiPriority w:val="0"/>
    <w:rPr>
      <w:szCs w:val="20"/>
    </w:rPr>
  </w:style>
  <w:style w:type="character" w:customStyle="1" w:styleId="65">
    <w:name w:val="正文文本缩进 2 Char"/>
    <w:basedOn w:val="43"/>
    <w:link w:val="27"/>
    <w:qFormat/>
    <w:uiPriority w:val="0"/>
    <w:rPr>
      <w:szCs w:val="20"/>
    </w:rPr>
  </w:style>
  <w:style w:type="character" w:customStyle="1" w:styleId="66">
    <w:name w:val="批注框文本 Char"/>
    <w:basedOn w:val="43"/>
    <w:link w:val="28"/>
    <w:qFormat/>
    <w:uiPriority w:val="0"/>
    <w:rPr>
      <w:sz w:val="0"/>
      <w:szCs w:val="0"/>
    </w:rPr>
  </w:style>
  <w:style w:type="character" w:customStyle="1" w:styleId="67">
    <w:name w:val="页脚 Char"/>
    <w:basedOn w:val="43"/>
    <w:link w:val="29"/>
    <w:qFormat/>
    <w:locked/>
    <w:uiPriority w:val="0"/>
    <w:rPr>
      <w:rFonts w:cs="Times New Roman"/>
      <w:kern w:val="2"/>
      <w:sz w:val="18"/>
      <w:szCs w:val="18"/>
    </w:rPr>
  </w:style>
  <w:style w:type="character" w:customStyle="1" w:styleId="68">
    <w:name w:val="页眉 Char"/>
    <w:basedOn w:val="43"/>
    <w:link w:val="30"/>
    <w:qFormat/>
    <w:locked/>
    <w:uiPriority w:val="0"/>
    <w:rPr>
      <w:rFonts w:cs="Times New Roman"/>
      <w:kern w:val="2"/>
      <w:sz w:val="18"/>
      <w:szCs w:val="18"/>
    </w:rPr>
  </w:style>
  <w:style w:type="paragraph" w:customStyle="1" w:styleId="69">
    <w:name w:val="默认段落字体 Para Char Char Char Char Char Char Char Char Char1 Char Char Char Char"/>
    <w:basedOn w:val="1"/>
    <w:qFormat/>
    <w:uiPriority w:val="0"/>
    <w:rPr>
      <w:rFonts w:ascii="Tahoma" w:hAnsi="Tahoma"/>
      <w:sz w:val="24"/>
    </w:rPr>
  </w:style>
  <w:style w:type="paragraph" w:customStyle="1" w:styleId="70">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paragraph" w:customStyle="1" w:styleId="71">
    <w:name w:val="正文－恩普"/>
    <w:basedOn w:val="4"/>
    <w:qFormat/>
    <w:uiPriority w:val="99"/>
    <w:pPr>
      <w:widowControl/>
      <w:spacing w:afterLines="50" w:line="360" w:lineRule="auto"/>
      <w:ind w:firstLine="480"/>
      <w:jc w:val="left"/>
    </w:pPr>
    <w:rPr>
      <w:rFonts w:eastAsia="仿宋_GB2312"/>
      <w:sz w:val="32"/>
    </w:rPr>
  </w:style>
  <w:style w:type="paragraph" w:customStyle="1" w:styleId="72">
    <w:name w:val="列出段落1"/>
    <w:basedOn w:val="1"/>
    <w:qFormat/>
    <w:uiPriority w:val="34"/>
    <w:pPr>
      <w:ind w:firstLine="200" w:firstLineChars="200"/>
    </w:pPr>
    <w:rPr>
      <w:rFonts w:ascii="Calibri" w:hAnsi="Calibri" w:cs="宋体"/>
      <w:szCs w:val="22"/>
    </w:rPr>
  </w:style>
  <w:style w:type="paragraph" w:customStyle="1" w:styleId="73">
    <w:name w:val="样式 正文文本"/>
    <w:basedOn w:val="1"/>
    <w:qFormat/>
    <w:uiPriority w:val="0"/>
    <w:pPr>
      <w:adjustRightInd w:val="0"/>
      <w:snapToGrid w:val="0"/>
      <w:ind w:firstLine="200" w:firstLineChars="200"/>
    </w:pPr>
    <w:rPr>
      <w:rFonts w:ascii="Arial" w:hAnsi="Arial" w:cs="宋体"/>
      <w:color w:val="000000"/>
    </w:rPr>
  </w:style>
  <w:style w:type="character" w:customStyle="1" w:styleId="74">
    <w:name w:val="正文缩进 Char"/>
    <w:link w:val="4"/>
    <w:qFormat/>
    <w:locked/>
    <w:uiPriority w:val="0"/>
    <w:rPr>
      <w:rFonts w:eastAsia="宋体"/>
      <w:kern w:val="2"/>
      <w:sz w:val="21"/>
      <w:lang w:val="en-US" w:eastAsia="zh-CN"/>
    </w:rPr>
  </w:style>
  <w:style w:type="character" w:customStyle="1" w:styleId="75">
    <w:name w:val="日期 Char1"/>
    <w:qFormat/>
    <w:uiPriority w:val="0"/>
    <w:rPr>
      <w:kern w:val="2"/>
      <w:sz w:val="28"/>
    </w:rPr>
  </w:style>
  <w:style w:type="paragraph" w:customStyle="1" w:styleId="76">
    <w:name w:val="正文文本 21"/>
    <w:basedOn w:val="1"/>
    <w:qFormat/>
    <w:uiPriority w:val="0"/>
    <w:pPr>
      <w:adjustRightInd w:val="0"/>
      <w:spacing w:line="300" w:lineRule="auto"/>
      <w:jc w:val="center"/>
      <w:textAlignment w:val="baseline"/>
    </w:pPr>
    <w:rPr>
      <w:rFonts w:ascii="宋体" w:hAnsi="宋体"/>
      <w:sz w:val="24"/>
    </w:rPr>
  </w:style>
  <w:style w:type="character" w:customStyle="1" w:styleId="77">
    <w:name w:val="标题 Char"/>
    <w:basedOn w:val="43"/>
    <w:link w:val="42"/>
    <w:qFormat/>
    <w:uiPriority w:val="0"/>
    <w:rPr>
      <w:rFonts w:asciiTheme="majorHAnsi" w:hAnsiTheme="majorHAnsi" w:cstheme="majorBidi"/>
      <w:b/>
      <w:bCs/>
      <w:kern w:val="2"/>
      <w:sz w:val="36"/>
      <w:szCs w:val="32"/>
    </w:rPr>
  </w:style>
  <w:style w:type="character" w:customStyle="1" w:styleId="78">
    <w:name w:val="apple-converted-space"/>
    <w:basedOn w:val="43"/>
    <w:qFormat/>
    <w:uiPriority w:val="0"/>
  </w:style>
  <w:style w:type="paragraph" w:customStyle="1" w:styleId="79">
    <w:name w:val="[Normal]"/>
    <w:qFormat/>
    <w:uiPriority w:val="0"/>
    <w:pPr>
      <w:spacing w:line="400" w:lineRule="exact"/>
      <w:ind w:firstLine="200" w:firstLineChars="200"/>
    </w:pPr>
    <w:rPr>
      <w:rFonts w:ascii="Times New Roman" w:hAnsi="Times New Roman" w:eastAsia="宋体" w:cs="Times New Roman"/>
      <w:sz w:val="21"/>
      <w:szCs w:val="22"/>
      <w:lang w:val="zh-CN" w:eastAsia="zh-CN" w:bidi="ar-SA"/>
    </w:rPr>
  </w:style>
  <w:style w:type="character" w:customStyle="1" w:styleId="80">
    <w:name w:val="批注文字 Char"/>
    <w:basedOn w:val="43"/>
    <w:link w:val="13"/>
    <w:qFormat/>
    <w:uiPriority w:val="0"/>
    <w:rPr>
      <w:rFonts w:ascii="Calibri" w:hAnsi="Calibri"/>
      <w:kern w:val="2"/>
      <w:sz w:val="21"/>
      <w:szCs w:val="22"/>
    </w:rPr>
  </w:style>
  <w:style w:type="character" w:customStyle="1" w:styleId="81">
    <w:name w:val="批注主题 Char"/>
    <w:basedOn w:val="80"/>
    <w:link w:val="12"/>
    <w:qFormat/>
    <w:uiPriority w:val="0"/>
    <w:rPr>
      <w:rFonts w:ascii="Calibri" w:hAnsi="Calibri"/>
      <w:b/>
      <w:bCs/>
      <w:kern w:val="2"/>
      <w:sz w:val="21"/>
      <w:szCs w:val="22"/>
    </w:rPr>
  </w:style>
  <w:style w:type="character" w:customStyle="1" w:styleId="82">
    <w:name w:val="标题 2 Char"/>
    <w:basedOn w:val="43"/>
    <w:link w:val="3"/>
    <w:qFormat/>
    <w:uiPriority w:val="0"/>
    <w:rPr>
      <w:rFonts w:cstheme="majorBidi"/>
      <w:b/>
      <w:bCs/>
      <w:kern w:val="2"/>
      <w:sz w:val="21"/>
      <w:szCs w:val="32"/>
    </w:rPr>
  </w:style>
  <w:style w:type="character" w:customStyle="1" w:styleId="83">
    <w:name w:val="标题 5 Char"/>
    <w:basedOn w:val="43"/>
    <w:link w:val="7"/>
    <w:qFormat/>
    <w:uiPriority w:val="0"/>
    <w:rPr>
      <w:b/>
      <w:bCs/>
      <w:kern w:val="2"/>
      <w:sz w:val="28"/>
      <w:szCs w:val="28"/>
    </w:rPr>
  </w:style>
  <w:style w:type="character" w:customStyle="1" w:styleId="84">
    <w:name w:val="标题 9 Char"/>
    <w:basedOn w:val="43"/>
    <w:link w:val="11"/>
    <w:qFormat/>
    <w:uiPriority w:val="0"/>
    <w:rPr>
      <w:rFonts w:asciiTheme="majorHAnsi" w:hAnsiTheme="majorHAnsi" w:eastAsiaTheme="majorEastAsia" w:cstheme="majorBidi"/>
      <w:kern w:val="2"/>
      <w:sz w:val="21"/>
      <w:szCs w:val="21"/>
    </w:rPr>
  </w:style>
  <w:style w:type="paragraph" w:customStyle="1" w:styleId="8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86">
    <w:name w:val="标题 6 Char"/>
    <w:basedOn w:val="43"/>
    <w:qFormat/>
    <w:uiPriority w:val="0"/>
    <w:rPr>
      <w:rFonts w:asciiTheme="majorHAnsi" w:hAnsiTheme="majorHAnsi" w:eastAsiaTheme="majorEastAsia" w:cstheme="majorBidi"/>
      <w:b/>
      <w:bCs/>
      <w:kern w:val="2"/>
      <w:sz w:val="24"/>
      <w:szCs w:val="24"/>
    </w:rPr>
  </w:style>
  <w:style w:type="character" w:customStyle="1" w:styleId="87">
    <w:name w:val="标题 7 Char"/>
    <w:basedOn w:val="43"/>
    <w:qFormat/>
    <w:uiPriority w:val="0"/>
    <w:rPr>
      <w:b/>
      <w:bCs/>
      <w:kern w:val="2"/>
      <w:sz w:val="24"/>
      <w:szCs w:val="24"/>
    </w:rPr>
  </w:style>
  <w:style w:type="character" w:customStyle="1" w:styleId="88">
    <w:name w:val="标题 8 Char"/>
    <w:basedOn w:val="43"/>
    <w:link w:val="10"/>
    <w:qFormat/>
    <w:uiPriority w:val="0"/>
    <w:rPr>
      <w:rFonts w:ascii="Arial" w:hAnsi="Arial" w:eastAsia="黑体"/>
      <w:sz w:val="24"/>
    </w:rPr>
  </w:style>
  <w:style w:type="character" w:customStyle="1" w:styleId="89">
    <w:name w:val="普通文字 Char Char1"/>
    <w:qFormat/>
    <w:uiPriority w:val="0"/>
    <w:rPr>
      <w:rFonts w:ascii="宋体" w:hAnsi="Courier New" w:eastAsia="宋体" w:cs="Courier New"/>
      <w:kern w:val="2"/>
      <w:sz w:val="21"/>
      <w:szCs w:val="21"/>
      <w:lang w:val="en-US" w:eastAsia="zh-CN" w:bidi="ar-SA"/>
    </w:rPr>
  </w:style>
  <w:style w:type="character" w:customStyle="1" w:styleId="90">
    <w:name w:val="desc"/>
    <w:basedOn w:val="43"/>
    <w:qFormat/>
    <w:uiPriority w:val="0"/>
  </w:style>
  <w:style w:type="character" w:customStyle="1" w:styleId="91">
    <w:name w:val="error1"/>
    <w:qFormat/>
    <w:uiPriority w:val="0"/>
    <w:rPr>
      <w:color w:val="FF625C"/>
    </w:rPr>
  </w:style>
  <w:style w:type="character" w:customStyle="1" w:styleId="92">
    <w:name w:val="edui-clickable2"/>
    <w:qFormat/>
    <w:uiPriority w:val="0"/>
    <w:rPr>
      <w:color w:val="0000FF"/>
      <w:u w:val="single"/>
    </w:rPr>
  </w:style>
  <w:style w:type="character" w:customStyle="1" w:styleId="93">
    <w:name w:val="正文文本 2 Char"/>
    <w:qFormat/>
    <w:uiPriority w:val="0"/>
    <w:rPr>
      <w:rFonts w:ascii="Times New Roman" w:hAnsi="Times New Roman" w:eastAsia="宋体" w:cs="Times New Roman"/>
      <w:szCs w:val="20"/>
    </w:rPr>
  </w:style>
  <w:style w:type="character" w:customStyle="1" w:styleId="94">
    <w:name w:val="first-child"/>
    <w:basedOn w:val="43"/>
    <w:qFormat/>
    <w:uiPriority w:val="0"/>
  </w:style>
  <w:style w:type="character" w:customStyle="1" w:styleId="95">
    <w:name w:val="内文正文 Char"/>
    <w:link w:val="96"/>
    <w:qFormat/>
    <w:uiPriority w:val="0"/>
    <w:rPr>
      <w:rFonts w:ascii="宋体" w:hAnsi="???|CS?o｡ﾀ?"/>
      <w:sz w:val="21"/>
      <w:szCs w:val="28"/>
    </w:rPr>
  </w:style>
  <w:style w:type="paragraph" w:customStyle="1" w:styleId="96">
    <w:name w:val="内文正文"/>
    <w:link w:val="95"/>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character" w:customStyle="1" w:styleId="97">
    <w:name w:val="标题 1 Char1"/>
    <w:qFormat/>
    <w:uiPriority w:val="0"/>
    <w:rPr>
      <w:rFonts w:ascii="宋体" w:hAnsi="Arial" w:eastAsia="黑体"/>
      <w:b/>
      <w:color w:val="000000"/>
      <w:kern w:val="44"/>
      <w:sz w:val="36"/>
    </w:rPr>
  </w:style>
  <w:style w:type="character" w:customStyle="1" w:styleId="98">
    <w:name w:val="HTML 预设格式 Char1"/>
    <w:qFormat/>
    <w:uiPriority w:val="0"/>
    <w:rPr>
      <w:rFonts w:ascii="Courier New" w:hAnsi="Courier New" w:cs="Courier New"/>
      <w:kern w:val="2"/>
    </w:rPr>
  </w:style>
  <w:style w:type="character" w:customStyle="1" w:styleId="99">
    <w:name w:val="star-info"/>
    <w:qFormat/>
    <w:uiPriority w:val="0"/>
    <w:rPr>
      <w:color w:val="FD7B24"/>
      <w:sz w:val="19"/>
      <w:szCs w:val="19"/>
    </w:rPr>
  </w:style>
  <w:style w:type="character" w:customStyle="1" w:styleId="100">
    <w:name w:val="style9"/>
    <w:basedOn w:val="43"/>
    <w:qFormat/>
    <w:uiPriority w:val="0"/>
  </w:style>
  <w:style w:type="character" w:customStyle="1" w:styleId="101">
    <w:name w:val="select"/>
    <w:qFormat/>
    <w:uiPriority w:val="0"/>
    <w:rPr>
      <w:color w:val="FFFFFF"/>
      <w:shd w:val="clear" w:color="auto" w:fill="3595F8"/>
    </w:rPr>
  </w:style>
  <w:style w:type="character" w:customStyle="1" w:styleId="102">
    <w:name w:val="heighthight2"/>
    <w:qFormat/>
    <w:uiPriority w:val="0"/>
    <w:rPr>
      <w:color w:val="FAAE14"/>
    </w:rPr>
  </w:style>
  <w:style w:type="character" w:customStyle="1" w:styleId="103">
    <w:name w:val="large"/>
    <w:qFormat/>
    <w:uiPriority w:val="0"/>
    <w:rPr>
      <w:color w:val="197AFF"/>
      <w:sz w:val="19"/>
      <w:szCs w:val="19"/>
    </w:rPr>
  </w:style>
  <w:style w:type="character" w:customStyle="1" w:styleId="104">
    <w:name w:val="批注文字 Char1"/>
    <w:semiHidden/>
    <w:qFormat/>
    <w:uiPriority w:val="0"/>
    <w:rPr>
      <w:rFonts w:ascii="Times New Roman" w:hAnsi="Times New Roman" w:eastAsia="宋体" w:cs="Times New Roman"/>
      <w:szCs w:val="20"/>
    </w:rPr>
  </w:style>
  <w:style w:type="character" w:customStyle="1" w:styleId="105">
    <w:name w:val="current"/>
    <w:qFormat/>
    <w:uiPriority w:val="0"/>
    <w:rPr>
      <w:color w:val="FFFFFF"/>
      <w:bdr w:val="single" w:color="197AFF" w:sz="4" w:space="0"/>
      <w:shd w:val="clear" w:color="auto" w:fill="197AFF"/>
    </w:rPr>
  </w:style>
  <w:style w:type="character" w:customStyle="1" w:styleId="106">
    <w:name w:val="sl"/>
    <w:qFormat/>
    <w:uiPriority w:val="0"/>
    <w:rPr>
      <w:sz w:val="14"/>
      <w:szCs w:val="14"/>
    </w:rPr>
  </w:style>
  <w:style w:type="character" w:customStyle="1" w:styleId="107">
    <w:name w:val="纯文本 Char1"/>
    <w:qFormat/>
    <w:uiPriority w:val="0"/>
    <w:rPr>
      <w:rFonts w:ascii="宋体" w:hAnsi="Courier New" w:eastAsia="宋体" w:cs="Courier New"/>
      <w:szCs w:val="21"/>
    </w:rPr>
  </w:style>
  <w:style w:type="character" w:customStyle="1" w:styleId="108">
    <w:name w:val="tuih9"/>
    <w:qFormat/>
    <w:uiPriority w:val="0"/>
    <w:rPr>
      <w:color w:val="57607A"/>
      <w:bdr w:val="single" w:color="CDCCCC" w:sz="4" w:space="0"/>
    </w:rPr>
  </w:style>
  <w:style w:type="character" w:customStyle="1" w:styleId="109">
    <w:name w:val="heighthight"/>
    <w:qFormat/>
    <w:uiPriority w:val="0"/>
    <w:rPr>
      <w:color w:val="FAAE14"/>
    </w:rPr>
  </w:style>
  <w:style w:type="character" w:customStyle="1" w:styleId="110">
    <w:name w:val="样式 纯文本普通文字 Char纯文本 Char Char普通文字纯文本 Char Char Char Char Char...6 Char"/>
    <w:link w:val="111"/>
    <w:qFormat/>
    <w:uiPriority w:val="0"/>
    <w:rPr>
      <w:rFonts w:ascii="宋体" w:hAnsi="Courier New" w:eastAsia="Times New Roman" w:cs="Courier New"/>
      <w:color w:val="000000"/>
      <w:szCs w:val="21"/>
    </w:rPr>
  </w:style>
  <w:style w:type="paragraph" w:customStyle="1" w:styleId="111">
    <w:name w:val="样式 纯文本普通文字 Char纯文本 Char Char普通文字纯文本 Char Char Char Char Char...6"/>
    <w:basedOn w:val="24"/>
    <w:link w:val="110"/>
    <w:qFormat/>
    <w:uiPriority w:val="0"/>
    <w:pPr>
      <w:spacing w:line="240" w:lineRule="auto"/>
    </w:pPr>
    <w:rPr>
      <w:rFonts w:eastAsia="Times New Roman"/>
      <w:color w:val="000000"/>
      <w:kern w:val="0"/>
      <w:sz w:val="20"/>
    </w:rPr>
  </w:style>
  <w:style w:type="character" w:customStyle="1" w:styleId="112">
    <w:name w:val="正文文本缩进 3 Char1"/>
    <w:qFormat/>
    <w:uiPriority w:val="0"/>
    <w:rPr>
      <w:kern w:val="2"/>
      <w:sz w:val="28"/>
    </w:rPr>
  </w:style>
  <w:style w:type="character" w:customStyle="1" w:styleId="113">
    <w:name w:val="current1"/>
    <w:qFormat/>
    <w:uiPriority w:val="0"/>
    <w:rPr>
      <w:color w:val="FFFFFF"/>
      <w:bdr w:val="single" w:color="197AFF" w:sz="4" w:space="0"/>
      <w:shd w:val="clear" w:color="auto" w:fill="197AFF"/>
    </w:rPr>
  </w:style>
  <w:style w:type="character" w:customStyle="1" w:styleId="114">
    <w:name w:val="supplier-tips"/>
    <w:qFormat/>
    <w:uiPriority w:val="0"/>
    <w:rPr>
      <w:color w:val="FE0322"/>
    </w:rPr>
  </w:style>
  <w:style w:type="character" w:customStyle="1" w:styleId="115">
    <w:name w:val="mistake"/>
    <w:qFormat/>
    <w:uiPriority w:val="0"/>
    <w:rPr>
      <w:color w:val="CCCCCC"/>
      <w:sz w:val="19"/>
      <w:szCs w:val="19"/>
    </w:rPr>
  </w:style>
  <w:style w:type="character" w:customStyle="1" w:styleId="116">
    <w:name w:val="脚注文本 Char1"/>
    <w:semiHidden/>
    <w:qFormat/>
    <w:uiPriority w:val="0"/>
    <w:rPr>
      <w:kern w:val="2"/>
      <w:sz w:val="18"/>
      <w:szCs w:val="18"/>
    </w:rPr>
  </w:style>
  <w:style w:type="character" w:customStyle="1" w:styleId="117">
    <w:name w:val="tuih1"/>
    <w:qFormat/>
    <w:uiPriority w:val="0"/>
    <w:rPr>
      <w:color w:val="57607A"/>
      <w:bdr w:val="single" w:color="CDCCCC" w:sz="4" w:space="0"/>
    </w:rPr>
  </w:style>
  <w:style w:type="character" w:customStyle="1" w:styleId="118">
    <w:name w:val="正文文字缩进1 Char Char"/>
    <w:qFormat/>
    <w:uiPriority w:val="0"/>
    <w:rPr>
      <w:rFonts w:eastAsia="宋体"/>
      <w:kern w:val="2"/>
      <w:sz w:val="21"/>
      <w:szCs w:val="24"/>
      <w:lang w:val="en-US" w:eastAsia="zh-CN" w:bidi="ar-SA"/>
    </w:rPr>
  </w:style>
  <w:style w:type="character" w:customStyle="1" w:styleId="119">
    <w:name w:val="tuih3"/>
    <w:qFormat/>
    <w:uiPriority w:val="0"/>
    <w:rPr>
      <w:color w:val="57607A"/>
      <w:bdr w:val="single" w:color="CDCCCC" w:sz="4" w:space="0"/>
    </w:rPr>
  </w:style>
  <w:style w:type="character" w:customStyle="1" w:styleId="120">
    <w:name w:val="checker-icon2"/>
    <w:basedOn w:val="43"/>
    <w:qFormat/>
    <w:uiPriority w:val="0"/>
  </w:style>
  <w:style w:type="character" w:customStyle="1" w:styleId="121">
    <w:name w:val="h3 Char1"/>
    <w:qFormat/>
    <w:uiPriority w:val="0"/>
    <w:rPr>
      <w:rFonts w:ascii="宋体" w:eastAsia="宋体"/>
      <w:b/>
      <w:kern w:val="2"/>
      <w:sz w:val="28"/>
      <w:lang w:val="en-US" w:eastAsia="zh-CN" w:bidi="ar-SA"/>
    </w:rPr>
  </w:style>
  <w:style w:type="character" w:customStyle="1" w:styleId="122">
    <w:name w:val="small"/>
    <w:qFormat/>
    <w:uiPriority w:val="0"/>
    <w:rPr>
      <w:color w:val="197AFF"/>
      <w:sz w:val="14"/>
      <w:szCs w:val="14"/>
    </w:rPr>
  </w:style>
  <w:style w:type="character" w:customStyle="1" w:styleId="123">
    <w:name w:val="htd01"/>
    <w:qFormat/>
    <w:uiPriority w:val="0"/>
    <w:rPr>
      <w:spacing w:val="240"/>
    </w:rPr>
  </w:style>
  <w:style w:type="character" w:customStyle="1" w:styleId="124">
    <w:name w:val="checker-icon"/>
    <w:basedOn w:val="43"/>
    <w:qFormat/>
    <w:uiPriority w:val="0"/>
  </w:style>
  <w:style w:type="character" w:customStyle="1" w:styleId="125">
    <w:name w:val="right"/>
    <w:basedOn w:val="43"/>
    <w:qFormat/>
    <w:uiPriority w:val="0"/>
  </w:style>
  <w:style w:type="character" w:customStyle="1" w:styleId="126">
    <w:name w:val="edui-unclickable"/>
    <w:qFormat/>
    <w:uiPriority w:val="0"/>
    <w:rPr>
      <w:color w:val="808080"/>
    </w:rPr>
  </w:style>
  <w:style w:type="character" w:customStyle="1" w:styleId="127">
    <w:name w:val="href-title"/>
    <w:basedOn w:val="43"/>
    <w:qFormat/>
    <w:uiPriority w:val="0"/>
  </w:style>
  <w:style w:type="character" w:customStyle="1" w:styleId="128">
    <w:name w:val="heighthight3"/>
    <w:qFormat/>
    <w:uiPriority w:val="0"/>
    <w:rPr>
      <w:color w:val="FAAE14"/>
    </w:rPr>
  </w:style>
  <w:style w:type="character" w:customStyle="1" w:styleId="129">
    <w:name w:val="EmailStyle180"/>
    <w:qFormat/>
    <w:uiPriority w:val="0"/>
    <w:rPr>
      <w:rFonts w:ascii="Arial" w:hAnsi="Arial" w:eastAsia="宋体" w:cs="Arial"/>
      <w:color w:val="auto"/>
      <w:sz w:val="20"/>
    </w:rPr>
  </w:style>
  <w:style w:type="character" w:customStyle="1" w:styleId="130">
    <w:name w:val="caret4"/>
    <w:basedOn w:val="43"/>
    <w:qFormat/>
    <w:uiPriority w:val="0"/>
  </w:style>
  <w:style w:type="character" w:customStyle="1" w:styleId="131">
    <w:name w:val="current4"/>
    <w:qFormat/>
    <w:uiPriority w:val="0"/>
    <w:rPr>
      <w:color w:val="FFFFFF"/>
      <w:shd w:val="clear" w:color="auto" w:fill="5BA0FF"/>
    </w:rPr>
  </w:style>
  <w:style w:type="character" w:customStyle="1" w:styleId="132">
    <w:name w:val="small1"/>
    <w:qFormat/>
    <w:uiPriority w:val="0"/>
    <w:rPr>
      <w:sz w:val="16"/>
      <w:szCs w:val="16"/>
    </w:rPr>
  </w:style>
  <w:style w:type="character" w:customStyle="1" w:styleId="133">
    <w:name w:val="tuih2"/>
    <w:qFormat/>
    <w:uiPriority w:val="0"/>
    <w:rPr>
      <w:color w:val="57607A"/>
      <w:bdr w:val="single" w:color="CDCCCC" w:sz="4" w:space="0"/>
    </w:rPr>
  </w:style>
  <w:style w:type="character" w:customStyle="1" w:styleId="134">
    <w:name w:val="error"/>
    <w:qFormat/>
    <w:uiPriority w:val="0"/>
    <w:rPr>
      <w:color w:val="FF625C"/>
    </w:rPr>
  </w:style>
  <w:style w:type="character" w:customStyle="1" w:styleId="135">
    <w:name w:val="danger"/>
    <w:qFormat/>
    <w:uiPriority w:val="0"/>
    <w:rPr>
      <w:color w:val="FF2200"/>
    </w:rPr>
  </w:style>
  <w:style w:type="character" w:customStyle="1" w:styleId="136">
    <w:name w:val="标题 9 Char1"/>
    <w:qFormat/>
    <w:uiPriority w:val="0"/>
    <w:rPr>
      <w:rFonts w:ascii="Arial" w:hAnsi="Arial" w:eastAsia="黑体"/>
      <w:sz w:val="28"/>
    </w:rPr>
  </w:style>
  <w:style w:type="character" w:customStyle="1" w:styleId="137">
    <w:name w:val="success"/>
    <w:qFormat/>
    <w:uiPriority w:val="0"/>
    <w:rPr>
      <w:color w:val="2DC12D"/>
    </w:rPr>
  </w:style>
  <w:style w:type="character" w:customStyle="1" w:styleId="138">
    <w:name w:val="正文文本缩进 3 Char"/>
    <w:qFormat/>
    <w:uiPriority w:val="0"/>
    <w:rPr>
      <w:rFonts w:ascii="Times New Roman" w:hAnsi="Times New Roman" w:eastAsia="宋体" w:cs="Times New Roman"/>
      <w:sz w:val="16"/>
      <w:szCs w:val="16"/>
    </w:rPr>
  </w:style>
  <w:style w:type="character" w:customStyle="1" w:styleId="139">
    <w:name w:val="正文文本 2 Char2"/>
    <w:qFormat/>
    <w:uiPriority w:val="0"/>
    <w:rPr>
      <w:kern w:val="2"/>
      <w:sz w:val="21"/>
    </w:rPr>
  </w:style>
  <w:style w:type="character" w:customStyle="1" w:styleId="140">
    <w:name w:val="标题 8 Char1"/>
    <w:qFormat/>
    <w:uiPriority w:val="0"/>
    <w:rPr>
      <w:rFonts w:ascii="Arial" w:hAnsi="Arial" w:eastAsia="黑体" w:cs="Times New Roman"/>
      <w:kern w:val="0"/>
      <w:sz w:val="24"/>
      <w:szCs w:val="24"/>
    </w:rPr>
  </w:style>
  <w:style w:type="character" w:customStyle="1" w:styleId="141">
    <w:name w:val="search"/>
    <w:basedOn w:val="43"/>
    <w:qFormat/>
    <w:uiPriority w:val="0"/>
  </w:style>
  <w:style w:type="character" w:customStyle="1" w:styleId="142">
    <w:name w:val="redline"/>
    <w:qFormat/>
    <w:uiPriority w:val="0"/>
    <w:rPr>
      <w:color w:val="FF0000"/>
    </w:rPr>
  </w:style>
  <w:style w:type="character" w:customStyle="1" w:styleId="143">
    <w:name w:val="mistske"/>
    <w:qFormat/>
    <w:uiPriority w:val="0"/>
    <w:rPr>
      <w:color w:val="CCCCCC"/>
      <w:sz w:val="16"/>
      <w:szCs w:val="16"/>
    </w:rPr>
  </w:style>
  <w:style w:type="character" w:customStyle="1" w:styleId="144">
    <w:name w:val="caret"/>
    <w:basedOn w:val="43"/>
    <w:qFormat/>
    <w:uiPriority w:val="0"/>
  </w:style>
  <w:style w:type="character" w:customStyle="1" w:styleId="145">
    <w:name w:val="文档结构图 Char"/>
    <w:semiHidden/>
    <w:qFormat/>
    <w:uiPriority w:val="0"/>
    <w:rPr>
      <w:kern w:val="2"/>
      <w:sz w:val="21"/>
      <w:szCs w:val="24"/>
      <w:shd w:val="clear" w:color="auto" w:fill="000080"/>
    </w:rPr>
  </w:style>
  <w:style w:type="character" w:customStyle="1" w:styleId="146">
    <w:name w:val="正文文本 3 Char1"/>
    <w:qFormat/>
    <w:uiPriority w:val="0"/>
    <w:rPr>
      <w:kern w:val="2"/>
      <w:sz w:val="16"/>
      <w:szCs w:val="16"/>
    </w:rPr>
  </w:style>
  <w:style w:type="character" w:customStyle="1" w:styleId="147">
    <w:name w:val="正文文本 Char1"/>
    <w:qFormat/>
    <w:uiPriority w:val="0"/>
    <w:rPr>
      <w:rFonts w:ascii="仿宋_GB2312" w:eastAsia="仿宋_GB2312"/>
      <w:kern w:val="2"/>
      <w:sz w:val="28"/>
      <w:szCs w:val="24"/>
    </w:rPr>
  </w:style>
  <w:style w:type="character" w:customStyle="1" w:styleId="148">
    <w:name w:val="tuih6"/>
    <w:qFormat/>
    <w:uiPriority w:val="0"/>
    <w:rPr>
      <w:color w:val="57607A"/>
      <w:bdr w:val="single" w:color="CDCCCC" w:sz="4" w:space="0"/>
    </w:rPr>
  </w:style>
  <w:style w:type="character" w:customStyle="1" w:styleId="149">
    <w:name w:val="标题 7 Char1"/>
    <w:link w:val="9"/>
    <w:qFormat/>
    <w:uiPriority w:val="0"/>
    <w:rPr>
      <w:rFonts w:ascii="宋体" w:eastAsia="仿宋_GB2312"/>
      <w:b/>
      <w:sz w:val="24"/>
    </w:rPr>
  </w:style>
  <w:style w:type="character" w:customStyle="1" w:styleId="150">
    <w:name w:val="HTML Markup"/>
    <w:qFormat/>
    <w:uiPriority w:val="0"/>
    <w:rPr>
      <w:vanish/>
      <w:color w:val="FF0000"/>
    </w:rPr>
  </w:style>
  <w:style w:type="character" w:customStyle="1" w:styleId="151">
    <w:name w:val="tuih"/>
    <w:qFormat/>
    <w:uiPriority w:val="0"/>
    <w:rPr>
      <w:color w:val="57607A"/>
      <w:bdr w:val="single" w:color="CDCCCC" w:sz="4" w:space="0"/>
    </w:rPr>
  </w:style>
  <w:style w:type="character" w:customStyle="1" w:styleId="152">
    <w:name w:val="HTML 预设格式 Char"/>
    <w:qFormat/>
    <w:uiPriority w:val="99"/>
    <w:rPr>
      <w:rFonts w:ascii="Arial" w:hAnsi="Arial" w:cs="Arial"/>
      <w:sz w:val="24"/>
      <w:szCs w:val="24"/>
    </w:rPr>
  </w:style>
  <w:style w:type="character" w:customStyle="1" w:styleId="153">
    <w:name w:val="标题 1 Char Char"/>
    <w:qFormat/>
    <w:uiPriority w:val="0"/>
    <w:rPr>
      <w:rFonts w:eastAsia="宋体"/>
      <w:b/>
      <w:spacing w:val="-2"/>
      <w:sz w:val="24"/>
      <w:lang w:val="en-US" w:eastAsia="zh-CN"/>
    </w:rPr>
  </w:style>
  <w:style w:type="character" w:customStyle="1" w:styleId="154">
    <w:name w:val="zbggtop11 style5"/>
    <w:basedOn w:val="43"/>
    <w:qFormat/>
    <w:uiPriority w:val="0"/>
  </w:style>
  <w:style w:type="character" w:customStyle="1" w:styleId="155">
    <w:name w:val="标题 6 Char1"/>
    <w:link w:val="8"/>
    <w:qFormat/>
    <w:uiPriority w:val="0"/>
    <w:rPr>
      <w:rFonts w:ascii="Arial" w:hAnsi="Arial" w:eastAsia="黑体"/>
      <w:b/>
      <w:bCs/>
      <w:sz w:val="24"/>
      <w:szCs w:val="24"/>
    </w:rPr>
  </w:style>
  <w:style w:type="character" w:customStyle="1" w:styleId="156">
    <w:name w:val="mistake1"/>
    <w:qFormat/>
    <w:uiPriority w:val="0"/>
    <w:rPr>
      <w:color w:val="CCCCCC"/>
      <w:sz w:val="19"/>
      <w:szCs w:val="19"/>
    </w:rPr>
  </w:style>
  <w:style w:type="character" w:customStyle="1" w:styleId="157">
    <w:name w:val="icon_bj4"/>
    <w:qFormat/>
    <w:uiPriority w:val="0"/>
    <w:rPr>
      <w:color w:val="FFFFFF"/>
      <w:sz w:val="14"/>
      <w:szCs w:val="14"/>
      <w:shd w:val="clear" w:color="auto" w:fill="4A90E2"/>
    </w:rPr>
  </w:style>
  <w:style w:type="character" w:customStyle="1" w:styleId="158">
    <w:name w:val="正文首行缩进 Char"/>
    <w:qFormat/>
    <w:uiPriority w:val="0"/>
    <w:rPr>
      <w:szCs w:val="24"/>
    </w:rPr>
  </w:style>
  <w:style w:type="character" w:customStyle="1" w:styleId="159">
    <w:name w:val="icon_bj5"/>
    <w:qFormat/>
    <w:uiPriority w:val="0"/>
    <w:rPr>
      <w:color w:val="FFFFFF"/>
      <w:sz w:val="14"/>
      <w:szCs w:val="14"/>
      <w:shd w:val="clear" w:color="auto" w:fill="4A90E2"/>
    </w:rPr>
  </w:style>
  <w:style w:type="character" w:customStyle="1" w:styleId="160">
    <w:name w:val="icon_bj1"/>
    <w:qFormat/>
    <w:uiPriority w:val="0"/>
    <w:rPr>
      <w:color w:val="FFFFFF"/>
      <w:sz w:val="14"/>
      <w:szCs w:val="14"/>
      <w:shd w:val="clear" w:color="auto" w:fill="4A90E2"/>
    </w:rPr>
  </w:style>
  <w:style w:type="character" w:customStyle="1" w:styleId="161">
    <w:name w:val="current3"/>
    <w:qFormat/>
    <w:uiPriority w:val="0"/>
    <w:rPr>
      <w:color w:val="FFFFFF"/>
      <w:shd w:val="clear" w:color="auto" w:fill="5BA0FF"/>
    </w:rPr>
  </w:style>
  <w:style w:type="character" w:customStyle="1" w:styleId="162">
    <w:name w:val="unnamed11"/>
    <w:qFormat/>
    <w:uiPriority w:val="0"/>
    <w:rPr>
      <w:sz w:val="20"/>
      <w:szCs w:val="20"/>
    </w:rPr>
  </w:style>
  <w:style w:type="character" w:customStyle="1" w:styleId="163">
    <w:name w:val="style1"/>
    <w:basedOn w:val="43"/>
    <w:qFormat/>
    <w:uiPriority w:val="0"/>
  </w:style>
  <w:style w:type="character" w:customStyle="1" w:styleId="164">
    <w:name w:val="tuih4"/>
    <w:qFormat/>
    <w:uiPriority w:val="0"/>
    <w:rPr>
      <w:color w:val="57607A"/>
      <w:bdr w:val="single" w:color="CDCCCC" w:sz="4" w:space="0"/>
    </w:rPr>
  </w:style>
  <w:style w:type="character" w:customStyle="1" w:styleId="165">
    <w:name w:val="redline1"/>
    <w:qFormat/>
    <w:uiPriority w:val="0"/>
    <w:rPr>
      <w:color w:val="FF0000"/>
    </w:rPr>
  </w:style>
  <w:style w:type="character" w:customStyle="1" w:styleId="166">
    <w:name w:val="批注主题 Char2"/>
    <w:qFormat/>
    <w:uiPriority w:val="0"/>
    <w:rPr>
      <w:b/>
      <w:bCs/>
      <w:kern w:val="2"/>
      <w:sz w:val="21"/>
      <w:szCs w:val="24"/>
    </w:rPr>
  </w:style>
  <w:style w:type="character" w:customStyle="1" w:styleId="167">
    <w:name w:val="脚注文本 Char"/>
    <w:qFormat/>
    <w:uiPriority w:val="0"/>
    <w:rPr>
      <w:rFonts w:ascii="Times New Roman" w:hAnsi="Times New Roman" w:eastAsia="宋体" w:cs="Times New Roman"/>
      <w:sz w:val="18"/>
      <w:szCs w:val="18"/>
    </w:rPr>
  </w:style>
  <w:style w:type="character" w:customStyle="1" w:styleId="168">
    <w:name w:val="正文文本缩进 2 Char1"/>
    <w:qFormat/>
    <w:uiPriority w:val="0"/>
    <w:rPr>
      <w:kern w:val="2"/>
      <w:sz w:val="21"/>
      <w:szCs w:val="24"/>
    </w:rPr>
  </w:style>
  <w:style w:type="character" w:customStyle="1" w:styleId="169">
    <w:name w:val="zige"/>
    <w:qFormat/>
    <w:uiPriority w:val="0"/>
    <w:rPr>
      <w:color w:val="FAAE14"/>
    </w:rPr>
  </w:style>
  <w:style w:type="character" w:customStyle="1" w:styleId="170">
    <w:name w:val="Char4"/>
    <w:qFormat/>
    <w:uiPriority w:val="0"/>
    <w:rPr>
      <w:spacing w:val="20"/>
      <w:kern w:val="2"/>
      <w:sz w:val="28"/>
    </w:rPr>
  </w:style>
  <w:style w:type="character" w:customStyle="1" w:styleId="171">
    <w:name w:val="tuih8"/>
    <w:qFormat/>
    <w:uiPriority w:val="0"/>
    <w:rPr>
      <w:color w:val="57607A"/>
      <w:bdr w:val="single" w:color="CDCCCC" w:sz="4" w:space="0"/>
    </w:rPr>
  </w:style>
  <w:style w:type="character" w:customStyle="1" w:styleId="172">
    <w:name w:val="icon_bj3"/>
    <w:qFormat/>
    <w:uiPriority w:val="0"/>
    <w:rPr>
      <w:color w:val="FFFFFF"/>
      <w:sz w:val="14"/>
      <w:szCs w:val="14"/>
      <w:shd w:val="clear" w:color="auto" w:fill="4A90E2"/>
    </w:rPr>
  </w:style>
  <w:style w:type="character" w:customStyle="1" w:styleId="173">
    <w:name w:val="hover17"/>
    <w:qFormat/>
    <w:uiPriority w:val="0"/>
    <w:rPr>
      <w:bdr w:val="single" w:color="197AFF" w:sz="4" w:space="0"/>
    </w:rPr>
  </w:style>
  <w:style w:type="character" w:customStyle="1" w:styleId="174">
    <w:name w:val="4 dash Char"/>
    <w:qFormat/>
    <w:uiPriority w:val="0"/>
    <w:rPr>
      <w:rFonts w:ascii="Arial" w:hAnsi="Arial" w:eastAsia="宋体"/>
      <w:b/>
      <w:bCs/>
      <w:kern w:val="2"/>
      <w:sz w:val="21"/>
      <w:szCs w:val="28"/>
      <w:lang w:val="en-US" w:eastAsia="zh-CN" w:bidi="ar-SA"/>
    </w:rPr>
  </w:style>
  <w:style w:type="character" w:customStyle="1" w:styleId="175">
    <w:name w:val="icon_bj"/>
    <w:qFormat/>
    <w:uiPriority w:val="0"/>
    <w:rPr>
      <w:color w:val="FFFFFF"/>
      <w:sz w:val="14"/>
      <w:szCs w:val="14"/>
      <w:shd w:val="clear" w:color="auto" w:fill="4A90E2"/>
    </w:rPr>
  </w:style>
  <w:style w:type="character" w:customStyle="1" w:styleId="176">
    <w:name w:val="Char Char19"/>
    <w:qFormat/>
    <w:uiPriority w:val="0"/>
    <w:rPr>
      <w:rFonts w:eastAsia="宋体"/>
      <w:b/>
      <w:bCs/>
      <w:kern w:val="44"/>
      <w:sz w:val="44"/>
      <w:szCs w:val="44"/>
      <w:lang w:val="en-US" w:eastAsia="zh-CN" w:bidi="ar-SA"/>
    </w:rPr>
  </w:style>
  <w:style w:type="character" w:customStyle="1" w:styleId="177">
    <w:name w:val="正文文本 2 Char1"/>
    <w:qFormat/>
    <w:uiPriority w:val="0"/>
    <w:rPr>
      <w:rFonts w:ascii="宋体"/>
    </w:rPr>
  </w:style>
  <w:style w:type="character" w:customStyle="1" w:styleId="178">
    <w:name w:val="search_content1"/>
    <w:qFormat/>
    <w:uiPriority w:val="0"/>
    <w:rPr>
      <w:sz w:val="20"/>
      <w:szCs w:val="20"/>
    </w:rPr>
  </w:style>
  <w:style w:type="character" w:customStyle="1" w:styleId="179">
    <w:name w:val="标题 4 Char1"/>
    <w:qFormat/>
    <w:uiPriority w:val="0"/>
    <w:rPr>
      <w:rFonts w:ascii="Arial" w:hAnsi="Arial" w:eastAsia="黑体"/>
      <w:b/>
      <w:bCs/>
      <w:kern w:val="2"/>
      <w:sz w:val="28"/>
      <w:szCs w:val="28"/>
    </w:rPr>
  </w:style>
  <w:style w:type="character" w:customStyle="1" w:styleId="180">
    <w:name w:val="样式 四号"/>
    <w:qFormat/>
    <w:uiPriority w:val="0"/>
    <w:rPr>
      <w:sz w:val="24"/>
    </w:rPr>
  </w:style>
  <w:style w:type="character" w:customStyle="1" w:styleId="181">
    <w:name w:val="正文首行缩进 Char1"/>
    <w:basedOn w:val="147"/>
    <w:qFormat/>
    <w:uiPriority w:val="0"/>
    <w:rPr>
      <w:rFonts w:ascii="仿宋_GB2312" w:eastAsia="仿宋_GB2312"/>
      <w:kern w:val="2"/>
      <w:sz w:val="28"/>
      <w:szCs w:val="24"/>
    </w:rPr>
  </w:style>
  <w:style w:type="character" w:customStyle="1" w:styleId="182">
    <w:name w:val="s"/>
    <w:basedOn w:val="43"/>
    <w:qFormat/>
    <w:uiPriority w:val="0"/>
  </w:style>
  <w:style w:type="character" w:customStyle="1" w:styleId="183">
    <w:name w:val="样式1 Char"/>
    <w:qFormat/>
    <w:uiPriority w:val="0"/>
    <w:rPr>
      <w:rFonts w:ascii="宋体" w:eastAsia="宋体"/>
      <w:kern w:val="2"/>
      <w:sz w:val="24"/>
      <w:szCs w:val="24"/>
      <w:lang w:val="en-US" w:eastAsia="zh-CN" w:bidi="ar-SA"/>
    </w:rPr>
  </w:style>
  <w:style w:type="character" w:customStyle="1" w:styleId="184">
    <w:name w:val="无间隔 Char"/>
    <w:link w:val="185"/>
    <w:qFormat/>
    <w:uiPriority w:val="0"/>
    <w:rPr>
      <w:sz w:val="22"/>
      <w:szCs w:val="22"/>
    </w:rPr>
  </w:style>
  <w:style w:type="paragraph" w:customStyle="1" w:styleId="185">
    <w:name w:val="无间隔1"/>
    <w:link w:val="184"/>
    <w:qFormat/>
    <w:uiPriority w:val="0"/>
    <w:rPr>
      <w:rFonts w:ascii="Times New Roman" w:hAnsi="Times New Roman" w:eastAsia="宋体" w:cs="Times New Roman"/>
      <w:sz w:val="22"/>
      <w:szCs w:val="22"/>
      <w:lang w:val="en-US" w:eastAsia="zh-CN" w:bidi="ar-SA"/>
    </w:rPr>
  </w:style>
  <w:style w:type="character" w:customStyle="1" w:styleId="186">
    <w:name w:val="icon_bj2"/>
    <w:qFormat/>
    <w:uiPriority w:val="0"/>
    <w:rPr>
      <w:color w:val="FFFFFF"/>
      <w:sz w:val="14"/>
      <w:szCs w:val="14"/>
      <w:shd w:val="clear" w:color="auto" w:fill="4A90E2"/>
    </w:rPr>
  </w:style>
  <w:style w:type="character" w:customStyle="1" w:styleId="187">
    <w:name w:val="current2"/>
    <w:qFormat/>
    <w:uiPriority w:val="0"/>
    <w:rPr>
      <w:color w:val="197AFF"/>
      <w:shd w:val="clear" w:color="auto" w:fill="EBECF0"/>
    </w:rPr>
  </w:style>
  <w:style w:type="character" w:customStyle="1" w:styleId="188">
    <w:name w:val="tuih7"/>
    <w:qFormat/>
    <w:uiPriority w:val="0"/>
    <w:rPr>
      <w:color w:val="57607A"/>
      <w:bdr w:val="single" w:color="CDCCCC" w:sz="4" w:space="0"/>
    </w:rPr>
  </w:style>
  <w:style w:type="character" w:customStyle="1" w:styleId="189">
    <w:name w:val="标题 5 Char1"/>
    <w:qFormat/>
    <w:uiPriority w:val="0"/>
    <w:rPr>
      <w:rFonts w:ascii="宋体" w:hAnsi="宋体" w:eastAsia="宋体" w:cs="Times New Roman"/>
      <w:szCs w:val="20"/>
      <w:u w:val="single"/>
    </w:rPr>
  </w:style>
  <w:style w:type="character" w:customStyle="1" w:styleId="190">
    <w:name w:val="hover18"/>
    <w:qFormat/>
    <w:uiPriority w:val="0"/>
    <w:rPr>
      <w:bdr w:val="single" w:color="197AFF" w:sz="4" w:space="0"/>
    </w:rPr>
  </w:style>
  <w:style w:type="character" w:customStyle="1" w:styleId="191">
    <w:name w:val="heighthight1"/>
    <w:qFormat/>
    <w:uiPriority w:val="0"/>
    <w:rPr>
      <w:color w:val="FAAE14"/>
    </w:rPr>
  </w:style>
  <w:style w:type="character" w:customStyle="1" w:styleId="192">
    <w:name w:val="页脚 Char1"/>
    <w:qFormat/>
    <w:uiPriority w:val="99"/>
    <w:rPr>
      <w:rFonts w:eastAsia="宋体"/>
      <w:kern w:val="2"/>
      <w:sz w:val="18"/>
      <w:szCs w:val="18"/>
      <w:lang w:val="en-US" w:eastAsia="zh-CN" w:bidi="ar-SA"/>
    </w:rPr>
  </w:style>
  <w:style w:type="character" w:customStyle="1" w:styleId="193">
    <w:name w:val="zbggmain style9"/>
    <w:basedOn w:val="43"/>
    <w:qFormat/>
    <w:uiPriority w:val="0"/>
  </w:style>
  <w:style w:type="character" w:customStyle="1" w:styleId="194">
    <w:name w:val="edui-clickable"/>
    <w:qFormat/>
    <w:uiPriority w:val="0"/>
    <w:rPr>
      <w:color w:val="0000FF"/>
      <w:u w:val="single"/>
      <w:bdr w:val="single" w:color="CCCCCC" w:sz="4" w:space="0"/>
      <w:shd w:val="clear" w:color="auto" w:fill="FFFFFF"/>
    </w:rPr>
  </w:style>
  <w:style w:type="character" w:customStyle="1" w:styleId="195">
    <w:name w:val="批注主题 Char1"/>
    <w:qFormat/>
    <w:uiPriority w:val="0"/>
    <w:rPr>
      <w:rFonts w:ascii="Times New Roman" w:hAnsi="Times New Roman" w:eastAsia="宋体" w:cs="Times New Roman"/>
      <w:b/>
      <w:bCs/>
      <w:szCs w:val="20"/>
    </w:rPr>
  </w:style>
  <w:style w:type="character" w:customStyle="1" w:styleId="196">
    <w:name w:val="内文 Char"/>
    <w:qFormat/>
    <w:uiPriority w:val="0"/>
    <w:rPr>
      <w:rFonts w:ascii="Arial" w:hAnsi="Arial" w:eastAsia="宋体"/>
      <w:kern w:val="2"/>
      <w:sz w:val="21"/>
      <w:lang w:val="en-US" w:eastAsia="zh-CN" w:bidi="ar-SA"/>
    </w:rPr>
  </w:style>
  <w:style w:type="character" w:customStyle="1" w:styleId="197">
    <w:name w:val="题注 Char"/>
    <w:link w:val="17"/>
    <w:qFormat/>
    <w:uiPriority w:val="0"/>
    <w:rPr>
      <w:rFonts w:ascii="Arial" w:hAnsi="Arial" w:eastAsia="黑体"/>
      <w:kern w:val="2"/>
    </w:rPr>
  </w:style>
  <w:style w:type="character" w:customStyle="1" w:styleId="198">
    <w:name w:val="Char Char18"/>
    <w:qFormat/>
    <w:uiPriority w:val="0"/>
    <w:rPr>
      <w:rFonts w:ascii="Cambria" w:hAnsi="Cambria" w:eastAsia="宋体"/>
      <w:b/>
      <w:bCs/>
      <w:kern w:val="2"/>
      <w:sz w:val="32"/>
      <w:szCs w:val="32"/>
      <w:lang w:val="en-US" w:eastAsia="zh-CN" w:bidi="ar-SA"/>
    </w:rPr>
  </w:style>
  <w:style w:type="character" w:customStyle="1" w:styleId="199">
    <w:name w:val="next-item"/>
    <w:qFormat/>
    <w:uiPriority w:val="0"/>
    <w:rPr>
      <w:color w:val="333333"/>
      <w:bdr w:val="single" w:color="CCD0D6" w:sz="4" w:space="0"/>
    </w:rPr>
  </w:style>
  <w:style w:type="character" w:customStyle="1" w:styleId="200">
    <w:name w:val="样式 正文文本 Char"/>
    <w:qFormat/>
    <w:uiPriority w:val="0"/>
    <w:rPr>
      <w:rFonts w:ascii="Arial" w:hAnsi="Arial" w:eastAsia="宋体" w:cs="宋体"/>
      <w:color w:val="000000"/>
      <w:kern w:val="2"/>
      <w:sz w:val="21"/>
      <w:szCs w:val="20"/>
      <w:lang w:val="en-US" w:eastAsia="zh-CN" w:bidi="ar-SA"/>
    </w:rPr>
  </w:style>
  <w:style w:type="character" w:customStyle="1" w:styleId="201">
    <w:name w:val="select2"/>
    <w:qFormat/>
    <w:uiPriority w:val="0"/>
    <w:rPr>
      <w:color w:val="FFFFFF"/>
      <w:shd w:val="clear" w:color="auto" w:fill="3595F8"/>
    </w:rPr>
  </w:style>
  <w:style w:type="character" w:customStyle="1" w:styleId="202">
    <w:name w:val="正文文本 Char"/>
    <w:qFormat/>
    <w:uiPriority w:val="0"/>
    <w:rPr>
      <w:rFonts w:ascii="Times New Roman" w:hAnsi="Times New Roman" w:eastAsia="宋体" w:cs="Times New Roman"/>
      <w:szCs w:val="20"/>
    </w:rPr>
  </w:style>
  <w:style w:type="character" w:customStyle="1" w:styleId="203">
    <w:name w:val="EmailStyle179"/>
    <w:qFormat/>
    <w:uiPriority w:val="0"/>
    <w:rPr>
      <w:rFonts w:ascii="Arial" w:hAnsi="Arial" w:eastAsia="宋体" w:cs="Arial"/>
      <w:color w:val="auto"/>
      <w:sz w:val="20"/>
    </w:rPr>
  </w:style>
  <w:style w:type="character" w:customStyle="1" w:styleId="204">
    <w:name w:val="caret3"/>
    <w:basedOn w:val="43"/>
    <w:qFormat/>
    <w:uiPriority w:val="0"/>
  </w:style>
  <w:style w:type="character" w:customStyle="1" w:styleId="205">
    <w:name w:val="fl"/>
    <w:qFormat/>
    <w:uiPriority w:val="0"/>
    <w:rPr>
      <w:sz w:val="16"/>
      <w:szCs w:val="16"/>
    </w:rPr>
  </w:style>
  <w:style w:type="character" w:customStyle="1" w:styleId="206">
    <w:name w:val="small2"/>
    <w:qFormat/>
    <w:uiPriority w:val="0"/>
    <w:rPr>
      <w:sz w:val="14"/>
      <w:szCs w:val="14"/>
    </w:rPr>
  </w:style>
  <w:style w:type="character" w:customStyle="1" w:styleId="207">
    <w:name w:val="正文文本缩进 Char1"/>
    <w:qFormat/>
    <w:uiPriority w:val="0"/>
    <w:rPr>
      <w:rFonts w:ascii="宋体" w:hAnsi="Times New Roman" w:eastAsia="宋体" w:cs="Times New Roman"/>
      <w:sz w:val="24"/>
      <w:szCs w:val="20"/>
    </w:rPr>
  </w:style>
  <w:style w:type="character" w:customStyle="1" w:styleId="208">
    <w:name w:val="tuih10"/>
    <w:qFormat/>
    <w:uiPriority w:val="0"/>
    <w:rPr>
      <w:color w:val="57607A"/>
      <w:bdr w:val="single" w:color="CDCCCC" w:sz="4" w:space="0"/>
    </w:rPr>
  </w:style>
  <w:style w:type="character" w:customStyle="1" w:styleId="209">
    <w:name w:val="search1"/>
    <w:basedOn w:val="43"/>
    <w:qFormat/>
    <w:uiPriority w:val="0"/>
  </w:style>
  <w:style w:type="character" w:customStyle="1" w:styleId="210">
    <w:name w:val="tuih5"/>
    <w:qFormat/>
    <w:uiPriority w:val="0"/>
    <w:rPr>
      <w:color w:val="57607A"/>
      <w:bdr w:val="single" w:color="CDCCCC" w:sz="4" w:space="0"/>
    </w:rPr>
  </w:style>
  <w:style w:type="character" w:customStyle="1" w:styleId="211">
    <w:name w:val="样式 正文文本 + 首行缩进:  2 字符 Char"/>
    <w:qFormat/>
    <w:uiPriority w:val="0"/>
    <w:rPr>
      <w:rFonts w:ascii="Arial" w:hAnsi="Arial" w:eastAsia="宋体" w:cs="宋体"/>
      <w:kern w:val="2"/>
      <w:sz w:val="21"/>
      <w:szCs w:val="20"/>
      <w:lang w:val="en-US" w:eastAsia="zh-CN" w:bidi="ar-SA"/>
    </w:rPr>
  </w:style>
  <w:style w:type="character" w:customStyle="1" w:styleId="212">
    <w:name w:val="正文文本缩进 3 Char2"/>
    <w:basedOn w:val="43"/>
    <w:link w:val="36"/>
    <w:semiHidden/>
    <w:qFormat/>
    <w:uiPriority w:val="99"/>
    <w:rPr>
      <w:kern w:val="2"/>
      <w:sz w:val="16"/>
      <w:szCs w:val="16"/>
    </w:rPr>
  </w:style>
  <w:style w:type="character" w:customStyle="1" w:styleId="213">
    <w:name w:val="正文文本 Char2"/>
    <w:basedOn w:val="43"/>
    <w:link w:val="16"/>
    <w:semiHidden/>
    <w:qFormat/>
    <w:uiPriority w:val="99"/>
    <w:rPr>
      <w:kern w:val="2"/>
      <w:sz w:val="21"/>
    </w:rPr>
  </w:style>
  <w:style w:type="character" w:customStyle="1" w:styleId="214">
    <w:name w:val="文档结构图 Char1"/>
    <w:basedOn w:val="43"/>
    <w:link w:val="18"/>
    <w:semiHidden/>
    <w:qFormat/>
    <w:uiPriority w:val="99"/>
    <w:rPr>
      <w:rFonts w:ascii="宋体"/>
      <w:kern w:val="2"/>
      <w:sz w:val="18"/>
      <w:szCs w:val="18"/>
    </w:rPr>
  </w:style>
  <w:style w:type="character" w:customStyle="1" w:styleId="215">
    <w:name w:val="HTML 预设格式 Char2"/>
    <w:basedOn w:val="43"/>
    <w:link w:val="40"/>
    <w:semiHidden/>
    <w:qFormat/>
    <w:uiPriority w:val="99"/>
    <w:rPr>
      <w:rFonts w:ascii="Courier New" w:hAnsi="Courier New" w:cs="Courier New"/>
      <w:kern w:val="2"/>
    </w:rPr>
  </w:style>
  <w:style w:type="character" w:customStyle="1" w:styleId="216">
    <w:name w:val="正文首行缩进 Char2"/>
    <w:basedOn w:val="213"/>
    <w:link w:val="15"/>
    <w:semiHidden/>
    <w:qFormat/>
    <w:uiPriority w:val="99"/>
    <w:rPr>
      <w:kern w:val="2"/>
      <w:sz w:val="21"/>
    </w:rPr>
  </w:style>
  <w:style w:type="character" w:customStyle="1" w:styleId="217">
    <w:name w:val="正文文本 2 Char3"/>
    <w:basedOn w:val="43"/>
    <w:link w:val="39"/>
    <w:semiHidden/>
    <w:qFormat/>
    <w:uiPriority w:val="99"/>
    <w:rPr>
      <w:kern w:val="2"/>
      <w:sz w:val="21"/>
    </w:rPr>
  </w:style>
  <w:style w:type="character" w:customStyle="1" w:styleId="218">
    <w:name w:val="脚注文本 Char2"/>
    <w:basedOn w:val="43"/>
    <w:link w:val="34"/>
    <w:semiHidden/>
    <w:qFormat/>
    <w:uiPriority w:val="99"/>
    <w:rPr>
      <w:kern w:val="2"/>
      <w:sz w:val="18"/>
      <w:szCs w:val="18"/>
    </w:rPr>
  </w:style>
  <w:style w:type="paragraph" w:customStyle="1" w:styleId="219">
    <w:name w:val="CM99"/>
    <w:basedOn w:val="85"/>
    <w:next w:val="85"/>
    <w:qFormat/>
    <w:uiPriority w:val="0"/>
    <w:pPr>
      <w:spacing w:after="443"/>
    </w:pPr>
    <w:rPr>
      <w:rFonts w:hAnsi="Times New Roman" w:cs="Times New Roman"/>
      <w:color w:val="auto"/>
    </w:rPr>
  </w:style>
  <w:style w:type="paragraph" w:customStyle="1" w:styleId="220">
    <w:name w:val="重要文字1"/>
    <w:basedOn w:val="1"/>
    <w:qFormat/>
    <w:uiPriority w:val="0"/>
    <w:pPr>
      <w:spacing w:line="240" w:lineRule="auto"/>
      <w:ind w:firstLine="200" w:firstLineChars="200"/>
    </w:pPr>
    <w:rPr>
      <w:sz w:val="24"/>
      <w:szCs w:val="24"/>
    </w:rPr>
  </w:style>
  <w:style w:type="paragraph" w:customStyle="1" w:styleId="221">
    <w:name w:val="样式 正文文本 + 首行缩进:  2 字符"/>
    <w:basedOn w:val="16"/>
    <w:qFormat/>
    <w:uiPriority w:val="0"/>
    <w:pPr>
      <w:adjustRightInd w:val="0"/>
      <w:snapToGrid w:val="0"/>
      <w:spacing w:line="400" w:lineRule="exact"/>
      <w:ind w:firstLine="200" w:firstLineChars="200"/>
    </w:pPr>
    <w:rPr>
      <w:rFonts w:ascii="Arial" w:hAnsi="Arial" w:eastAsia="宋体" w:cs="宋体"/>
      <w:sz w:val="21"/>
      <w:szCs w:val="20"/>
    </w:rPr>
  </w:style>
  <w:style w:type="paragraph" w:customStyle="1" w:styleId="222">
    <w:name w:val="正文内文"/>
    <w:basedOn w:val="1"/>
    <w:qFormat/>
    <w:uiPriority w:val="0"/>
    <w:pPr>
      <w:adjustRightInd w:val="0"/>
      <w:snapToGrid w:val="0"/>
      <w:ind w:firstLine="200" w:firstLineChars="200"/>
    </w:pPr>
    <w:rPr>
      <w:rFonts w:ascii="Arial" w:hAnsi="Arial" w:cs="Arial"/>
      <w:szCs w:val="21"/>
    </w:rPr>
  </w:style>
  <w:style w:type="paragraph" w:customStyle="1" w:styleId="223">
    <w:name w:val="CM89"/>
    <w:basedOn w:val="85"/>
    <w:next w:val="85"/>
    <w:qFormat/>
    <w:uiPriority w:val="0"/>
    <w:pPr>
      <w:spacing w:line="440" w:lineRule="atLeast"/>
    </w:pPr>
    <w:rPr>
      <w:rFonts w:hAnsi="Times New Roman" w:cs="Times New Roman"/>
      <w:color w:val="auto"/>
    </w:rPr>
  </w:style>
  <w:style w:type="paragraph" w:customStyle="1" w:styleId="224">
    <w:name w:val="样式1"/>
    <w:basedOn w:val="1"/>
    <w:qFormat/>
    <w:uiPriority w:val="0"/>
    <w:pPr>
      <w:adjustRightInd w:val="0"/>
      <w:snapToGrid w:val="0"/>
      <w:spacing w:line="360" w:lineRule="auto"/>
      <w:ind w:firstLine="720" w:firstLineChars="300"/>
    </w:pPr>
    <w:rPr>
      <w:rFonts w:ascii="宋体"/>
      <w:sz w:val="24"/>
      <w:szCs w:val="24"/>
    </w:rPr>
  </w:style>
  <w:style w:type="paragraph" w:customStyle="1" w:styleId="225">
    <w:name w:val="正文2"/>
    <w:basedOn w:val="1"/>
    <w:qFormat/>
    <w:uiPriority w:val="0"/>
    <w:pPr>
      <w:tabs>
        <w:tab w:val="left" w:pos="360"/>
      </w:tabs>
      <w:spacing w:line="480" w:lineRule="exact"/>
      <w:outlineLvl w:val="2"/>
    </w:pPr>
    <w:rPr>
      <w:sz w:val="28"/>
    </w:rPr>
  </w:style>
  <w:style w:type="paragraph" w:customStyle="1" w:styleId="226">
    <w:name w:val="Char Char Char"/>
    <w:basedOn w:val="18"/>
    <w:qFormat/>
    <w:uiPriority w:val="0"/>
    <w:rPr>
      <w:rFonts w:ascii="Tahoma" w:hAnsi="Tahoma"/>
      <w:sz w:val="24"/>
    </w:rPr>
  </w:style>
  <w:style w:type="paragraph" w:customStyle="1" w:styleId="227">
    <w:name w:val="xl28"/>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288" w:lineRule="auto"/>
      <w:ind w:firstLine="200" w:firstLineChars="200"/>
      <w:jc w:val="left"/>
      <w:textAlignment w:val="center"/>
    </w:pPr>
    <w:rPr>
      <w:kern w:val="0"/>
      <w:sz w:val="24"/>
      <w:szCs w:val="24"/>
    </w:rPr>
  </w:style>
  <w:style w:type="paragraph" w:customStyle="1" w:styleId="228">
    <w:name w:val="样式 正文文本 + 首行缩进:  2 字符1"/>
    <w:basedOn w:val="16"/>
    <w:qFormat/>
    <w:uiPriority w:val="0"/>
    <w:pPr>
      <w:adjustRightInd w:val="0"/>
      <w:snapToGrid w:val="0"/>
      <w:spacing w:line="400" w:lineRule="exact"/>
      <w:ind w:firstLine="200" w:firstLineChars="200"/>
    </w:pPr>
    <w:rPr>
      <w:rFonts w:ascii="Arial" w:hAnsi="Arial" w:eastAsia="宋体" w:cs="宋体"/>
      <w:sz w:val="21"/>
      <w:szCs w:val="20"/>
    </w:rPr>
  </w:style>
  <w:style w:type="paragraph" w:customStyle="1" w:styleId="229">
    <w:name w:val="font6"/>
    <w:basedOn w:val="1"/>
    <w:qFormat/>
    <w:uiPriority w:val="0"/>
    <w:pPr>
      <w:widowControl/>
      <w:adjustRightInd w:val="0"/>
      <w:snapToGrid w:val="0"/>
      <w:spacing w:before="100" w:beforeAutospacing="1" w:after="100" w:afterAutospacing="1" w:line="288" w:lineRule="auto"/>
      <w:ind w:firstLine="200" w:firstLineChars="200"/>
      <w:jc w:val="left"/>
    </w:pPr>
    <w:rPr>
      <w:kern w:val="0"/>
      <w:sz w:val="24"/>
      <w:szCs w:val="24"/>
    </w:rPr>
  </w:style>
  <w:style w:type="paragraph" w:customStyle="1" w:styleId="230">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31">
    <w:name w:val="样式 标题 1 + Arial 黑色"/>
    <w:basedOn w:val="2"/>
    <w:qFormat/>
    <w:uiPriority w:val="0"/>
    <w:pPr>
      <w:adjustRightInd w:val="0"/>
      <w:snapToGrid w:val="0"/>
      <w:spacing w:line="480" w:lineRule="auto"/>
      <w:jc w:val="center"/>
    </w:pPr>
    <w:rPr>
      <w:rFonts w:ascii="Arial" w:hAnsi="Arial"/>
      <w:color w:val="000000"/>
      <w:sz w:val="36"/>
    </w:rPr>
  </w:style>
  <w:style w:type="paragraph" w:customStyle="1" w:styleId="232">
    <w:name w:val="纯文本2"/>
    <w:basedOn w:val="1"/>
    <w:qFormat/>
    <w:uiPriority w:val="0"/>
    <w:pPr>
      <w:adjustRightInd w:val="0"/>
      <w:spacing w:line="240" w:lineRule="auto"/>
      <w:textAlignment w:val="baseline"/>
    </w:pPr>
    <w:rPr>
      <w:rFonts w:ascii="宋体" w:hAnsi="Courier New"/>
    </w:rPr>
  </w:style>
  <w:style w:type="paragraph" w:customStyle="1" w:styleId="233">
    <w:name w:val="Char11"/>
    <w:basedOn w:val="1"/>
    <w:qFormat/>
    <w:uiPriority w:val="0"/>
    <w:pPr>
      <w:spacing w:line="240" w:lineRule="auto"/>
    </w:pPr>
    <w:rPr>
      <w:rFonts w:ascii="仿宋_GB2312" w:eastAsia="仿宋_GB2312"/>
      <w:b/>
      <w:sz w:val="32"/>
      <w:szCs w:val="32"/>
    </w:rPr>
  </w:style>
  <w:style w:type="paragraph" w:customStyle="1" w:styleId="234">
    <w:name w:val="正文文本缩进 311"/>
    <w:basedOn w:val="1"/>
    <w:qFormat/>
    <w:uiPriority w:val="0"/>
    <w:pPr>
      <w:tabs>
        <w:tab w:val="left" w:pos="0"/>
      </w:tabs>
      <w:adjustRightInd w:val="0"/>
      <w:spacing w:line="360" w:lineRule="auto"/>
      <w:ind w:firstLine="734"/>
      <w:textAlignment w:val="baseline"/>
    </w:pPr>
    <w:rPr>
      <w:rFonts w:ascii="宋体" w:hAnsi="宋体"/>
      <w:kern w:val="0"/>
      <w:sz w:val="28"/>
    </w:rPr>
  </w:style>
  <w:style w:type="paragraph" w:customStyle="1" w:styleId="235">
    <w:name w:val="Char Char1 Char Char Char Char"/>
    <w:basedOn w:val="1"/>
    <w:qFormat/>
    <w:uiPriority w:val="0"/>
    <w:pPr>
      <w:spacing w:line="240" w:lineRule="auto"/>
    </w:pPr>
    <w:rPr>
      <w:rFonts w:ascii="仿宋_GB2312" w:eastAsia="仿宋_GB2312"/>
      <w:b/>
      <w:sz w:val="32"/>
      <w:szCs w:val="32"/>
    </w:rPr>
  </w:style>
  <w:style w:type="paragraph" w:customStyle="1" w:styleId="236">
    <w:name w:val="样式 (符号) 宋体 二号 加粗 居中 左侧:  0.85 厘米 首行缩进:  1.56 厘米 行距: 固定值 23..."/>
    <w:basedOn w:val="1"/>
    <w:qFormat/>
    <w:uiPriority w:val="0"/>
    <w:pPr>
      <w:spacing w:line="460" w:lineRule="exact"/>
      <w:ind w:left="480" w:firstLine="883"/>
      <w:jc w:val="center"/>
    </w:pPr>
    <w:rPr>
      <w:rFonts w:hAnsi="宋体"/>
      <w:b/>
      <w:sz w:val="44"/>
    </w:rPr>
  </w:style>
  <w:style w:type="paragraph" w:customStyle="1" w:styleId="237">
    <w:name w:val="样式 标题 2节标题 1.1 + 段前: 1 行 段后: 0.5 行"/>
    <w:basedOn w:val="3"/>
    <w:qFormat/>
    <w:uiPriority w:val="99"/>
    <w:pPr>
      <w:tabs>
        <w:tab w:val="left" w:pos="720"/>
      </w:tabs>
      <w:spacing w:beforeLines="0" w:afterLines="0" w:line="416" w:lineRule="auto"/>
    </w:pPr>
    <w:rPr>
      <w:rFonts w:ascii="Arial" w:hAnsi="宋体" w:eastAsia="黑体" w:cs="Times New Roman"/>
      <w:sz w:val="24"/>
      <w:szCs w:val="20"/>
    </w:rPr>
  </w:style>
  <w:style w:type="paragraph" w:customStyle="1" w:styleId="238">
    <w:name w:val="font8"/>
    <w:basedOn w:val="1"/>
    <w:qFormat/>
    <w:uiPriority w:val="0"/>
    <w:pPr>
      <w:widowControl/>
      <w:adjustRightInd w:val="0"/>
      <w:snapToGrid w:val="0"/>
      <w:spacing w:before="100" w:beforeAutospacing="1" w:after="100" w:afterAutospacing="1" w:line="288" w:lineRule="auto"/>
      <w:ind w:firstLine="200" w:firstLineChars="200"/>
      <w:jc w:val="left"/>
    </w:pPr>
    <w:rPr>
      <w:b/>
      <w:bCs/>
      <w:kern w:val="0"/>
      <w:sz w:val="36"/>
      <w:szCs w:val="36"/>
    </w:rPr>
  </w:style>
  <w:style w:type="paragraph" w:customStyle="1" w:styleId="239">
    <w:name w:val="纯文本11"/>
    <w:basedOn w:val="1"/>
    <w:qFormat/>
    <w:uiPriority w:val="0"/>
    <w:pPr>
      <w:adjustRightInd w:val="0"/>
      <w:spacing w:line="240" w:lineRule="auto"/>
      <w:textAlignment w:val="baseline"/>
    </w:pPr>
    <w:rPr>
      <w:rFonts w:ascii="宋体" w:hAnsi="Courier New"/>
    </w:rPr>
  </w:style>
  <w:style w:type="paragraph" w:customStyle="1" w:styleId="240">
    <w:name w:val="Blockquote"/>
    <w:basedOn w:val="1"/>
    <w:qFormat/>
    <w:uiPriority w:val="0"/>
    <w:pPr>
      <w:autoSpaceDE w:val="0"/>
      <w:autoSpaceDN w:val="0"/>
      <w:adjustRightInd w:val="0"/>
      <w:spacing w:before="100" w:after="100" w:line="240" w:lineRule="auto"/>
      <w:ind w:left="360" w:right="360"/>
      <w:jc w:val="left"/>
    </w:pPr>
    <w:rPr>
      <w:kern w:val="0"/>
      <w:sz w:val="24"/>
    </w:rPr>
  </w:style>
  <w:style w:type="paragraph" w:customStyle="1" w:styleId="241">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242">
    <w:name w:val="默认段落字体 Para Char"/>
    <w:basedOn w:val="1"/>
    <w:qFormat/>
    <w:uiPriority w:val="0"/>
    <w:pPr>
      <w:tabs>
        <w:tab w:val="left" w:pos="400"/>
      </w:tabs>
      <w:spacing w:line="240" w:lineRule="auto"/>
      <w:ind w:left="400"/>
    </w:pPr>
    <w:rPr>
      <w:szCs w:val="24"/>
    </w:rPr>
  </w:style>
  <w:style w:type="paragraph" w:customStyle="1" w:styleId="243">
    <w:name w:val="CM96"/>
    <w:basedOn w:val="85"/>
    <w:next w:val="85"/>
    <w:qFormat/>
    <w:uiPriority w:val="0"/>
    <w:pPr>
      <w:spacing w:after="298"/>
    </w:pPr>
    <w:rPr>
      <w:rFonts w:hAnsi="Times New Roman" w:cs="Times New Roman"/>
      <w:color w:val="auto"/>
    </w:rPr>
  </w:style>
  <w:style w:type="paragraph" w:customStyle="1" w:styleId="244">
    <w:name w:val="xl26"/>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288" w:lineRule="auto"/>
      <w:ind w:firstLine="200" w:firstLineChars="200"/>
      <w:jc w:val="center"/>
      <w:textAlignment w:val="center"/>
    </w:pPr>
    <w:rPr>
      <w:rFonts w:ascii="宋体" w:hAnsi="宋体"/>
      <w:kern w:val="0"/>
      <w:sz w:val="24"/>
      <w:szCs w:val="24"/>
    </w:rPr>
  </w:style>
  <w:style w:type="paragraph" w:customStyle="1" w:styleId="245">
    <w:name w:val="xl29"/>
    <w:basedOn w:val="1"/>
    <w:qFormat/>
    <w:uiPriority w:val="0"/>
    <w:pPr>
      <w:widowControl/>
      <w:adjustRightInd w:val="0"/>
      <w:snapToGrid w:val="0"/>
      <w:spacing w:before="100" w:beforeAutospacing="1" w:after="100" w:afterAutospacing="1" w:line="288" w:lineRule="auto"/>
      <w:ind w:firstLine="200" w:firstLineChars="200"/>
      <w:jc w:val="center"/>
      <w:textAlignment w:val="center"/>
    </w:pPr>
    <w:rPr>
      <w:rFonts w:ascii="宋体" w:hAnsi="宋体"/>
      <w:b/>
      <w:bCs/>
      <w:kern w:val="0"/>
      <w:sz w:val="36"/>
      <w:szCs w:val="36"/>
    </w:rPr>
  </w:style>
  <w:style w:type="paragraph" w:customStyle="1" w:styleId="246">
    <w:name w:val="纯文本1"/>
    <w:basedOn w:val="1"/>
    <w:qFormat/>
    <w:uiPriority w:val="0"/>
    <w:pPr>
      <w:adjustRightInd w:val="0"/>
      <w:snapToGrid w:val="0"/>
      <w:spacing w:line="288" w:lineRule="auto"/>
      <w:ind w:firstLine="200" w:firstLineChars="200"/>
      <w:textAlignment w:val="baseline"/>
    </w:pPr>
    <w:rPr>
      <w:rFonts w:ascii="宋体" w:hAnsi="Courier New"/>
    </w:rPr>
  </w:style>
  <w:style w:type="paragraph" w:customStyle="1" w:styleId="247">
    <w:name w:val="xl31"/>
    <w:basedOn w:val="1"/>
    <w:qFormat/>
    <w:uiPriority w:val="0"/>
    <w:pPr>
      <w:widowControl/>
      <w:pBdr>
        <w:bottom w:val="single" w:color="auto" w:sz="4" w:space="0"/>
      </w:pBdr>
      <w:adjustRightInd w:val="0"/>
      <w:snapToGrid w:val="0"/>
      <w:spacing w:before="100" w:beforeAutospacing="1" w:after="100" w:afterAutospacing="1" w:line="288" w:lineRule="auto"/>
      <w:ind w:firstLine="200" w:firstLineChars="200"/>
      <w:jc w:val="center"/>
    </w:pPr>
    <w:rPr>
      <w:rFonts w:ascii="宋体" w:hAnsi="宋体"/>
      <w:kern w:val="0"/>
      <w:sz w:val="24"/>
      <w:szCs w:val="24"/>
    </w:rPr>
  </w:style>
  <w:style w:type="paragraph" w:customStyle="1" w:styleId="248">
    <w:name w:val="正文文本 22"/>
    <w:basedOn w:val="1"/>
    <w:qFormat/>
    <w:uiPriority w:val="0"/>
    <w:pPr>
      <w:adjustRightInd w:val="0"/>
      <w:spacing w:line="300" w:lineRule="auto"/>
      <w:jc w:val="center"/>
      <w:textAlignment w:val="baseline"/>
    </w:pPr>
    <w:rPr>
      <w:rFonts w:ascii="宋体" w:hAnsi="宋体"/>
      <w:sz w:val="24"/>
    </w:rPr>
  </w:style>
  <w:style w:type="paragraph" w:customStyle="1" w:styleId="249">
    <w:name w:val="日期1"/>
    <w:basedOn w:val="1"/>
    <w:next w:val="1"/>
    <w:qFormat/>
    <w:uiPriority w:val="0"/>
    <w:pPr>
      <w:adjustRightInd w:val="0"/>
      <w:spacing w:line="360" w:lineRule="auto"/>
      <w:jc w:val="right"/>
      <w:textAlignment w:val="baseline"/>
    </w:pPr>
    <w:rPr>
      <w:kern w:val="0"/>
      <w:sz w:val="24"/>
    </w:rPr>
  </w:style>
  <w:style w:type="paragraph" w:customStyle="1" w:styleId="250">
    <w:name w:val="xl10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Arial Unicode MS"/>
      <w:kern w:val="0"/>
      <w:sz w:val="24"/>
      <w:szCs w:val="24"/>
    </w:rPr>
  </w:style>
  <w:style w:type="paragraph" w:customStyle="1" w:styleId="251">
    <w:name w:val="Char Char Char Char Char Char Char Char Char Char Char Char Char Char Char Char Char Char"/>
    <w:basedOn w:val="18"/>
    <w:qFormat/>
    <w:uiPriority w:val="0"/>
    <w:rPr>
      <w:rFonts w:ascii="Tahoma" w:hAnsi="Tahoma"/>
      <w:sz w:val="24"/>
    </w:rPr>
  </w:style>
  <w:style w:type="paragraph" w:customStyle="1" w:styleId="252">
    <w:name w:val="内文"/>
    <w:qFormat/>
    <w:uiPriority w:val="0"/>
    <w:pPr>
      <w:adjustRightInd w:val="0"/>
      <w:snapToGrid w:val="0"/>
      <w:spacing w:line="400" w:lineRule="exact"/>
      <w:ind w:firstLine="200" w:firstLineChars="200"/>
      <w:jc w:val="both"/>
    </w:pPr>
    <w:rPr>
      <w:rFonts w:ascii="Arial" w:hAnsi="Arial" w:eastAsia="宋体" w:cs="Times New Roman"/>
      <w:kern w:val="2"/>
      <w:sz w:val="21"/>
      <w:lang w:val="en-US" w:eastAsia="zh-CN" w:bidi="ar-SA"/>
    </w:rPr>
  </w:style>
  <w:style w:type="paragraph" w:customStyle="1" w:styleId="253">
    <w:name w:val="xl24"/>
    <w:basedOn w:val="1"/>
    <w:qFormat/>
    <w:uiPriority w:val="0"/>
    <w:pPr>
      <w:widowControl/>
      <w:adjustRightInd w:val="0"/>
      <w:snapToGrid w:val="0"/>
      <w:spacing w:before="100" w:beforeAutospacing="1" w:after="100" w:afterAutospacing="1" w:line="288" w:lineRule="auto"/>
      <w:ind w:firstLine="200" w:firstLineChars="200"/>
      <w:jc w:val="left"/>
    </w:pPr>
    <w:rPr>
      <w:rFonts w:ascii="宋体" w:hAnsi="宋体"/>
      <w:kern w:val="0"/>
      <w:sz w:val="24"/>
      <w:szCs w:val="24"/>
    </w:rPr>
  </w:style>
  <w:style w:type="paragraph" w:customStyle="1" w:styleId="254">
    <w:name w:val="样式 样式 样式1 + 首行缩进:  2 字符 + 左侧:  0.74 厘米"/>
    <w:basedOn w:val="255"/>
    <w:qFormat/>
    <w:uiPriority w:val="0"/>
    <w:pPr>
      <w:ind w:firstLine="200"/>
    </w:pPr>
  </w:style>
  <w:style w:type="paragraph" w:customStyle="1" w:styleId="255">
    <w:name w:val="样式 样式1 + 首行缩进:  2 字符"/>
    <w:basedOn w:val="1"/>
    <w:qFormat/>
    <w:uiPriority w:val="0"/>
    <w:pPr>
      <w:spacing w:line="360" w:lineRule="exact"/>
      <w:ind w:firstLine="420" w:firstLineChars="200"/>
    </w:pPr>
    <w:rPr>
      <w:rFonts w:ascii="Arial" w:hAnsi="Arial" w:cs="宋体"/>
    </w:rPr>
  </w:style>
  <w:style w:type="paragraph" w:customStyle="1" w:styleId="256">
    <w:name w:val="纯文本3"/>
    <w:basedOn w:val="1"/>
    <w:qFormat/>
    <w:uiPriority w:val="0"/>
    <w:pPr>
      <w:adjustRightInd w:val="0"/>
      <w:spacing w:line="240" w:lineRule="auto"/>
      <w:textAlignment w:val="baseline"/>
    </w:pPr>
    <w:rPr>
      <w:rFonts w:ascii="宋体" w:hAnsi="Courier New" w:eastAsia="楷体_GB2312"/>
      <w:sz w:val="26"/>
    </w:rPr>
  </w:style>
  <w:style w:type="paragraph" w:customStyle="1" w:styleId="257">
    <w:name w:val="CM25"/>
    <w:basedOn w:val="85"/>
    <w:next w:val="85"/>
    <w:qFormat/>
    <w:uiPriority w:val="0"/>
    <w:pPr>
      <w:spacing w:line="440" w:lineRule="atLeast"/>
    </w:pPr>
    <w:rPr>
      <w:rFonts w:hAnsi="Times New Roman" w:cs="Times New Roman"/>
      <w:color w:val="auto"/>
    </w:rPr>
  </w:style>
  <w:style w:type="paragraph" w:customStyle="1" w:styleId="258">
    <w:name w:val="xl25"/>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288" w:lineRule="auto"/>
      <w:ind w:firstLine="200" w:firstLineChars="200"/>
      <w:jc w:val="center"/>
      <w:textAlignment w:val="center"/>
    </w:pPr>
    <w:rPr>
      <w:rFonts w:ascii="宋体" w:hAnsi="宋体"/>
      <w:kern w:val="0"/>
      <w:sz w:val="24"/>
      <w:szCs w:val="24"/>
    </w:rPr>
  </w:style>
  <w:style w:type="paragraph" w:customStyle="1" w:styleId="259">
    <w:name w:val="普通 (Web)"/>
    <w:basedOn w:val="1"/>
    <w:qFormat/>
    <w:uiPriority w:val="0"/>
    <w:pPr>
      <w:spacing w:line="240" w:lineRule="auto"/>
    </w:pPr>
    <w:rPr>
      <w:sz w:val="24"/>
      <w:szCs w:val="24"/>
    </w:rPr>
  </w:style>
  <w:style w:type="paragraph" w:customStyle="1" w:styleId="260">
    <w:name w:val="Char1"/>
    <w:basedOn w:val="1"/>
    <w:qFormat/>
    <w:uiPriority w:val="0"/>
    <w:pPr>
      <w:spacing w:line="240" w:lineRule="auto"/>
    </w:pPr>
    <w:rPr>
      <w:rFonts w:ascii="仿宋_GB2312" w:eastAsia="仿宋_GB2312"/>
      <w:b/>
      <w:sz w:val="32"/>
      <w:szCs w:val="32"/>
    </w:rPr>
  </w:style>
  <w:style w:type="paragraph" w:customStyle="1" w:styleId="261">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262">
    <w:name w:val="zbggmain"/>
    <w:basedOn w:val="1"/>
    <w:qFormat/>
    <w:uiPriority w:val="0"/>
    <w:pPr>
      <w:widowControl/>
      <w:spacing w:before="100" w:beforeAutospacing="1" w:after="100" w:afterAutospacing="1" w:line="240" w:lineRule="auto"/>
      <w:jc w:val="left"/>
    </w:pPr>
    <w:rPr>
      <w:rFonts w:ascii="宋体" w:hAnsi="宋体" w:cs="宋体"/>
      <w:kern w:val="0"/>
      <w:sz w:val="24"/>
      <w:szCs w:val="24"/>
    </w:rPr>
  </w:style>
  <w:style w:type="paragraph" w:customStyle="1" w:styleId="263">
    <w:name w:val="正文文本缩进 21"/>
    <w:basedOn w:val="1"/>
    <w:qFormat/>
    <w:uiPriority w:val="0"/>
    <w:pPr>
      <w:tabs>
        <w:tab w:val="left" w:pos="0"/>
      </w:tabs>
      <w:adjustRightInd w:val="0"/>
      <w:snapToGrid w:val="0"/>
      <w:spacing w:line="360" w:lineRule="auto"/>
      <w:ind w:left="180" w:firstLine="540" w:firstLineChars="200"/>
      <w:textAlignment w:val="baseline"/>
    </w:pPr>
    <w:rPr>
      <w:rFonts w:ascii="宋体" w:hAnsi="宋体"/>
      <w:kern w:val="0"/>
      <w:sz w:val="28"/>
    </w:rPr>
  </w:style>
  <w:style w:type="paragraph" w:customStyle="1" w:styleId="264">
    <w:name w:val="列出段落2"/>
    <w:basedOn w:val="1"/>
    <w:qFormat/>
    <w:uiPriority w:val="0"/>
    <w:pPr>
      <w:spacing w:line="240" w:lineRule="auto"/>
      <w:ind w:firstLine="420" w:firstLineChars="200"/>
    </w:pPr>
    <w:rPr>
      <w:rFonts w:ascii="Calibri" w:hAnsi="Calibri"/>
    </w:rPr>
  </w:style>
  <w:style w:type="paragraph" w:customStyle="1" w:styleId="265">
    <w:name w:val="章正文"/>
    <w:basedOn w:val="1"/>
    <w:qFormat/>
    <w:uiPriority w:val="0"/>
    <w:pPr>
      <w:spacing w:beforeLines="50" w:after="120" w:line="300" w:lineRule="auto"/>
      <w:ind w:firstLine="480"/>
    </w:pPr>
    <w:rPr>
      <w:rFonts w:ascii="Helvetica" w:hAnsi="Helvetica"/>
      <w:kern w:val="0"/>
      <w:sz w:val="24"/>
      <w:szCs w:val="24"/>
    </w:rPr>
  </w:style>
  <w:style w:type="paragraph" w:customStyle="1" w:styleId="266">
    <w:name w:val="表格一"/>
    <w:basedOn w:val="1"/>
    <w:qFormat/>
    <w:uiPriority w:val="0"/>
    <w:pPr>
      <w:spacing w:line="240" w:lineRule="exact"/>
      <w:ind w:left="105" w:leftChars="50"/>
    </w:pPr>
    <w:rPr>
      <w:sz w:val="18"/>
      <w:szCs w:val="21"/>
    </w:rPr>
  </w:style>
  <w:style w:type="paragraph" w:customStyle="1" w:styleId="267">
    <w:name w:val="样式 左侧:  0.85 厘米"/>
    <w:basedOn w:val="1"/>
    <w:qFormat/>
    <w:uiPriority w:val="0"/>
    <w:pPr>
      <w:spacing w:line="240" w:lineRule="auto"/>
    </w:pPr>
    <w:rPr>
      <w:rFonts w:cs="宋体"/>
    </w:rPr>
  </w:style>
  <w:style w:type="paragraph" w:customStyle="1" w:styleId="268">
    <w:name w:val="1"/>
    <w:basedOn w:val="1"/>
    <w:next w:val="20"/>
    <w:qFormat/>
    <w:uiPriority w:val="0"/>
    <w:pPr>
      <w:adjustRightInd w:val="0"/>
      <w:snapToGrid w:val="0"/>
      <w:spacing w:line="480" w:lineRule="exact"/>
      <w:ind w:firstLine="480" w:firstLineChars="200"/>
    </w:pPr>
    <w:rPr>
      <w:rFonts w:ascii="宋体"/>
      <w:sz w:val="24"/>
    </w:rPr>
  </w:style>
  <w:style w:type="paragraph" w:customStyle="1" w:styleId="269">
    <w:name w:val="Body Text(ch)"/>
    <w:basedOn w:val="1"/>
    <w:next w:val="16"/>
    <w:qFormat/>
    <w:uiPriority w:val="0"/>
    <w:pPr>
      <w:spacing w:line="500" w:lineRule="exact"/>
      <w:jc w:val="center"/>
    </w:pPr>
    <w:rPr>
      <w:szCs w:val="24"/>
    </w:rPr>
  </w:style>
  <w:style w:type="paragraph" w:customStyle="1" w:styleId="270">
    <w:name w:val="表格"/>
    <w:basedOn w:val="1"/>
    <w:qFormat/>
    <w:uiPriority w:val="0"/>
    <w:pPr>
      <w:snapToGrid w:val="0"/>
      <w:spacing w:line="240" w:lineRule="atLeast"/>
      <w:jc w:val="center"/>
    </w:pPr>
    <w:rPr>
      <w:rFonts w:ascii="宋体" w:hAnsi="宋体"/>
      <w:spacing w:val="14"/>
    </w:rPr>
  </w:style>
  <w:style w:type="paragraph" w:customStyle="1" w:styleId="271">
    <w:name w:val="重要文字2"/>
    <w:basedOn w:val="220"/>
    <w:qFormat/>
    <w:uiPriority w:val="0"/>
    <w:pPr>
      <w:adjustRightInd w:val="0"/>
      <w:snapToGrid w:val="0"/>
      <w:spacing w:line="360" w:lineRule="auto"/>
      <w:ind w:firstLine="472" w:firstLineChars="224"/>
    </w:pPr>
    <w:rPr>
      <w:rFonts w:ascii="黑体" w:hAnsi="宋体" w:eastAsia="黑体"/>
      <w:b/>
      <w:sz w:val="21"/>
      <w:szCs w:val="21"/>
    </w:rPr>
  </w:style>
  <w:style w:type="paragraph" w:customStyle="1" w:styleId="272">
    <w:name w:val="font5"/>
    <w:basedOn w:val="1"/>
    <w:qFormat/>
    <w:uiPriority w:val="0"/>
    <w:pPr>
      <w:widowControl/>
      <w:adjustRightInd w:val="0"/>
      <w:snapToGrid w:val="0"/>
      <w:spacing w:before="100" w:beforeAutospacing="1" w:after="100" w:afterAutospacing="1" w:line="288" w:lineRule="auto"/>
      <w:ind w:firstLine="200" w:firstLineChars="200"/>
      <w:jc w:val="left"/>
    </w:pPr>
    <w:rPr>
      <w:rFonts w:hint="eastAsia" w:ascii="宋体" w:hAnsi="宋体"/>
      <w:kern w:val="0"/>
      <w:sz w:val="18"/>
      <w:szCs w:val="18"/>
    </w:rPr>
  </w:style>
  <w:style w:type="paragraph" w:customStyle="1" w:styleId="273">
    <w:name w:val="Proposals body"/>
    <w:basedOn w:val="1"/>
    <w:next w:val="1"/>
    <w:qFormat/>
    <w:uiPriority w:val="0"/>
    <w:pPr>
      <w:widowControl/>
      <w:spacing w:line="360" w:lineRule="auto"/>
      <w:jc w:val="left"/>
    </w:pPr>
    <w:rPr>
      <w:rFonts w:ascii="宋体"/>
      <w:snapToGrid w:val="0"/>
      <w:color w:val="000000"/>
      <w:kern w:val="0"/>
      <w:sz w:val="24"/>
    </w:rPr>
  </w:style>
  <w:style w:type="paragraph" w:customStyle="1" w:styleId="274">
    <w:name w:val="文章"/>
    <w:basedOn w:val="1"/>
    <w:next w:val="1"/>
    <w:qFormat/>
    <w:uiPriority w:val="0"/>
    <w:pPr>
      <w:spacing w:after="120" w:line="360" w:lineRule="auto"/>
      <w:ind w:firstLine="200" w:firstLineChars="200"/>
    </w:pPr>
    <w:rPr>
      <w:sz w:val="24"/>
      <w:szCs w:val="24"/>
    </w:rPr>
  </w:style>
  <w:style w:type="paragraph" w:customStyle="1" w:styleId="275">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rPr>
  </w:style>
  <w:style w:type="paragraph" w:customStyle="1" w:styleId="276">
    <w:name w:val="Table Paragraph"/>
    <w:basedOn w:val="1"/>
    <w:qFormat/>
    <w:uiPriority w:val="1"/>
    <w:pPr>
      <w:autoSpaceDE w:val="0"/>
      <w:autoSpaceDN w:val="0"/>
      <w:adjustRightInd w:val="0"/>
      <w:spacing w:line="240" w:lineRule="auto"/>
      <w:jc w:val="left"/>
    </w:pPr>
    <w:rPr>
      <w:kern w:val="0"/>
      <w:sz w:val="24"/>
      <w:szCs w:val="24"/>
    </w:rPr>
  </w:style>
  <w:style w:type="paragraph" w:customStyle="1" w:styleId="277">
    <w:name w:val="xl27"/>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100" w:beforeAutospacing="1" w:after="100" w:afterAutospacing="1" w:line="288" w:lineRule="auto"/>
      <w:ind w:firstLine="200" w:firstLineChars="200"/>
      <w:jc w:val="left"/>
      <w:textAlignment w:val="center"/>
    </w:pPr>
    <w:rPr>
      <w:rFonts w:ascii="宋体" w:hAnsi="宋体"/>
      <w:kern w:val="0"/>
      <w:sz w:val="24"/>
      <w:szCs w:val="24"/>
    </w:rPr>
  </w:style>
  <w:style w:type="paragraph" w:customStyle="1" w:styleId="278">
    <w:name w:val="正文文本缩进 22"/>
    <w:basedOn w:val="1"/>
    <w:qFormat/>
    <w:uiPriority w:val="0"/>
    <w:pPr>
      <w:tabs>
        <w:tab w:val="left" w:pos="0"/>
      </w:tabs>
      <w:adjustRightInd w:val="0"/>
      <w:spacing w:line="360" w:lineRule="auto"/>
      <w:ind w:left="180" w:firstLine="540"/>
      <w:textAlignment w:val="baseline"/>
    </w:pPr>
    <w:rPr>
      <w:rFonts w:ascii="宋体" w:hAnsi="宋体"/>
      <w:kern w:val="0"/>
      <w:sz w:val="28"/>
    </w:rPr>
  </w:style>
  <w:style w:type="paragraph" w:customStyle="1" w:styleId="279">
    <w:name w:val="解释字体"/>
    <w:basedOn w:val="1"/>
    <w:qFormat/>
    <w:uiPriority w:val="0"/>
    <w:pPr>
      <w:tabs>
        <w:tab w:val="left" w:pos="1860"/>
      </w:tabs>
      <w:spacing w:line="240" w:lineRule="auto"/>
    </w:pPr>
    <w:rPr>
      <w:i/>
      <w:iCs/>
      <w:szCs w:val="24"/>
    </w:rPr>
  </w:style>
  <w:style w:type="paragraph" w:customStyle="1" w:styleId="280">
    <w:name w:val="正文文本缩进 32"/>
    <w:basedOn w:val="1"/>
    <w:qFormat/>
    <w:uiPriority w:val="0"/>
    <w:pPr>
      <w:tabs>
        <w:tab w:val="left" w:pos="0"/>
      </w:tabs>
      <w:adjustRightInd w:val="0"/>
      <w:spacing w:line="360" w:lineRule="auto"/>
      <w:ind w:firstLine="734"/>
      <w:textAlignment w:val="baseline"/>
    </w:pPr>
    <w:rPr>
      <w:rFonts w:ascii="宋体" w:hAnsi="宋体"/>
      <w:kern w:val="0"/>
      <w:sz w:val="28"/>
    </w:rPr>
  </w:style>
  <w:style w:type="paragraph" w:customStyle="1" w:styleId="281">
    <w:name w:val="xl30"/>
    <w:basedOn w:val="1"/>
    <w:qFormat/>
    <w:uiPriority w:val="0"/>
    <w:pPr>
      <w:widowControl/>
      <w:pBdr>
        <w:bottom w:val="single" w:color="auto" w:sz="4" w:space="0"/>
      </w:pBdr>
      <w:adjustRightInd w:val="0"/>
      <w:snapToGrid w:val="0"/>
      <w:spacing w:before="100" w:beforeAutospacing="1" w:after="100" w:afterAutospacing="1" w:line="288" w:lineRule="auto"/>
      <w:ind w:firstLine="200" w:firstLineChars="200"/>
      <w:jc w:val="left"/>
    </w:pPr>
    <w:rPr>
      <w:rFonts w:ascii="宋体" w:hAnsi="宋体"/>
      <w:kern w:val="0"/>
      <w:sz w:val="24"/>
      <w:szCs w:val="24"/>
    </w:rPr>
  </w:style>
  <w:style w:type="paragraph" w:customStyle="1" w:styleId="282">
    <w:name w:val="表内正文"/>
    <w:basedOn w:val="1"/>
    <w:qFormat/>
    <w:uiPriority w:val="0"/>
    <w:pPr>
      <w:adjustRightInd w:val="0"/>
      <w:snapToGrid w:val="0"/>
      <w:spacing w:line="288" w:lineRule="auto"/>
      <w:ind w:firstLine="200" w:firstLineChars="200"/>
    </w:pPr>
    <w:rPr>
      <w:rFonts w:ascii="宋体"/>
      <w:sz w:val="20"/>
    </w:rPr>
  </w:style>
  <w:style w:type="paragraph" w:customStyle="1" w:styleId="283">
    <w:name w:val="样式 标题 3 + Arial"/>
    <w:basedOn w:val="5"/>
    <w:qFormat/>
    <w:uiPriority w:val="0"/>
    <w:pPr>
      <w:tabs>
        <w:tab w:val="left" w:pos="400"/>
      </w:tabs>
      <w:spacing w:beforeLines="100" w:line="360" w:lineRule="auto"/>
    </w:pPr>
    <w:rPr>
      <w:rFonts w:ascii="Arial" w:hAnsi="Arial"/>
      <w:sz w:val="24"/>
    </w:rPr>
  </w:style>
  <w:style w:type="paragraph" w:customStyle="1" w:styleId="284">
    <w:name w:val="样式 表内正文 + 五号 行距: 单倍行距"/>
    <w:basedOn w:val="282"/>
    <w:qFormat/>
    <w:uiPriority w:val="0"/>
    <w:pPr>
      <w:spacing w:line="240" w:lineRule="auto"/>
      <w:ind w:firstLine="0" w:firstLineChars="0"/>
    </w:pPr>
    <w:rPr>
      <w:rFonts w:ascii="Arial" w:hAnsi="Arial" w:cs="宋体"/>
      <w:sz w:val="21"/>
    </w:rPr>
  </w:style>
  <w:style w:type="paragraph" w:customStyle="1" w:styleId="285">
    <w:name w:val="标题4"/>
    <w:basedOn w:val="1"/>
    <w:qFormat/>
    <w:uiPriority w:val="0"/>
    <w:pPr>
      <w:spacing w:line="240" w:lineRule="auto"/>
    </w:pPr>
    <w:rPr>
      <w:rFonts w:eastAsia="仿宋_GB2312"/>
      <w:sz w:val="32"/>
    </w:rPr>
  </w:style>
  <w:style w:type="paragraph" w:customStyle="1" w:styleId="286">
    <w:name w:val="font0"/>
    <w:basedOn w:val="1"/>
    <w:qFormat/>
    <w:uiPriority w:val="0"/>
    <w:pPr>
      <w:widowControl/>
      <w:adjustRightInd w:val="0"/>
      <w:snapToGrid w:val="0"/>
      <w:spacing w:before="100" w:beforeAutospacing="1" w:after="100" w:afterAutospacing="1" w:line="288" w:lineRule="auto"/>
      <w:ind w:firstLine="200" w:firstLineChars="200"/>
      <w:jc w:val="left"/>
    </w:pPr>
    <w:rPr>
      <w:rFonts w:hint="eastAsia" w:ascii="宋体" w:hAnsi="宋体"/>
      <w:kern w:val="0"/>
      <w:sz w:val="24"/>
      <w:szCs w:val="24"/>
    </w:rPr>
  </w:style>
  <w:style w:type="paragraph" w:customStyle="1" w:styleId="287">
    <w:name w:val="CM44"/>
    <w:basedOn w:val="85"/>
    <w:next w:val="85"/>
    <w:qFormat/>
    <w:uiPriority w:val="0"/>
    <w:pPr>
      <w:spacing w:line="440" w:lineRule="atLeast"/>
    </w:pPr>
    <w:rPr>
      <w:rFonts w:hAnsi="Times New Roman" w:cs="Times New Roman"/>
      <w:color w:val="auto"/>
    </w:rPr>
  </w:style>
  <w:style w:type="paragraph" w:customStyle="1" w:styleId="288">
    <w:name w:val="Char"/>
    <w:basedOn w:val="1"/>
    <w:qFormat/>
    <w:uiPriority w:val="0"/>
    <w:pPr>
      <w:spacing w:line="240" w:lineRule="auto"/>
    </w:pPr>
    <w:rPr>
      <w:rFonts w:ascii="仿宋_GB2312" w:eastAsia="仿宋_GB2312"/>
      <w:b/>
      <w:sz w:val="32"/>
      <w:szCs w:val="32"/>
    </w:rPr>
  </w:style>
  <w:style w:type="paragraph" w:customStyle="1" w:styleId="289">
    <w:name w:val="Char21"/>
    <w:basedOn w:val="1"/>
    <w:qFormat/>
    <w:uiPriority w:val="0"/>
    <w:pPr>
      <w:spacing w:line="240" w:lineRule="auto"/>
    </w:pPr>
    <w:rPr>
      <w:rFonts w:ascii="仿宋_GB2312" w:eastAsia="仿宋_GB2312"/>
      <w:b/>
      <w:sz w:val="32"/>
      <w:szCs w:val="32"/>
    </w:rPr>
  </w:style>
  <w:style w:type="paragraph" w:customStyle="1" w:styleId="290">
    <w:name w:val="wenjianming"/>
    <w:basedOn w:val="1"/>
    <w:qFormat/>
    <w:uiPriority w:val="0"/>
    <w:pPr>
      <w:widowControl/>
      <w:spacing w:before="100" w:beforeAutospacing="1" w:after="100" w:afterAutospacing="1" w:line="300" w:lineRule="atLeast"/>
      <w:jc w:val="left"/>
    </w:pPr>
    <w:rPr>
      <w:color w:val="000000"/>
      <w:kern w:val="0"/>
      <w:szCs w:val="21"/>
    </w:rPr>
  </w:style>
  <w:style w:type="paragraph" w:customStyle="1" w:styleId="291">
    <w:name w:val="4"/>
    <w:basedOn w:val="1"/>
    <w:next w:val="20"/>
    <w:qFormat/>
    <w:uiPriority w:val="0"/>
    <w:pPr>
      <w:spacing w:line="500" w:lineRule="exact"/>
      <w:ind w:firstLine="960" w:firstLineChars="400"/>
    </w:pPr>
    <w:rPr>
      <w:rFonts w:ascii="宋体" w:hAnsi="宋体"/>
      <w:sz w:val="24"/>
    </w:rPr>
  </w:style>
  <w:style w:type="paragraph" w:customStyle="1" w:styleId="292">
    <w:name w:val="bb"/>
    <w:basedOn w:val="1"/>
    <w:qFormat/>
    <w:uiPriority w:val="0"/>
    <w:pPr>
      <w:widowControl/>
      <w:spacing w:before="100" w:beforeAutospacing="1" w:after="100" w:afterAutospacing="1" w:line="240" w:lineRule="auto"/>
      <w:jc w:val="left"/>
    </w:pPr>
    <w:rPr>
      <w:rFonts w:ascii="宋体" w:hAnsi="宋体" w:cs="宋体"/>
      <w:b/>
      <w:bCs/>
      <w:color w:val="990000"/>
      <w:kern w:val="0"/>
      <w:szCs w:val="21"/>
    </w:rPr>
  </w:style>
  <w:style w:type="paragraph" w:customStyle="1" w:styleId="293">
    <w:name w:val="表格内文"/>
    <w:basedOn w:val="1"/>
    <w:qFormat/>
    <w:uiPriority w:val="0"/>
    <w:pPr>
      <w:widowControl/>
      <w:adjustRightInd w:val="0"/>
      <w:snapToGrid w:val="0"/>
      <w:spacing w:line="240" w:lineRule="auto"/>
    </w:pPr>
    <w:rPr>
      <w:rFonts w:ascii="Arial" w:hAnsi="Arial"/>
      <w:kern w:val="0"/>
    </w:rPr>
  </w:style>
  <w:style w:type="paragraph" w:customStyle="1" w:styleId="294">
    <w:name w:val="标题一"/>
    <w:basedOn w:val="1"/>
    <w:qFormat/>
    <w:uiPriority w:val="0"/>
    <w:pPr>
      <w:adjustRightInd w:val="0"/>
      <w:snapToGrid w:val="0"/>
      <w:spacing w:beforeLines="50" w:afterLines="50" w:line="360" w:lineRule="auto"/>
      <w:ind w:left="425"/>
      <w:jc w:val="center"/>
    </w:pPr>
    <w:rPr>
      <w:rFonts w:eastAsia="黑体"/>
      <w:b/>
      <w:bCs/>
      <w:color w:val="000000"/>
      <w:sz w:val="32"/>
      <w:szCs w:val="24"/>
    </w:rPr>
  </w:style>
  <w:style w:type="paragraph" w:customStyle="1" w:styleId="295">
    <w:name w:val="样式 纯文本普通文字 Char纯文本 Char Char普通文字纯文本 Char Char Char Char Char...4"/>
    <w:basedOn w:val="24"/>
    <w:qFormat/>
    <w:uiPriority w:val="0"/>
    <w:pPr>
      <w:spacing w:line="440" w:lineRule="exact"/>
      <w:ind w:firstLine="200" w:firstLineChars="200"/>
    </w:pPr>
    <w:rPr>
      <w:rFonts w:hAnsi="宋体" w:eastAsia="Times New Roman" w:cs="宋体"/>
      <w:szCs w:val="20"/>
    </w:rPr>
  </w:style>
  <w:style w:type="paragraph" w:customStyle="1" w:styleId="296">
    <w:name w:val="正文(1)"/>
    <w:basedOn w:val="1"/>
    <w:qFormat/>
    <w:uiPriority w:val="0"/>
    <w:pPr>
      <w:tabs>
        <w:tab w:val="left" w:pos="1287"/>
      </w:tabs>
      <w:spacing w:line="360" w:lineRule="auto"/>
      <w:ind w:firstLine="567"/>
    </w:pPr>
    <w:rPr>
      <w:sz w:val="28"/>
    </w:rPr>
  </w:style>
  <w:style w:type="paragraph" w:customStyle="1" w:styleId="297">
    <w:name w:val="正文①"/>
    <w:basedOn w:val="1"/>
    <w:qFormat/>
    <w:uiPriority w:val="0"/>
    <w:pPr>
      <w:tabs>
        <w:tab w:val="left" w:pos="999"/>
      </w:tabs>
      <w:snapToGrid w:val="0"/>
      <w:spacing w:line="360" w:lineRule="auto"/>
      <w:ind w:left="999" w:hanging="432"/>
      <w:outlineLvl w:val="2"/>
    </w:pPr>
    <w:rPr>
      <w:sz w:val="28"/>
    </w:rPr>
  </w:style>
  <w:style w:type="paragraph" w:customStyle="1" w:styleId="298">
    <w:name w:val="冯广丽"/>
    <w:basedOn w:val="1"/>
    <w:qFormat/>
    <w:uiPriority w:val="0"/>
    <w:pPr>
      <w:spacing w:line="360" w:lineRule="auto"/>
      <w:ind w:firstLine="200" w:firstLineChars="200"/>
    </w:pPr>
    <w:rPr>
      <w:rFonts w:ascii="宋体" w:hAnsi="宋体"/>
      <w:kern w:val="0"/>
      <w:sz w:val="24"/>
    </w:rPr>
  </w:style>
  <w:style w:type="paragraph" w:customStyle="1" w:styleId="299">
    <w:name w:val="样式2"/>
    <w:basedOn w:val="2"/>
    <w:qFormat/>
    <w:uiPriority w:val="0"/>
    <w:pPr>
      <w:tabs>
        <w:tab w:val="left" w:pos="540"/>
      </w:tabs>
      <w:topLinePunct/>
      <w:adjustRightInd w:val="0"/>
      <w:snapToGrid w:val="0"/>
      <w:spacing w:line="480" w:lineRule="auto"/>
      <w:ind w:firstLine="723"/>
      <w:jc w:val="center"/>
    </w:pPr>
    <w:rPr>
      <w:b w:val="0"/>
      <w:sz w:val="36"/>
      <w:szCs w:val="36"/>
    </w:rPr>
  </w:style>
  <w:style w:type="paragraph" w:customStyle="1" w:styleId="300">
    <w:name w:val="样式3"/>
    <w:basedOn w:val="1"/>
    <w:qFormat/>
    <w:uiPriority w:val="0"/>
    <w:pPr>
      <w:tabs>
        <w:tab w:val="left" w:pos="480"/>
      </w:tabs>
      <w:adjustRightInd w:val="0"/>
      <w:snapToGrid w:val="0"/>
      <w:spacing w:line="360" w:lineRule="auto"/>
      <w:ind w:left="480" w:hanging="480" w:firstLineChars="200"/>
    </w:pPr>
    <w:rPr>
      <w:rFonts w:ascii="宋体"/>
      <w:sz w:val="24"/>
      <w:szCs w:val="24"/>
    </w:rPr>
  </w:style>
  <w:style w:type="paragraph" w:customStyle="1" w:styleId="301">
    <w:name w:val="正文文本缩进 31"/>
    <w:basedOn w:val="1"/>
    <w:qFormat/>
    <w:uiPriority w:val="0"/>
    <w:pPr>
      <w:tabs>
        <w:tab w:val="left" w:pos="0"/>
      </w:tabs>
      <w:adjustRightInd w:val="0"/>
      <w:snapToGrid w:val="0"/>
      <w:spacing w:line="360" w:lineRule="auto"/>
      <w:ind w:firstLine="734" w:firstLineChars="200"/>
      <w:textAlignment w:val="baseline"/>
    </w:pPr>
    <w:rPr>
      <w:rFonts w:ascii="宋体" w:hAnsi="宋体"/>
      <w:kern w:val="0"/>
      <w:sz w:val="28"/>
    </w:rPr>
  </w:style>
  <w:style w:type="paragraph" w:customStyle="1" w:styleId="302">
    <w:name w:val="Char Char Char Char Char Char Char"/>
    <w:basedOn w:val="1"/>
    <w:qFormat/>
    <w:uiPriority w:val="0"/>
    <w:pPr>
      <w:spacing w:line="240" w:lineRule="auto"/>
    </w:pPr>
    <w:rPr>
      <w:rFonts w:ascii="仿宋_GB2312" w:eastAsia="仿宋_GB2312"/>
      <w:b/>
      <w:sz w:val="32"/>
      <w:szCs w:val="32"/>
    </w:rPr>
  </w:style>
  <w:style w:type="paragraph" w:customStyle="1" w:styleId="303">
    <w:name w:val="CM24"/>
    <w:basedOn w:val="85"/>
    <w:next w:val="85"/>
    <w:qFormat/>
    <w:uiPriority w:val="0"/>
    <w:pPr>
      <w:spacing w:line="440" w:lineRule="atLeast"/>
    </w:pPr>
    <w:rPr>
      <w:rFonts w:hAnsi="Times New Roman" w:cs="Times New Roman"/>
      <w:color w:val="auto"/>
    </w:rPr>
  </w:style>
  <w:style w:type="paragraph" w:customStyle="1" w:styleId="304">
    <w:name w:val="font7"/>
    <w:basedOn w:val="1"/>
    <w:qFormat/>
    <w:uiPriority w:val="0"/>
    <w:pPr>
      <w:widowControl/>
      <w:adjustRightInd w:val="0"/>
      <w:snapToGrid w:val="0"/>
      <w:spacing w:before="100" w:beforeAutospacing="1" w:after="100" w:afterAutospacing="1" w:line="288" w:lineRule="auto"/>
      <w:ind w:firstLine="200" w:firstLineChars="200"/>
      <w:jc w:val="left"/>
    </w:pPr>
    <w:rPr>
      <w:rFonts w:hint="eastAsia" w:ascii="宋体" w:hAnsi="宋体"/>
      <w:b/>
      <w:bCs/>
      <w:kern w:val="0"/>
      <w:sz w:val="36"/>
      <w:szCs w:val="36"/>
    </w:rPr>
  </w:style>
  <w:style w:type="paragraph" w:customStyle="1" w:styleId="305">
    <w:name w:val="Char2"/>
    <w:basedOn w:val="1"/>
    <w:qFormat/>
    <w:uiPriority w:val="0"/>
    <w:pPr>
      <w:spacing w:line="240" w:lineRule="auto"/>
    </w:pPr>
    <w:rPr>
      <w:rFonts w:ascii="仿宋_GB2312" w:eastAsia="仿宋_GB2312"/>
      <w:b/>
      <w:sz w:val="32"/>
      <w:szCs w:val="32"/>
    </w:rPr>
  </w:style>
  <w:style w:type="paragraph" w:customStyle="1" w:styleId="306">
    <w:name w:val="Char3"/>
    <w:basedOn w:val="1"/>
    <w:qFormat/>
    <w:uiPriority w:val="0"/>
    <w:pPr>
      <w:spacing w:line="240" w:lineRule="auto"/>
    </w:pPr>
    <w:rPr>
      <w:rFonts w:ascii="仿宋_GB2312" w:eastAsia="仿宋_GB2312"/>
      <w:b/>
      <w:sz w:val="32"/>
      <w:szCs w:val="32"/>
    </w:rPr>
  </w:style>
  <w:style w:type="paragraph" w:customStyle="1" w:styleId="307">
    <w:name w:val="Char Char3 Char"/>
    <w:basedOn w:val="1"/>
    <w:qFormat/>
    <w:uiPriority w:val="0"/>
    <w:pPr>
      <w:spacing w:line="240" w:lineRule="auto"/>
    </w:pPr>
    <w:rPr>
      <w:rFonts w:ascii="仿宋_GB2312" w:eastAsia="仿宋_GB2312"/>
      <w:b/>
      <w:sz w:val="32"/>
      <w:szCs w:val="32"/>
    </w:rPr>
  </w:style>
  <w:style w:type="table" w:customStyle="1" w:styleId="308">
    <w:name w:val="TableGrid"/>
    <w:qFormat/>
    <w:uiPriority w:val="0"/>
    <w:tblPr>
      <w:tblLayout w:type="fixed"/>
      <w:tblCellMar>
        <w:top w:w="0" w:type="dxa"/>
        <w:left w:w="0" w:type="dxa"/>
        <w:bottom w:w="0" w:type="dxa"/>
        <w:right w:w="0" w:type="dxa"/>
      </w:tblCellMar>
    </w:tblPr>
  </w:style>
  <w:style w:type="character" w:customStyle="1" w:styleId="309">
    <w:name w:val="未处理的提及1"/>
    <w:unhideWhenUsed/>
    <w:qFormat/>
    <w:uiPriority w:val="99"/>
    <w:rPr>
      <w:color w:val="605E5C"/>
      <w:shd w:val="clear" w:color="auto" w:fill="E1DFDD"/>
    </w:rPr>
  </w:style>
  <w:style w:type="paragraph" w:customStyle="1" w:styleId="310">
    <w:name w:val="09正文_wh"/>
    <w:qFormat/>
    <w:uiPriority w:val="0"/>
    <w:pPr>
      <w:spacing w:line="300" w:lineRule="auto"/>
      <w:ind w:firstLine="200" w:firstLineChars="200"/>
      <w:jc w:val="both"/>
    </w:pPr>
    <w:rPr>
      <w:rFonts w:ascii="Calibri" w:hAnsi="Calibri" w:eastAsia="宋体" w:cs="Times New Roman"/>
      <w:kern w:val="2"/>
      <w:sz w:val="28"/>
      <w:szCs w:val="24"/>
      <w:lang w:val="en-US" w:eastAsia="zh-CN" w:bidi="ar-SA"/>
    </w:rPr>
  </w:style>
  <w:style w:type="paragraph" w:customStyle="1" w:styleId="311">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212254-AFF8-4E22-9BE2-A9DC10F0814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3307</Words>
  <Characters>18851</Characters>
  <Lines>157</Lines>
  <Paragraphs>44</Paragraphs>
  <TotalTime>0</TotalTime>
  <ScaleCrop>false</ScaleCrop>
  <LinksUpToDate>false</LinksUpToDate>
  <CharactersWithSpaces>22114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2019-10-28T07:25:00Z</dcterms:created>
  <dc:creator>User</dc:creator>
  <cp:lastModifiedBy>贾思勰</cp:lastModifiedBy>
  <cp:lastPrinted>2019-04-16T02:27:00Z</cp:lastPrinted>
  <dcterms:modified xsi:type="dcterms:W3CDTF">2019-12-26T09:12:07Z</dcterms:modified>
  <dc:title>下沙校区金沙港生活区学生公寓门维修改造</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