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bCs/>
          <w:sz w:val="52"/>
          <w:szCs w:val="52"/>
          <w:u w:val="single"/>
        </w:rPr>
        <w:t>“智能工程建设”服务</w:t>
      </w:r>
      <w:r>
        <w:rPr>
          <w:rFonts w:hint="eastAsia" w:ascii="黑体" w:hAnsi="黑体" w:eastAsia="黑体"/>
          <w:b/>
          <w:bCs/>
          <w:sz w:val="52"/>
          <w:szCs w:val="52"/>
        </w:rPr>
        <w:t>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 xml:space="preserve"> </w:t>
      </w:r>
      <w:r>
        <w:rPr>
          <w:rFonts w:ascii="宋体" w:hAnsi="宋体"/>
          <w:b/>
          <w:sz w:val="44"/>
          <w:szCs w:val="44"/>
        </w:rPr>
        <w:t xml:space="preserve"> 2020</w:t>
      </w:r>
      <w:r>
        <w:rPr>
          <w:rFonts w:hint="eastAsia" w:ascii="宋体" w:hAnsi="宋体"/>
          <w:b/>
          <w:sz w:val="44"/>
          <w:szCs w:val="44"/>
        </w:rPr>
        <w:t>年</w:t>
      </w:r>
      <w:r>
        <w:rPr>
          <w:rFonts w:ascii="宋体" w:hAnsi="宋体"/>
          <w:b/>
          <w:sz w:val="44"/>
          <w:szCs w:val="44"/>
        </w:rPr>
        <w:t>3</w:t>
      </w:r>
      <w:r>
        <w:rPr>
          <w:rFonts w:hint="eastAsia" w:ascii="宋体" w:hAnsi="宋体"/>
          <w:b/>
          <w:sz w:val="44"/>
          <w:szCs w:val="44"/>
        </w:rPr>
        <w:t>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525202077"/>
      <w:bookmarkStart w:id="3" w:name="_Toc19698493"/>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bookmarkStart w:id="62" w:name="_GoBack"/>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ascii="Times New Roman" w:hAnsi="Times New Roman" w:eastAsia="Times New Roman"/>
          <w:u w:val="single" w:color="000000"/>
        </w:rPr>
        <w:t>“</w:t>
      </w:r>
      <w:r>
        <w:rPr>
          <w:rFonts w:hint="eastAsia" w:ascii="宋体" w:hAnsi="宋体" w:cs="宋体"/>
          <w:u w:val="single" w:color="000000"/>
        </w:rPr>
        <w:t>智能工程建设</w:t>
      </w:r>
      <w:r>
        <w:rPr>
          <w:rFonts w:ascii="Times New Roman" w:hAnsi="Times New Roman" w:eastAsia="Times New Roman"/>
          <w:u w:val="single" w:color="000000"/>
        </w:rPr>
        <w:t>”</w:t>
      </w:r>
      <w:r>
        <w:rPr>
          <w:rFonts w:hint="eastAsia" w:ascii="宋体" w:hAnsi="宋体" w:cs="宋体"/>
          <w:u w:val="single" w:color="000000"/>
        </w:rPr>
        <w:t>服务项目</w:t>
      </w:r>
      <w:r>
        <w:rPr>
          <w:rFonts w:ascii="Times New Roman" w:hAnsi="Times New Roman" w:eastAsia="Times New Roman"/>
          <w:u w:val="single" w:color="000000"/>
        </w:rPr>
        <w:tab/>
      </w:r>
      <w:r>
        <w:rPr>
          <w:spacing w:val="-1"/>
        </w:rPr>
        <w:t>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本项目位于杭州萧山国际机场内，具体要求详见第五章。</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（1）提供第三方工程进度、质量安全等数据采集、新闻采集服务，提供智慧工地策划方案及咨询服务，辅助机场三期指挥部现场工程管控，确保三期工程项目的顺利进行；</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（2）运用云计算、大数据等新技术，提供“智能工程建设”云平台，实现多维度、多层次的数据统计分析，要求通过图形、图表等方式在电脑端、移动设备端进行展示，满足机场三期项目管理部门要求；</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（3）提供项目施工全过程数字化留档服务，对工程各时间的进度信息、资源配置信息、资金使用情况、质量安全信息、设备材料情况、工程资料等信息进行结构的归档整理.</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2</w:t>
      </w:r>
      <w:r>
        <w:t>.3</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服务期：</w:t>
      </w:r>
      <w:r>
        <w:rPr>
          <w:rFonts w:hint="eastAsia" w:ascii="宋体" w:hAnsi="宋体"/>
          <w:sz w:val="22"/>
        </w:rPr>
        <w:t>预估730天</w:t>
      </w:r>
      <w:r>
        <w:rPr>
          <w:rFonts w:hint="eastAsia"/>
        </w:rPr>
        <w:t>（最终服务期限具体以甲方书面通知）。</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具有独立法人资格，持有有效营业执照，注册资金不少于人民币</w:t>
      </w:r>
      <w:r>
        <w:rPr>
          <w:rFonts w:hint="eastAsia" w:cs="宋体"/>
          <w:u w:val="single"/>
        </w:rPr>
        <w:t xml:space="preserve">  </w:t>
      </w:r>
      <w:r>
        <w:rPr>
          <w:rFonts w:cs="宋体"/>
          <w:u w:val="single"/>
        </w:rPr>
        <w:t>1000</w:t>
      </w:r>
      <w:r>
        <w:rPr>
          <w:rFonts w:hint="eastAsia" w:cs="宋体"/>
          <w:u w:val="single"/>
        </w:rPr>
        <w:t xml:space="preserve">   </w:t>
      </w:r>
      <w:r>
        <w:rPr>
          <w:rFonts w:hint="eastAsia" w:cs="宋体"/>
        </w:rPr>
        <w:t xml:space="preserve"> 万元或等值外币(按投标截止日当天中国银行公布的外汇牌价的中间价换算)，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ascii="Times New Roman" w:hAnsi="Times New Roman" w:eastAsiaTheme="minorEastAsia"/>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u w:val="single" w:color="000000"/>
        </w:rPr>
      </w:pPr>
      <w:r>
        <w:rPr>
          <w:rFonts w:hint="eastAsia" w:cs="宋体"/>
        </w:rPr>
        <w:t xml:space="preserve">⑤ </w:t>
      </w:r>
      <w:r>
        <w:rPr>
          <w:rFonts w:cs="宋体"/>
        </w:rPr>
        <w:t xml:space="preserve"> </w:t>
      </w:r>
      <w:r>
        <w:rPr>
          <w:rFonts w:hint="eastAsia" w:cs="宋体"/>
          <w:u w:val="single"/>
        </w:rPr>
        <w:t>投标人在“智能工程建设”服务具备全面解决方案及实施能力，投标时需提供案例证明（业绩证明材料：合同（合同协议书）或中标通知书，上述业绩证明材料无法体现服务项目特征的，须另提供投标人出具的证明材料予以证明）。</w:t>
      </w:r>
    </w:p>
    <w:p>
      <w:pPr>
        <w:pStyle w:val="16"/>
        <w:tabs>
          <w:tab w:val="left" w:pos="4394"/>
          <w:tab w:val="left" w:pos="5990"/>
        </w:tabs>
        <w:spacing w:line="331" w:lineRule="auto"/>
        <w:ind w:right="157" w:firstLine="419"/>
        <w:rPr>
          <w:spacing w:val="6"/>
        </w:rPr>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spacing w:val="7"/>
          <w:u w:val="single"/>
        </w:rPr>
        <w:t xml:space="preserve">    </w:t>
      </w:r>
      <w:r>
        <w:rPr>
          <w:rFonts w:hint="eastAsia"/>
          <w:spacing w:val="6"/>
          <w:u w:val="single"/>
        </w:rPr>
        <w:t xml:space="preserve">不接受 </w:t>
      </w:r>
      <w:r>
        <w:rPr>
          <w:spacing w:val="6"/>
          <w:u w:val="single"/>
        </w:rPr>
        <w:t xml:space="preserve">    </w:t>
      </w:r>
      <w:r>
        <w:rPr>
          <w:spacing w:val="6"/>
        </w:rPr>
        <w:t>联合体投标。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15</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00</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15</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00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15</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00</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31"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r>
        <w:rPr>
          <w:rFonts w:ascii="黑体" w:hAnsi="黑体" w:eastAsia="黑体"/>
        </w:rPr>
        <w:t>7.联系方式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投标联系人：贾工</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ind w:firstLine="420" w:firstLineChars="200"/>
        <w:sectPr>
          <w:pgSz w:w="12240" w:h="15840"/>
          <w:pgMar w:top="1400" w:right="1640" w:bottom="1120" w:left="1700" w:header="0" w:footer="901" w:gutter="0"/>
          <w:cols w:space="720" w:num="1"/>
        </w:sectPr>
      </w:pPr>
      <w:r>
        <w:rPr>
          <w:rFonts w:hint="eastAsia" w:cs="宋体"/>
        </w:rPr>
        <w:t>招标监督人：阮工</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w:t>
      </w:r>
      <w:r>
        <w:rPr>
          <w:rFonts w:cs="宋体"/>
        </w:rPr>
        <w:t>571-8666213</w:t>
      </w:r>
      <w:bookmarkStart w:id="12" w:name="_bookmark17"/>
      <w:bookmarkEnd w:id="12"/>
      <w:bookmarkStart w:id="13" w:name="_bookmark10"/>
      <w:bookmarkEnd w:id="13"/>
      <w:bookmarkStart w:id="14" w:name="_bookmark9"/>
      <w:bookmarkEnd w:id="14"/>
      <w:r>
        <w:rPr>
          <w:rFonts w:hint="eastAsia" w:cs="宋体"/>
          <w:lang w:val="en-US" w:eastAsia="zh-CN"/>
        </w:rPr>
        <w:t>3</w:t>
      </w:r>
    </w:p>
    <w:bookmarkEnd w:id="62"/>
    <w:p>
      <w:pPr>
        <w:pStyle w:val="2"/>
        <w:spacing w:line="564" w:lineRule="exact"/>
        <w:ind w:right="57"/>
        <w:jc w:val="center"/>
      </w:pPr>
      <w:bookmarkStart w:id="15" w:name="_bookmark18"/>
      <w:bookmarkEnd w:id="15"/>
      <w:bookmarkStart w:id="16" w:name="_Toc19698496"/>
      <w:r>
        <w:t>第二章</w:t>
      </w:r>
      <w:r>
        <w:rPr>
          <w:rFonts w:hint="eastAsia"/>
        </w:rPr>
        <w:t xml:space="preserve">  </w:t>
      </w:r>
      <w:r>
        <w:t>投标人须知</w:t>
      </w:r>
      <w:bookmarkEnd w:id="16"/>
    </w:p>
    <w:p>
      <w:pPr>
        <w:pStyle w:val="4"/>
        <w:ind w:firstLine="264" w:firstLineChars="94"/>
        <w:jc w:val="center"/>
        <w:rPr>
          <w:sz w:val="28"/>
          <w:szCs w:val="28"/>
        </w:rPr>
      </w:pPr>
      <w:bookmarkStart w:id="17" w:name="_bookmark19"/>
      <w:bookmarkEnd w:id="17"/>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联系人：贾工</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ascii="宋体" w:hAnsi="宋体" w:cs="宋体"/>
                <w:u w:val="single"/>
              </w:rPr>
              <w:t xml:space="preserve">“智能工程建设”服务       </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预估</w:t>
            </w:r>
            <w:r>
              <w:rPr>
                <w:rFonts w:ascii="宋体" w:hAnsi="宋体" w:cs="宋体"/>
              </w:rPr>
              <w:t>730</w:t>
            </w:r>
            <w:r>
              <w:rPr>
                <w:rFonts w:hint="eastAsia" w:ascii="宋体" w:hAnsi="宋体" w:cs="宋体"/>
              </w:rPr>
              <w:t>天，预计开始时间为【2</w:t>
            </w:r>
            <w:r>
              <w:rPr>
                <w:rFonts w:ascii="宋体" w:hAnsi="宋体" w:cs="宋体"/>
              </w:rPr>
              <w:t>020</w:t>
            </w:r>
            <w:r>
              <w:rPr>
                <w:rFonts w:hint="eastAsia" w:ascii="宋体" w:hAnsi="宋体" w:cs="宋体"/>
              </w:rPr>
              <w:t>】年【4】月【3</w:t>
            </w:r>
            <w:r>
              <w:rPr>
                <w:rFonts w:ascii="宋体" w:hAnsi="宋体" w:cs="宋体"/>
              </w:rPr>
              <w:t>0</w:t>
            </w:r>
            <w:r>
              <w:rPr>
                <w:rFonts w:hint="eastAsia" w:ascii="宋体" w:hAnsi="宋体" w:cs="宋体"/>
              </w:rPr>
              <w:t>】日至【2</w:t>
            </w:r>
            <w:r>
              <w:rPr>
                <w:rFonts w:ascii="宋体" w:hAnsi="宋体" w:cs="宋体"/>
              </w:rPr>
              <w:t>022</w:t>
            </w:r>
            <w:r>
              <w:rPr>
                <w:rFonts w:hint="eastAsia" w:ascii="宋体" w:hAnsi="宋体" w:cs="宋体"/>
              </w:rPr>
              <w:t>】年【4】月【2</w:t>
            </w:r>
            <w:r>
              <w:rPr>
                <w:rFonts w:ascii="宋体" w:hAnsi="宋体" w:cs="宋体"/>
              </w:rPr>
              <w:t>9</w:t>
            </w:r>
            <w:r>
              <w:rPr>
                <w:rFonts w:hint="eastAsia" w:ascii="宋体" w:hAnsi="宋体" w:cs="宋体"/>
              </w:rPr>
              <w:t>】日。</w:t>
            </w:r>
          </w:p>
          <w:p>
            <w:pPr>
              <w:adjustRightInd w:val="0"/>
              <w:snapToGrid w:val="0"/>
              <w:rPr>
                <w:rFonts w:ascii="宋体" w:hAnsi="宋体" w:cs="宋体"/>
              </w:rPr>
            </w:pPr>
            <w:r>
              <w:rPr>
                <w:rFonts w:hint="eastAsia" w:ascii="宋体" w:hAnsi="宋体" w:cs="宋体"/>
              </w:rPr>
              <w:t>甲方（招标人）有权根据试点工程项目的实际情况单方面予以调整，具体以甲方向乙方（中标人）发出的书面通知为准，乙方承诺无条件按照甲方要求执行。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（5）服务期不满足招标文件要求的；</w:t>
            </w:r>
          </w:p>
          <w:p>
            <w:pPr>
              <w:adjustRightInd w:val="0"/>
              <w:snapToGrid w:val="0"/>
              <w:rPr>
                <w:rFonts w:ascii="宋体" w:hAnsi="宋体" w:cs="宋体"/>
              </w:rPr>
            </w:pPr>
            <w:r>
              <w:rPr>
                <w:rFonts w:hint="eastAsia"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（9）被浙江省机场集团有限公司或杭州萧山国际机场有限公司列入禁止交易名单或不良信用记录名单的单位；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（11）投标人须知前附表规定的其他要求。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w:t>
            </w:r>
            <w:r>
              <w:rPr>
                <w:rFonts w:ascii="宋体" w:hAnsi="宋体" w:cs="宋体"/>
                <w:bCs/>
              </w:rPr>
              <w:t>20</w:t>
            </w:r>
            <w:r>
              <w:rPr>
                <w:rFonts w:hint="eastAsia" w:ascii="宋体" w:hAnsi="宋体" w:cs="宋体"/>
                <w:bCs/>
              </w:rPr>
              <w:t>年</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合同内所有费用投标人须统一提供“服务”类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8"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8"/>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9" w:name="EB191aa127b49d4a8b95623a875e1177a4"/>
            <w:r>
              <w:rPr>
                <w:rFonts w:ascii="宋体" w:hAnsi="宋体"/>
                <w:u w:val="single"/>
              </w:rPr>
              <w:t>12</w:t>
            </w:r>
            <w:r>
              <w:rPr>
                <w:rFonts w:hint="eastAsia" w:ascii="宋体" w:hAnsi="宋体"/>
                <w:u w:val="single"/>
              </w:rPr>
              <w:t>0</w:t>
            </w:r>
            <w:bookmarkEnd w:id="19"/>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Calibri"/>
                <w:kern w:val="0"/>
                <w:sz w:val="22"/>
                <w:u w:val="single"/>
              </w:rPr>
              <w:t>壹</w:t>
            </w:r>
            <w:r>
              <w:rPr>
                <w:rFonts w:ascii="宋体" w:hAnsi="宋体" w:cs="Calibri"/>
                <w:kern w:val="0"/>
                <w:sz w:val="22"/>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ascii="Segoe UI Emoji" w:hAnsi="Segoe UI Emoji" w:cs="Segoe UI Emoji"/>
                </w:rPr>
                <w:id w:val="-136003771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r>
              <w:rPr>
                <w:rFonts w:hAnsi="宋体" w:cs="宋体"/>
                <w:sz w:val="22"/>
                <w:szCs w:val="22"/>
              </w:rPr>
              <w:t xml:space="preserve"> </w:t>
            </w:r>
          </w:p>
          <w:p>
            <w:pPr>
              <w:pStyle w:val="41"/>
              <w:adjustRightInd w:val="0"/>
              <w:snapToGrid w:val="0"/>
              <w:rPr>
                <w:rFonts w:hAnsi="宋体" w:cs="宋体"/>
              </w:rPr>
            </w:pPr>
            <w:bookmarkStart w:id="20" w:name="EB4536570bab9243ca95400f5423c9fd35"/>
            <w:r>
              <w:rPr>
                <w:rFonts w:hAnsi="宋体" w:cs="宋体"/>
              </w:rPr>
              <w:t>4、符合招标公告“</w:t>
            </w:r>
            <w:r>
              <w:rPr>
                <w:rFonts w:hint="eastAsia" w:hAnsi="宋体" w:cs="宋体"/>
              </w:rPr>
              <w:t>投标人资格要求</w:t>
            </w:r>
            <w:r>
              <w:rPr>
                <w:rFonts w:hAnsi="宋体" w:cs="宋体"/>
              </w:rPr>
              <w:t>”</w:t>
            </w:r>
            <w:r>
              <w:rPr>
                <w:rFonts w:hint="eastAsia"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20"/>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9100262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ascii="Segoe UI Emoji" w:hAnsi="Segoe UI Emoji" w:cs="Segoe UI Emoji"/>
                </w:rPr>
                <w:id w:val="461706061"/>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rPr>
              <w:t xml:space="preserve"> </w:t>
            </w:r>
            <w:r>
              <w:rPr>
                <w:rFonts w:ascii="宋体" w:hAnsi="宋体" w:cs="宋体"/>
              </w:rPr>
              <w:t xml:space="preserve"> 20</w:t>
            </w:r>
            <w:r>
              <w:rPr>
                <w:rStyle w:val="87"/>
              </w:rPr>
              <w:t>17</w:t>
            </w:r>
            <w:r>
              <w:rPr>
                <w:rFonts w:hint="eastAsia" w:ascii="宋体" w:hAnsi="宋体" w:cs="宋体"/>
              </w:rPr>
              <w:t>年至</w:t>
            </w:r>
            <w:r>
              <w:rPr>
                <w:rFonts w:ascii="宋体" w:hAnsi="宋体" w:cs="宋体"/>
              </w:rPr>
              <w:t>2019</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MS Gothic" w:hAnsi="MS Gothic" w:eastAsia="MS Gothic" w:cs="Segoe UI Emoji"/>
              </w:rPr>
              <w:sym w:font="Wingdings 2" w:char="F052"/>
            </w:r>
            <w:r>
              <w:rPr>
                <w:rFonts w:hint="eastAsia" w:ascii="宋体" w:hAnsi="宋体" w:cs="宋体"/>
              </w:rPr>
              <w:t>/</w:t>
            </w:r>
          </w:p>
          <w:p>
            <w:pPr>
              <w:adjustRightInd w:val="0"/>
              <w:snapToGrid w:val="0"/>
              <w:rPr>
                <w:rFonts w:ascii="宋体" w:hAnsi="宋体" w:cs="宋体"/>
                <w:color w:val="FF0000"/>
              </w:rPr>
            </w:pPr>
            <w:sdt>
              <w:sdtPr>
                <w:rPr>
                  <w:rFonts w:ascii="Segoe UI Emoji" w:hAnsi="Segoe UI Emoji" w:cs="Segoe UI Emoji"/>
                </w:rPr>
                <w:id w:val="-55924947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ascii="宋体" w:hAnsi="宋体" w:cs="宋体"/>
              </w:rPr>
              <w:t xml:space="preserve"> 20    </w:t>
            </w:r>
            <w:r>
              <w:rPr>
                <w:rFonts w:hint="eastAsia" w:ascii="宋体" w:hAnsi="宋体" w:cs="宋体"/>
              </w:rPr>
              <w:t>年</w:t>
            </w:r>
            <w:r>
              <w:rPr>
                <w:rFonts w:ascii="宋体" w:hAnsi="宋体" w:cs="宋体"/>
              </w:rPr>
              <w:t xml:space="preserve"> 月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eastAsiaTheme="minorEastAsia"/>
              </w:rPr>
            </w:pPr>
            <w:r>
              <w:rPr>
                <w:rFonts w:hint="eastAsia" w:ascii="MS Gothic" w:hAnsi="MS Gothic" w:eastAsia="MS Gothic" w:cs="Segoe UI Emoji"/>
              </w:rPr>
              <w:sym w:font="Wingdings 2" w:char="F052"/>
            </w:r>
            <w:r>
              <w:rPr>
                <w:rFonts w:ascii="宋体" w:hAnsi="宋体" w:cs="宋体"/>
              </w:rPr>
              <w:t>2017</w:t>
            </w:r>
            <w:r>
              <w:rPr>
                <w:rFonts w:hint="eastAsia" w:ascii="宋体" w:hAnsi="宋体" w:cs="宋体"/>
              </w:rPr>
              <w:t>年1月1日至投标截止日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w:t>
            </w:r>
            <w:r>
              <w:rPr>
                <w:rFonts w:hint="eastAsia" w:ascii="宋体" w:hAnsi="宋体" w:cs="宋体"/>
                <w:b/>
                <w:highlight w:val="yellow"/>
              </w:rPr>
              <w:t>正本</w:t>
            </w:r>
            <w:r>
              <w:rPr>
                <w:rFonts w:ascii="宋体" w:hAnsi="宋体" w:cs="宋体"/>
                <w:b/>
                <w:highlight w:val="yellow"/>
              </w:rPr>
              <w:t>1份，副本2份，</w:t>
            </w:r>
            <w:r>
              <w:rPr>
                <w:rFonts w:hint="eastAsia" w:ascii="MS Gothic" w:hAnsi="MS Gothic" w:eastAsia="MS Gothic" w:cs="Segoe UI Emoji"/>
              </w:rPr>
              <w:sym w:font="Wingdings 2" w:char="F052"/>
            </w:r>
            <w:r>
              <w:rPr>
                <w:rFonts w:hint="eastAsia" w:ascii="宋体" w:hAnsi="宋体" w:cs="宋体"/>
                <w:b/>
                <w:highlight w:val="yellow"/>
              </w:rPr>
              <w:t>电子版文件</w:t>
            </w:r>
            <w:r>
              <w:rPr>
                <w:rFonts w:ascii="宋体" w:hAnsi="宋体" w:cs="宋体"/>
                <w:b/>
                <w:highlight w:val="yellow"/>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15</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15</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杭州萧山机场有限公司主页</w:t>
            </w:r>
          </w:p>
          <w:p>
            <w:pPr>
              <w:adjustRightInd w:val="0"/>
              <w:snapToGrid w:val="0"/>
              <w:rPr>
                <w:rStyle w:val="86"/>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ascii="Segoe UI Emoji" w:hAnsi="Segoe UI Emoji" w:cs="Segoe UI Emoji"/>
                </w:rPr>
                <w:id w:val="91128599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履约保证金的金额：10万元</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1"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  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2" w:name="_Toc219809802"/>
      <w:bookmarkStart w:id="23" w:name="_Toc220123242"/>
      <w:bookmarkStart w:id="24"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2"/>
      <w:bookmarkEnd w:id="23"/>
      <w:bookmarkEnd w:id="24"/>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5" w:name="_Toc219809803"/>
      <w:bookmarkStart w:id="26" w:name="_Toc18806"/>
      <w:bookmarkStart w:id="27" w:name="_Toc220123243"/>
      <w:r>
        <w:rPr>
          <w:rFonts w:hint="eastAsia" w:ascii="宋体" w:hAnsi="宋体" w:cs="宋体"/>
          <w:b/>
          <w:kern w:val="0"/>
          <w:sz w:val="22"/>
        </w:rPr>
        <w:t>8.2 不再招标</w:t>
      </w:r>
      <w:bookmarkEnd w:id="25"/>
      <w:bookmarkEnd w:id="26"/>
      <w:bookmarkEnd w:id="27"/>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1"/>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p>
            <w:pPr>
              <w:pStyle w:val="1850"/>
              <w:spacing w:line="360" w:lineRule="exact"/>
              <w:jc w:val="center"/>
              <w:rPr>
                <w:rFonts w:ascii="宋体" w:hAnsi="宋体" w:cs="宋体"/>
                <w:sz w:val="22"/>
              </w:rPr>
            </w:pPr>
            <w:r>
              <w:rPr>
                <w:rFonts w:hint="eastAsia" w:ascii="宋体" w:hAnsi="宋体" w:cs="宋体"/>
                <w:sz w:val="22"/>
              </w:rPr>
              <w:t>（万元）</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8" w:name="_bookmark76"/>
      <w:bookmarkEnd w:id="28"/>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9" w:name="_bookmark77"/>
      <w:bookmarkEnd w:id="29"/>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0" w:name="_bookmark78"/>
      <w:bookmarkEnd w:id="30"/>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联系人：贾工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31" w:name="_Toc19698497"/>
      <w:r>
        <w:rPr>
          <w:rFonts w:hint="eastAsia"/>
          <w:b w:val="0"/>
          <w:bCs w:val="0"/>
        </w:rPr>
        <w:t>第三章</w:t>
      </w:r>
      <w:r>
        <w:rPr>
          <w:b w:val="0"/>
          <w:bCs w:val="0"/>
        </w:rPr>
        <w:t xml:space="preserve">  </w:t>
      </w:r>
      <w:r>
        <w:rPr>
          <w:rFonts w:hint="eastAsia"/>
          <w:b w:val="0"/>
          <w:bCs w:val="0"/>
        </w:rPr>
        <w:t>评标办法</w:t>
      </w:r>
      <w:bookmarkEnd w:id="31"/>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sdt>
        <w:sdtPr>
          <w:rPr>
            <w:rFonts w:ascii="Segoe UI Emoji" w:hAnsi="Segoe UI Emoji" w:cs="Segoe UI Emoji"/>
          </w:rPr>
          <w:id w:val="-174959641"/>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b/>
          <w:sz w:val="22"/>
        </w:rPr>
        <w:t xml:space="preserve"> </w:t>
      </w:r>
      <w:r>
        <w:rPr>
          <w:rFonts w:ascii="宋体" w:hAnsi="宋体" w:cs="宋体"/>
          <w:b/>
          <w:sz w:val="22"/>
        </w:rPr>
        <w:t>40分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tbl>
      <w:tblPr>
        <w:tblStyle w:val="89"/>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241"/>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2"/>
              </w:rPr>
            </w:pPr>
            <w:r>
              <w:rPr>
                <w:rFonts w:hint="eastAsia" w:ascii="宋体" w:hAnsi="宋体" w:cs="宋体"/>
                <w:sz w:val="22"/>
              </w:rPr>
              <w:t>资信及技术评分分值设定标准</w:t>
            </w:r>
            <w:r>
              <w:rPr>
                <w:rFonts w:hint="eastAsia" w:asciiTheme="minorEastAsia" w:hAnsiTheme="minorEastAsia"/>
                <w:sz w:val="22"/>
              </w:rPr>
              <w:t>评审因素子项</w:t>
            </w:r>
          </w:p>
        </w:tc>
        <w:tc>
          <w:tcPr>
            <w:tcW w:w="62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2"/>
              </w:rPr>
            </w:pPr>
            <w:r>
              <w:rPr>
                <w:rFonts w:hint="eastAsia" w:asciiTheme="minorEastAsia" w:hAnsiTheme="minorEastAsia"/>
                <w:sz w:val="22"/>
              </w:rPr>
              <w:t>评分标准</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2"/>
              </w:rPr>
            </w:pPr>
            <w:r>
              <w:rPr>
                <w:rFonts w:hint="eastAsia" w:asciiTheme="minorEastAsia" w:hAnsiTheme="minorEastAsia"/>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263" w:type="dxa"/>
            <w:vAlign w:val="center"/>
          </w:tcPr>
          <w:p>
            <w:pPr>
              <w:jc w:val="center"/>
              <w:rPr>
                <w:rFonts w:asciiTheme="minorEastAsia" w:hAnsiTheme="minorEastAsia"/>
                <w:sz w:val="22"/>
              </w:rPr>
            </w:pPr>
            <w:r>
              <w:rPr>
                <w:rFonts w:hint="eastAsia" w:asciiTheme="minorEastAsia" w:hAnsiTheme="minorEastAsia"/>
                <w:sz w:val="22"/>
              </w:rPr>
              <w:t>标书完整性</w:t>
            </w:r>
          </w:p>
        </w:tc>
        <w:tc>
          <w:tcPr>
            <w:tcW w:w="6241" w:type="dxa"/>
            <w:vAlign w:val="center"/>
          </w:tcPr>
          <w:p>
            <w:pPr>
              <w:rPr>
                <w:rFonts w:asciiTheme="minorEastAsia" w:hAnsiTheme="minorEastAsia"/>
                <w:sz w:val="22"/>
              </w:rPr>
            </w:pPr>
            <w:r>
              <w:rPr>
                <w:rFonts w:hint="eastAsia" w:asciiTheme="minorEastAsia" w:hAnsiTheme="minorEastAsia"/>
                <w:sz w:val="22"/>
              </w:rPr>
              <w:t>投标文件是否完整，是否按招标文件的要求提供了所 有的文件资料、证明及承诺，是否对招标文件进行详细应答，若有遗漏则为不完整。缺一项扣</w:t>
            </w:r>
            <w:r>
              <w:rPr>
                <w:rFonts w:asciiTheme="minorEastAsia" w:hAnsiTheme="minorEastAsia"/>
                <w:sz w:val="22"/>
              </w:rPr>
              <w:t>1分，</w:t>
            </w:r>
            <w:r>
              <w:rPr>
                <w:rFonts w:hint="eastAsia" w:asciiTheme="minorEastAsia" w:hAnsiTheme="minorEastAsia"/>
                <w:sz w:val="22"/>
              </w:rPr>
              <w:t>扣分至0分止。</w:t>
            </w:r>
          </w:p>
        </w:tc>
        <w:tc>
          <w:tcPr>
            <w:tcW w:w="1419" w:type="dxa"/>
            <w:vAlign w:val="center"/>
          </w:tcPr>
          <w:p>
            <w:pPr>
              <w:snapToGrid w:val="0"/>
              <w:jc w:val="center"/>
              <w:rPr>
                <w:rFonts w:asciiTheme="minorEastAsia" w:hAnsiTheme="minorEastAsia"/>
                <w:sz w:val="22"/>
              </w:rPr>
            </w:pPr>
            <w:r>
              <w:rPr>
                <w:rFonts w:asciiTheme="minorEastAsia" w:hAnsiTheme="minorEastAsia"/>
                <w:sz w:val="22"/>
              </w:rPr>
              <w:t>0-</w:t>
            </w:r>
            <w:r>
              <w:rPr>
                <w:rFonts w:hint="eastAsia" w:asciiTheme="minorEastAsia" w:hAnsiTheme="minorEastAsia"/>
                <w:sz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263" w:type="dxa"/>
            <w:vMerge w:val="restart"/>
            <w:vAlign w:val="center"/>
          </w:tcPr>
          <w:p>
            <w:pPr>
              <w:jc w:val="center"/>
              <w:rPr>
                <w:rFonts w:asciiTheme="minorEastAsia" w:hAnsiTheme="minorEastAsia"/>
                <w:sz w:val="22"/>
              </w:rPr>
            </w:pPr>
            <w:r>
              <w:rPr>
                <w:rFonts w:hint="eastAsia" w:asciiTheme="minorEastAsia" w:hAnsiTheme="minorEastAsia"/>
                <w:sz w:val="22"/>
              </w:rPr>
              <w:t>方案及功能实现</w:t>
            </w:r>
          </w:p>
        </w:tc>
        <w:tc>
          <w:tcPr>
            <w:tcW w:w="6241" w:type="dxa"/>
            <w:vAlign w:val="center"/>
          </w:tcPr>
          <w:p>
            <w:pPr>
              <w:rPr>
                <w:rFonts w:asciiTheme="minorEastAsia" w:hAnsiTheme="minorEastAsia"/>
                <w:sz w:val="22"/>
              </w:rPr>
            </w:pPr>
            <w:r>
              <w:rPr>
                <w:rFonts w:hint="eastAsia" w:asciiTheme="minorEastAsia" w:hAnsiTheme="minorEastAsia"/>
                <w:sz w:val="22"/>
              </w:rPr>
              <w:t>理解项目需求，功能描述清晰，提供满足要求的解决方案：</w:t>
            </w:r>
          </w:p>
          <w:p>
            <w:pPr>
              <w:rPr>
                <w:rFonts w:asciiTheme="minorEastAsia" w:hAnsiTheme="minorEastAsia"/>
                <w:sz w:val="22"/>
              </w:rPr>
            </w:pPr>
            <w:r>
              <w:rPr>
                <w:rFonts w:hint="eastAsia" w:asciiTheme="minorEastAsia" w:hAnsiTheme="minorEastAsia"/>
                <w:sz w:val="22"/>
              </w:rPr>
              <w:t>根据第三章服务要求内容，点对点应答；分项详细说明得</w:t>
            </w:r>
            <w:r>
              <w:rPr>
                <w:rFonts w:asciiTheme="minorEastAsia" w:hAnsiTheme="minorEastAsia"/>
                <w:sz w:val="22"/>
              </w:rPr>
              <w:t>5</w:t>
            </w:r>
            <w:r>
              <w:rPr>
                <w:rFonts w:hint="eastAsia" w:asciiTheme="minorEastAsia" w:hAnsiTheme="minorEastAsia"/>
                <w:sz w:val="22"/>
              </w:rPr>
              <w:t>分，未满足一项扣1分，扣分至0分止。</w:t>
            </w:r>
          </w:p>
        </w:tc>
        <w:tc>
          <w:tcPr>
            <w:tcW w:w="1419" w:type="dxa"/>
            <w:vAlign w:val="center"/>
          </w:tcPr>
          <w:p>
            <w:pPr>
              <w:snapToGrid w:val="0"/>
              <w:jc w:val="center"/>
              <w:rPr>
                <w:rFonts w:asciiTheme="minorEastAsia" w:hAnsiTheme="minorEastAsia"/>
                <w:sz w:val="22"/>
              </w:rPr>
            </w:pPr>
            <w:r>
              <w:rPr>
                <w:rFonts w:asciiTheme="minorEastAsia" w:hAnsiTheme="minorEastAsia"/>
                <w:sz w:val="22"/>
              </w:rPr>
              <w:t>0-5</w:t>
            </w:r>
            <w:r>
              <w:rPr>
                <w:rFonts w:hint="eastAsia" w:asciiTheme="minorEastAsia" w:hAnsiTheme="minorEastAsia"/>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263" w:type="dxa"/>
            <w:vMerge w:val="continue"/>
            <w:vAlign w:val="center"/>
          </w:tcPr>
          <w:p>
            <w:pPr>
              <w:snapToGrid w:val="0"/>
              <w:jc w:val="center"/>
              <w:rPr>
                <w:rFonts w:asciiTheme="minorEastAsia" w:hAnsiTheme="minorEastAsia"/>
                <w:snapToGrid w:val="0"/>
                <w:kern w:val="0"/>
                <w:sz w:val="22"/>
              </w:rPr>
            </w:pPr>
          </w:p>
        </w:tc>
        <w:tc>
          <w:tcPr>
            <w:tcW w:w="6241" w:type="dxa"/>
            <w:vAlign w:val="center"/>
          </w:tcPr>
          <w:p>
            <w:pPr>
              <w:rPr>
                <w:rFonts w:asciiTheme="minorEastAsia" w:hAnsiTheme="minorEastAsia"/>
                <w:sz w:val="22"/>
              </w:rPr>
            </w:pPr>
            <w:r>
              <w:rPr>
                <w:rFonts w:hint="eastAsia" w:asciiTheme="minorEastAsia" w:hAnsiTheme="minorEastAsia"/>
                <w:sz w:val="22"/>
              </w:rPr>
              <w:t>云部署方式，提供云部署方式得1分，不采用云部署方式得0分。</w:t>
            </w:r>
          </w:p>
        </w:tc>
        <w:tc>
          <w:tcPr>
            <w:tcW w:w="1419" w:type="dxa"/>
            <w:vAlign w:val="center"/>
          </w:tcPr>
          <w:p>
            <w:pPr>
              <w:snapToGrid w:val="0"/>
              <w:jc w:val="center"/>
              <w:rPr>
                <w:rFonts w:asciiTheme="minorEastAsia" w:hAnsiTheme="minorEastAsia"/>
                <w:sz w:val="22"/>
              </w:rPr>
            </w:pPr>
            <w:r>
              <w:rPr>
                <w:rFonts w:hint="eastAsia" w:asciiTheme="minorEastAsia" w:hAnsiTheme="minorEastAsia"/>
                <w:sz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263" w:type="dxa"/>
            <w:vMerge w:val="continue"/>
            <w:vAlign w:val="center"/>
          </w:tcPr>
          <w:p>
            <w:pPr>
              <w:snapToGrid w:val="0"/>
              <w:jc w:val="center"/>
              <w:rPr>
                <w:rFonts w:asciiTheme="minorEastAsia" w:hAnsiTheme="minorEastAsia"/>
                <w:sz w:val="22"/>
              </w:rPr>
            </w:pPr>
          </w:p>
        </w:tc>
        <w:tc>
          <w:tcPr>
            <w:tcW w:w="6241" w:type="dxa"/>
            <w:vAlign w:val="center"/>
          </w:tcPr>
          <w:p>
            <w:pPr>
              <w:rPr>
                <w:rFonts w:asciiTheme="minorEastAsia" w:hAnsiTheme="minorEastAsia"/>
                <w:sz w:val="22"/>
              </w:rPr>
            </w:pPr>
            <w:r>
              <w:rPr>
                <w:rFonts w:hint="eastAsia" w:asciiTheme="minorEastAsia" w:hAnsiTheme="minorEastAsia"/>
                <w:sz w:val="22"/>
              </w:rPr>
              <w:t>BIM模型网站、移动端展示对硬件设备没有特殊要求，可以在移动端和网站在线查看，得2分；项目实施数据与在线B</w:t>
            </w:r>
            <w:r>
              <w:rPr>
                <w:rFonts w:asciiTheme="minorEastAsia" w:hAnsiTheme="minorEastAsia"/>
                <w:sz w:val="22"/>
              </w:rPr>
              <w:t>IM</w:t>
            </w:r>
            <w:r>
              <w:rPr>
                <w:rFonts w:hint="eastAsia" w:asciiTheme="minorEastAsia" w:hAnsiTheme="minorEastAsia"/>
                <w:sz w:val="22"/>
              </w:rPr>
              <w:t>实时联动，投标方案中详细说明得</w:t>
            </w:r>
            <w:r>
              <w:rPr>
                <w:rFonts w:asciiTheme="minorEastAsia" w:hAnsiTheme="minorEastAsia"/>
                <w:sz w:val="22"/>
              </w:rPr>
              <w:t>3</w:t>
            </w:r>
            <w:r>
              <w:rPr>
                <w:rFonts w:hint="eastAsia" w:asciiTheme="minorEastAsia" w:hAnsiTheme="minorEastAsia"/>
                <w:sz w:val="22"/>
              </w:rPr>
              <w:t>分；否则得0分。</w:t>
            </w:r>
          </w:p>
        </w:tc>
        <w:tc>
          <w:tcPr>
            <w:tcW w:w="1419" w:type="dxa"/>
            <w:vAlign w:val="center"/>
          </w:tcPr>
          <w:p>
            <w:pPr>
              <w:snapToGrid w:val="0"/>
              <w:jc w:val="center"/>
              <w:rPr>
                <w:rFonts w:asciiTheme="minorEastAsia" w:hAnsiTheme="minorEastAsia"/>
                <w:sz w:val="22"/>
              </w:rPr>
            </w:pPr>
            <w:r>
              <w:rPr>
                <w:rFonts w:asciiTheme="minorEastAsia" w:hAnsiTheme="minorEastAsia"/>
                <w:sz w:val="22"/>
              </w:rPr>
              <w:t>0-5</w:t>
            </w:r>
            <w:r>
              <w:rPr>
                <w:rFonts w:hint="eastAsia" w:asciiTheme="minorEastAsia" w:hAnsiTheme="minorEastAsia"/>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263" w:type="dxa"/>
            <w:vMerge w:val="continue"/>
            <w:vAlign w:val="center"/>
          </w:tcPr>
          <w:p>
            <w:pPr>
              <w:snapToGrid w:val="0"/>
              <w:jc w:val="center"/>
              <w:rPr>
                <w:rFonts w:asciiTheme="minorEastAsia" w:hAnsiTheme="minorEastAsia"/>
                <w:sz w:val="22"/>
              </w:rPr>
            </w:pPr>
          </w:p>
        </w:tc>
        <w:tc>
          <w:tcPr>
            <w:tcW w:w="6241" w:type="dxa"/>
            <w:vAlign w:val="center"/>
          </w:tcPr>
          <w:p>
            <w:pPr>
              <w:rPr>
                <w:rFonts w:asciiTheme="minorEastAsia" w:hAnsiTheme="minorEastAsia"/>
                <w:sz w:val="22"/>
              </w:rPr>
            </w:pPr>
            <w:r>
              <w:rPr>
                <w:rFonts w:hint="eastAsia" w:asciiTheme="minorEastAsia" w:hAnsiTheme="minorEastAsia"/>
                <w:sz w:val="22"/>
              </w:rPr>
              <w:t>保障进度数据真实性，有详细解说并附方案得5分，有详细说明得</w:t>
            </w:r>
            <w:r>
              <w:rPr>
                <w:rFonts w:asciiTheme="minorEastAsia" w:hAnsiTheme="minorEastAsia"/>
                <w:sz w:val="22"/>
              </w:rPr>
              <w:t>3</w:t>
            </w:r>
            <w:r>
              <w:rPr>
                <w:rFonts w:hint="eastAsia" w:asciiTheme="minorEastAsia" w:hAnsiTheme="minorEastAsia"/>
                <w:sz w:val="22"/>
              </w:rPr>
              <w:t>分，满足标书要求得1分，未列举得0分。</w:t>
            </w:r>
          </w:p>
        </w:tc>
        <w:tc>
          <w:tcPr>
            <w:tcW w:w="1419" w:type="dxa"/>
            <w:vAlign w:val="center"/>
          </w:tcPr>
          <w:p>
            <w:pPr>
              <w:snapToGrid w:val="0"/>
              <w:jc w:val="center"/>
              <w:rPr>
                <w:rFonts w:asciiTheme="minorEastAsia" w:hAnsiTheme="minorEastAsia"/>
                <w:sz w:val="22"/>
              </w:rPr>
            </w:pPr>
            <w:r>
              <w:rPr>
                <w:rFonts w:hint="eastAsia" w:asciiTheme="minorEastAsia" w:hAnsiTheme="minorEastAsia"/>
                <w:sz w:val="22"/>
              </w:rPr>
              <w:t>0</w:t>
            </w:r>
            <w:r>
              <w:rPr>
                <w:rFonts w:asciiTheme="minorEastAsia" w:hAnsiTheme="minorEastAsia"/>
                <w:sz w:val="22"/>
              </w:rPr>
              <w:t>-5</w:t>
            </w:r>
            <w:r>
              <w:rPr>
                <w:rFonts w:hint="eastAsia" w:asciiTheme="minorEastAsia" w:hAnsiTheme="minorEastAsia"/>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263" w:type="dxa"/>
            <w:vMerge w:val="continue"/>
            <w:vAlign w:val="center"/>
          </w:tcPr>
          <w:p>
            <w:pPr>
              <w:snapToGrid w:val="0"/>
              <w:jc w:val="center"/>
              <w:rPr>
                <w:rFonts w:asciiTheme="minorEastAsia" w:hAnsiTheme="minorEastAsia"/>
                <w:sz w:val="22"/>
              </w:rPr>
            </w:pPr>
          </w:p>
        </w:tc>
        <w:tc>
          <w:tcPr>
            <w:tcW w:w="6241" w:type="dxa"/>
            <w:vAlign w:val="center"/>
          </w:tcPr>
          <w:p>
            <w:pPr>
              <w:rPr>
                <w:rFonts w:asciiTheme="minorEastAsia" w:hAnsiTheme="minorEastAsia"/>
                <w:sz w:val="22"/>
              </w:rPr>
            </w:pPr>
            <w:r>
              <w:rPr>
                <w:rFonts w:hint="eastAsia" w:asciiTheme="minorEastAsia" w:hAnsiTheme="minorEastAsia"/>
                <w:sz w:val="22"/>
              </w:rPr>
              <w:t>提供日报、周报、月报、质量、安全巡检报告等反映项目现场施工概况，详细说明得</w:t>
            </w:r>
            <w:r>
              <w:rPr>
                <w:rFonts w:asciiTheme="minorEastAsia" w:hAnsiTheme="minorEastAsia"/>
                <w:sz w:val="22"/>
              </w:rPr>
              <w:t>5</w:t>
            </w:r>
            <w:r>
              <w:rPr>
                <w:rFonts w:hint="eastAsia" w:asciiTheme="minorEastAsia" w:hAnsiTheme="minorEastAsia"/>
                <w:sz w:val="22"/>
              </w:rPr>
              <w:t>分，未满足一项扣1分</w:t>
            </w:r>
          </w:p>
        </w:tc>
        <w:tc>
          <w:tcPr>
            <w:tcW w:w="1419" w:type="dxa"/>
            <w:vAlign w:val="center"/>
          </w:tcPr>
          <w:p>
            <w:pPr>
              <w:snapToGrid w:val="0"/>
              <w:jc w:val="center"/>
              <w:rPr>
                <w:rFonts w:asciiTheme="minorEastAsia" w:hAnsiTheme="minorEastAsia"/>
                <w:sz w:val="22"/>
              </w:rPr>
            </w:pPr>
            <w:r>
              <w:rPr>
                <w:rFonts w:hint="eastAsia" w:asciiTheme="minorEastAsia" w:hAnsiTheme="minorEastAsia"/>
                <w:sz w:val="22"/>
              </w:rPr>
              <w:t>0</w:t>
            </w:r>
            <w:r>
              <w:rPr>
                <w:rFonts w:asciiTheme="minorEastAsia" w:hAnsiTheme="minorEastAsia"/>
                <w:sz w:val="22"/>
              </w:rPr>
              <w:t>-5</w:t>
            </w:r>
            <w:r>
              <w:rPr>
                <w:rFonts w:hint="eastAsia" w:asciiTheme="minorEastAsia" w:hAnsiTheme="minorEastAsia"/>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263" w:type="dxa"/>
            <w:vMerge w:val="continue"/>
            <w:vAlign w:val="center"/>
          </w:tcPr>
          <w:p>
            <w:pPr>
              <w:snapToGrid w:val="0"/>
              <w:jc w:val="center"/>
              <w:rPr>
                <w:rFonts w:asciiTheme="minorEastAsia" w:hAnsiTheme="minorEastAsia"/>
                <w:sz w:val="22"/>
              </w:rPr>
            </w:pPr>
          </w:p>
        </w:tc>
        <w:tc>
          <w:tcPr>
            <w:tcW w:w="6241" w:type="dxa"/>
            <w:vAlign w:val="center"/>
          </w:tcPr>
          <w:p>
            <w:pPr>
              <w:rPr>
                <w:rFonts w:asciiTheme="minorEastAsia" w:hAnsiTheme="minorEastAsia"/>
                <w:sz w:val="22"/>
              </w:rPr>
            </w:pPr>
            <w:r>
              <w:rPr>
                <w:rFonts w:hint="eastAsia" w:asciiTheme="minorEastAsia" w:hAnsiTheme="minorEastAsia"/>
                <w:sz w:val="22"/>
              </w:rPr>
              <w:t>根据标书集成接口内容，与现有微信企业号、门户系统、基建项目管理平台完成集成接口开发，实现完全无缝衔接得5分，附完整技术解决方案得3分，提及能做到得1分，未列举不得分。</w:t>
            </w:r>
          </w:p>
        </w:tc>
        <w:tc>
          <w:tcPr>
            <w:tcW w:w="1419" w:type="dxa"/>
            <w:vAlign w:val="center"/>
          </w:tcPr>
          <w:p>
            <w:pPr>
              <w:snapToGrid w:val="0"/>
              <w:jc w:val="center"/>
              <w:rPr>
                <w:rFonts w:asciiTheme="minorEastAsia" w:hAnsiTheme="minorEastAsia"/>
                <w:sz w:val="22"/>
              </w:rPr>
            </w:pPr>
            <w:r>
              <w:rPr>
                <w:rFonts w:hint="eastAsia" w:asciiTheme="minorEastAsia" w:hAnsiTheme="minorEastAsia"/>
                <w:sz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263" w:type="dxa"/>
            <w:vMerge w:val="restart"/>
            <w:vAlign w:val="center"/>
          </w:tcPr>
          <w:p>
            <w:pPr>
              <w:jc w:val="center"/>
              <w:rPr>
                <w:rFonts w:asciiTheme="minorEastAsia" w:hAnsiTheme="minorEastAsia"/>
                <w:snapToGrid w:val="0"/>
                <w:kern w:val="0"/>
                <w:sz w:val="22"/>
              </w:rPr>
            </w:pPr>
            <w:r>
              <w:rPr>
                <w:rFonts w:hint="eastAsia" w:asciiTheme="minorEastAsia" w:hAnsiTheme="minorEastAsia"/>
                <w:sz w:val="22"/>
              </w:rPr>
              <w:t>项目实施团队</w:t>
            </w:r>
          </w:p>
        </w:tc>
        <w:tc>
          <w:tcPr>
            <w:tcW w:w="6241" w:type="dxa"/>
            <w:vAlign w:val="center"/>
          </w:tcPr>
          <w:p>
            <w:pPr>
              <w:rPr>
                <w:rFonts w:asciiTheme="minorEastAsia" w:hAnsiTheme="minorEastAsia"/>
                <w:sz w:val="22"/>
                <w:highlight w:val="yellow"/>
              </w:rPr>
            </w:pPr>
            <w:r>
              <w:rPr>
                <w:rStyle w:val="1853"/>
                <w:rFonts w:hint="eastAsia" w:asciiTheme="minorEastAsia" w:hAnsiTheme="minorEastAsia"/>
                <w:sz w:val="22"/>
              </w:rPr>
              <w:t>项目经理：具备高级工程师及以上职称得2分，实施过机场建设项目B</w:t>
            </w:r>
            <w:r>
              <w:rPr>
                <w:rStyle w:val="1853"/>
                <w:rFonts w:asciiTheme="minorEastAsia" w:hAnsiTheme="minorEastAsia"/>
                <w:sz w:val="22"/>
              </w:rPr>
              <w:t>IM</w:t>
            </w:r>
            <w:r>
              <w:rPr>
                <w:rStyle w:val="1853"/>
                <w:rFonts w:hint="eastAsia" w:asciiTheme="minorEastAsia" w:hAnsiTheme="minorEastAsia"/>
                <w:sz w:val="22"/>
              </w:rPr>
              <w:t>咨询得2分，否则不得分</w:t>
            </w:r>
          </w:p>
        </w:tc>
        <w:tc>
          <w:tcPr>
            <w:tcW w:w="1419" w:type="dxa"/>
            <w:vAlign w:val="center"/>
          </w:tcPr>
          <w:p>
            <w:pPr>
              <w:snapToGrid w:val="0"/>
              <w:jc w:val="center"/>
              <w:rPr>
                <w:rFonts w:asciiTheme="minorEastAsia" w:hAnsiTheme="minorEastAsia"/>
                <w:sz w:val="22"/>
              </w:rPr>
            </w:pPr>
            <w:r>
              <w:rPr>
                <w:rFonts w:hint="eastAsia" w:asciiTheme="minorEastAsia" w:hAnsiTheme="minorEastAsia"/>
                <w:sz w:val="2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trPr>
        <w:tc>
          <w:tcPr>
            <w:tcW w:w="2263" w:type="dxa"/>
            <w:vMerge w:val="continue"/>
            <w:vAlign w:val="center"/>
          </w:tcPr>
          <w:p>
            <w:pPr>
              <w:jc w:val="center"/>
              <w:rPr>
                <w:rFonts w:asciiTheme="minorEastAsia" w:hAnsiTheme="minorEastAsia"/>
                <w:snapToGrid w:val="0"/>
                <w:kern w:val="0"/>
                <w:sz w:val="22"/>
              </w:rPr>
            </w:pPr>
          </w:p>
        </w:tc>
        <w:tc>
          <w:tcPr>
            <w:tcW w:w="6241" w:type="dxa"/>
            <w:vAlign w:val="center"/>
          </w:tcPr>
          <w:p>
            <w:pPr>
              <w:rPr>
                <w:rFonts w:asciiTheme="minorEastAsia" w:hAnsiTheme="minorEastAsia"/>
                <w:sz w:val="22"/>
              </w:rPr>
            </w:pPr>
            <w:r>
              <w:rPr>
                <w:rFonts w:hint="eastAsia" w:asciiTheme="minorEastAsia" w:hAnsiTheme="minorEastAsia"/>
                <w:sz w:val="22"/>
              </w:rPr>
              <w:t>项目服务团队：按照服务响应时间及服务方案评分</w:t>
            </w:r>
          </w:p>
        </w:tc>
        <w:tc>
          <w:tcPr>
            <w:tcW w:w="1419" w:type="dxa"/>
            <w:vAlign w:val="center"/>
          </w:tcPr>
          <w:p>
            <w:pPr>
              <w:snapToGrid w:val="0"/>
              <w:jc w:val="center"/>
              <w:rPr>
                <w:rFonts w:asciiTheme="minorEastAsia" w:hAnsiTheme="minorEastAsia"/>
                <w:sz w:val="22"/>
              </w:rPr>
            </w:pPr>
            <w:r>
              <w:rPr>
                <w:rFonts w:hint="eastAsia" w:asciiTheme="minorEastAsia" w:hAnsiTheme="minorEastAsia"/>
                <w:sz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trPr>
        <w:tc>
          <w:tcPr>
            <w:tcW w:w="2263" w:type="dxa"/>
            <w:vAlign w:val="center"/>
          </w:tcPr>
          <w:p>
            <w:pPr>
              <w:snapToGrid w:val="0"/>
              <w:jc w:val="center"/>
              <w:rPr>
                <w:rFonts w:asciiTheme="minorEastAsia" w:hAnsiTheme="minorEastAsia"/>
                <w:sz w:val="22"/>
              </w:rPr>
            </w:pPr>
            <w:r>
              <w:rPr>
                <w:rFonts w:hint="eastAsia" w:asciiTheme="minorEastAsia" w:hAnsiTheme="minorEastAsia"/>
                <w:sz w:val="22"/>
              </w:rPr>
              <w:t>工程专业能力</w:t>
            </w:r>
          </w:p>
        </w:tc>
        <w:tc>
          <w:tcPr>
            <w:tcW w:w="6241" w:type="dxa"/>
            <w:vAlign w:val="center"/>
          </w:tcPr>
          <w:p>
            <w:pPr>
              <w:snapToGrid w:val="0"/>
              <w:rPr>
                <w:rFonts w:asciiTheme="minorEastAsia" w:hAnsiTheme="minorEastAsia"/>
                <w:sz w:val="22"/>
              </w:rPr>
            </w:pPr>
            <w:r>
              <w:rPr>
                <w:rFonts w:hint="eastAsia" w:asciiTheme="minorEastAsia" w:hAnsiTheme="minorEastAsia"/>
                <w:sz w:val="22"/>
              </w:rPr>
              <w:t>开发方案完整且公司具有5人以上工程技术人员（提供社保证明）得2分，否则不得分</w:t>
            </w:r>
          </w:p>
        </w:tc>
        <w:tc>
          <w:tcPr>
            <w:tcW w:w="1419" w:type="dxa"/>
            <w:vAlign w:val="center"/>
          </w:tcPr>
          <w:p>
            <w:pPr>
              <w:snapToGrid w:val="0"/>
              <w:jc w:val="center"/>
              <w:rPr>
                <w:rFonts w:asciiTheme="minorEastAsia" w:hAnsiTheme="minorEastAsia"/>
                <w:bCs/>
                <w:sz w:val="22"/>
              </w:rPr>
            </w:pPr>
            <w:r>
              <w:rPr>
                <w:rFonts w:asciiTheme="minorEastAsia" w:hAnsiTheme="minorEastAsia"/>
                <w:bCs/>
                <w:sz w:val="22"/>
              </w:rPr>
              <w:t>0-</w:t>
            </w:r>
            <w:r>
              <w:rPr>
                <w:rFonts w:hint="eastAsia" w:asciiTheme="minorEastAsia" w:hAnsiTheme="minorEastAsia"/>
                <w:bCs/>
                <w:sz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trPr>
        <w:tc>
          <w:tcPr>
            <w:tcW w:w="2263" w:type="dxa"/>
            <w:vAlign w:val="center"/>
          </w:tcPr>
          <w:p>
            <w:pPr>
              <w:jc w:val="center"/>
              <w:rPr>
                <w:rFonts w:asciiTheme="minorEastAsia" w:hAnsiTheme="minorEastAsia"/>
                <w:sz w:val="22"/>
              </w:rPr>
            </w:pPr>
            <w:r>
              <w:rPr>
                <w:rStyle w:val="1853"/>
                <w:rFonts w:hint="eastAsia" w:asciiTheme="minorEastAsia" w:hAnsiTheme="minorEastAsia"/>
                <w:sz w:val="22"/>
              </w:rPr>
              <w:t>拥有独立知识产权</w:t>
            </w:r>
          </w:p>
        </w:tc>
        <w:tc>
          <w:tcPr>
            <w:tcW w:w="6241" w:type="dxa"/>
            <w:vAlign w:val="center"/>
          </w:tcPr>
          <w:p>
            <w:pPr>
              <w:snapToGrid w:val="0"/>
              <w:rPr>
                <w:rFonts w:asciiTheme="minorEastAsia" w:hAnsiTheme="minorEastAsia"/>
                <w:sz w:val="22"/>
              </w:rPr>
            </w:pPr>
            <w:r>
              <w:rPr>
                <w:rStyle w:val="1853"/>
                <w:rFonts w:hint="eastAsia" w:asciiTheme="minorEastAsia" w:hAnsiTheme="minorEastAsia"/>
                <w:sz w:val="22"/>
              </w:rPr>
              <w:t>有专利或软件著作权证书得2分，否则不得分</w:t>
            </w:r>
          </w:p>
        </w:tc>
        <w:tc>
          <w:tcPr>
            <w:tcW w:w="1419" w:type="dxa"/>
            <w:vAlign w:val="center"/>
          </w:tcPr>
          <w:p>
            <w:pPr>
              <w:snapToGrid w:val="0"/>
              <w:jc w:val="center"/>
              <w:rPr>
                <w:rFonts w:asciiTheme="minorEastAsia" w:hAnsiTheme="minorEastAsia"/>
                <w:sz w:val="22"/>
              </w:rPr>
            </w:pPr>
            <w:r>
              <w:rPr>
                <w:rFonts w:hint="eastAsia" w:asciiTheme="minorEastAsia" w:hAnsiTheme="minorEastAsia"/>
                <w:sz w:val="22"/>
              </w:rPr>
              <w:t>0</w:t>
            </w:r>
            <w:r>
              <w:rPr>
                <w:rFonts w:asciiTheme="minorEastAsia" w:hAnsiTheme="minorEastAsia"/>
                <w:sz w:val="22"/>
              </w:rPr>
              <w:t>-2</w:t>
            </w:r>
            <w:r>
              <w:rPr>
                <w:rFonts w:hint="eastAsia" w:asciiTheme="minorEastAsia" w:hAnsiTheme="minorEastAsia"/>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263" w:type="dxa"/>
            <w:vAlign w:val="center"/>
          </w:tcPr>
          <w:p>
            <w:pPr>
              <w:jc w:val="center"/>
              <w:rPr>
                <w:rFonts w:asciiTheme="minorEastAsia" w:hAnsiTheme="minorEastAsia"/>
                <w:sz w:val="22"/>
              </w:rPr>
            </w:pPr>
            <w:r>
              <w:rPr>
                <w:rStyle w:val="1853"/>
                <w:rFonts w:hint="eastAsia" w:asciiTheme="minorEastAsia" w:hAnsiTheme="minorEastAsia"/>
                <w:sz w:val="22"/>
              </w:rPr>
              <w:t>实施过相关典型案例</w:t>
            </w:r>
          </w:p>
        </w:tc>
        <w:tc>
          <w:tcPr>
            <w:tcW w:w="6241" w:type="dxa"/>
            <w:shd w:val="clear" w:color="auto" w:fill="FFFF00"/>
            <w:vAlign w:val="center"/>
          </w:tcPr>
          <w:p>
            <w:pPr>
              <w:snapToGrid w:val="0"/>
              <w:rPr>
                <w:rStyle w:val="1853"/>
                <w:rFonts w:asciiTheme="minorEastAsia" w:hAnsiTheme="minorEastAsia"/>
                <w:sz w:val="22"/>
              </w:rPr>
            </w:pPr>
            <w:r>
              <w:rPr>
                <w:rStyle w:val="1853"/>
                <w:rFonts w:hint="eastAsia" w:asciiTheme="minorEastAsia" w:hAnsiTheme="minorEastAsia"/>
                <w:sz w:val="22"/>
              </w:rPr>
              <w:t>有政府工程、机场、公共事业行业工程项目管理经验（投资额大于1亿元），每增加一个相关案例得1分，最高不超过</w:t>
            </w:r>
            <w:r>
              <w:rPr>
                <w:rStyle w:val="1853"/>
                <w:rFonts w:asciiTheme="minorEastAsia" w:hAnsiTheme="minorEastAsia"/>
                <w:sz w:val="22"/>
              </w:rPr>
              <w:t>2</w:t>
            </w:r>
            <w:r>
              <w:rPr>
                <w:rStyle w:val="1853"/>
                <w:rFonts w:hint="eastAsia" w:asciiTheme="minorEastAsia" w:hAnsiTheme="minorEastAsia"/>
                <w:sz w:val="22"/>
              </w:rPr>
              <w:t>分，没有案例为0分</w:t>
            </w:r>
          </w:p>
          <w:p>
            <w:pPr>
              <w:snapToGrid w:val="0"/>
              <w:rPr>
                <w:rFonts w:asciiTheme="minorEastAsia" w:hAnsiTheme="minorEastAsia"/>
                <w:sz w:val="22"/>
              </w:rPr>
            </w:pPr>
            <w:r>
              <w:rPr>
                <w:rStyle w:val="1853"/>
                <w:rFonts w:hint="eastAsia" w:asciiTheme="minorEastAsia" w:hAnsiTheme="minorEastAsia"/>
                <w:sz w:val="22"/>
              </w:rPr>
              <w:t>（需提供合同复印件或用户证明材料，否则不得分</w:t>
            </w:r>
            <w:r>
              <w:rPr>
                <w:rStyle w:val="1853"/>
                <w:rFonts w:asciiTheme="minorEastAsia" w:hAnsiTheme="minorEastAsia"/>
                <w:sz w:val="22"/>
              </w:rPr>
              <w:t>）</w:t>
            </w:r>
          </w:p>
        </w:tc>
        <w:tc>
          <w:tcPr>
            <w:tcW w:w="1419" w:type="dxa"/>
            <w:vAlign w:val="center"/>
          </w:tcPr>
          <w:p>
            <w:pPr>
              <w:snapToGrid w:val="0"/>
              <w:jc w:val="center"/>
              <w:rPr>
                <w:rFonts w:asciiTheme="minorEastAsia" w:hAnsiTheme="minorEastAsia"/>
                <w:sz w:val="22"/>
              </w:rPr>
            </w:pPr>
            <w:r>
              <w:rPr>
                <w:rFonts w:hint="eastAsia" w:asciiTheme="minorEastAsia" w:hAnsiTheme="minorEastAsia"/>
                <w:sz w:val="22"/>
              </w:rPr>
              <w:t>0</w:t>
            </w:r>
            <w:r>
              <w:rPr>
                <w:rFonts w:asciiTheme="minorEastAsia" w:hAnsiTheme="minorEastAsia"/>
                <w:sz w:val="22"/>
              </w:rPr>
              <w:t>-2</w:t>
            </w:r>
            <w:r>
              <w:rPr>
                <w:rFonts w:hint="eastAsia" w:asciiTheme="minorEastAsia" w:hAnsiTheme="minorEastAsia"/>
                <w:sz w:val="22"/>
              </w:rPr>
              <w:t>分</w:t>
            </w:r>
          </w:p>
        </w:tc>
      </w:tr>
    </w:tbl>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ascii="Segoe UI Emoji" w:hAnsi="Segoe UI Emoji" w:cs="Segoe UI Emoji"/>
          </w:rPr>
          <w:id w:val="-1084219536"/>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b/>
          <w:sz w:val="22"/>
        </w:rPr>
        <w:t xml:space="preserve"> </w:t>
      </w:r>
      <w:r>
        <w:rPr>
          <w:rFonts w:ascii="宋体" w:hAnsi="宋体" w:cs="宋体"/>
          <w:b/>
          <w:sz w:val="22"/>
        </w:rPr>
        <w:t>60分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20" w:firstLineChars="200"/>
        <w:jc w:val="left"/>
        <w:rPr>
          <w:rFonts w:ascii="宋体" w:hAnsi="宋体" w:cs="宋体"/>
          <w:b/>
          <w:sz w:val="22"/>
        </w:rPr>
      </w:pPr>
      <w:sdt>
        <w:sdtPr>
          <w:rPr>
            <w:rFonts w:ascii="Segoe UI Emoji" w:hAnsi="Segoe UI Emoji" w:cs="Segoe UI Emoji"/>
          </w:rPr>
          <w:id w:val="241145494"/>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a.投标评标价等于评标基准价时，得满分60分；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9"/>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投标文件的商务标评分不足30分的，计为30分。</w:t>
      </w:r>
    </w:p>
    <w:p>
      <w:pPr>
        <w:adjustRightInd w:val="0"/>
        <w:snapToGrid w:val="0"/>
        <w:spacing w:line="360" w:lineRule="exact"/>
        <w:ind w:firstLine="440" w:firstLineChars="200"/>
        <w:jc w:val="left"/>
        <w:rPr>
          <w:rFonts w:ascii="宋体" w:hAnsi="宋体" w:cs="宋体"/>
          <w:sz w:val="22"/>
        </w:rPr>
      </w:pP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32" w:name="_Toc19698499"/>
      <w:r>
        <w:rPr>
          <w:rFonts w:hint="eastAsia"/>
          <w:b w:val="0"/>
          <w:bCs w:val="0"/>
        </w:rPr>
        <w:t>第四章</w:t>
      </w:r>
      <w:r>
        <w:rPr>
          <w:b w:val="0"/>
          <w:bCs w:val="0"/>
        </w:rPr>
        <w:t xml:space="preserve">  </w:t>
      </w:r>
      <w:r>
        <w:rPr>
          <w:rFonts w:hint="eastAsia"/>
          <w:b w:val="0"/>
          <w:bCs w:val="0"/>
        </w:rPr>
        <w:t>合同条款及格式</w:t>
      </w:r>
      <w:bookmarkEnd w:id="32"/>
    </w:p>
    <w:p>
      <w:pPr>
        <w:spacing w:line="360" w:lineRule="auto"/>
        <w:jc w:val="center"/>
        <w:rPr>
          <w:rFonts w:ascii="宋体" w:hAnsi="宋体" w:cs="宋体"/>
          <w:b/>
          <w:sz w:val="22"/>
        </w:rPr>
      </w:pPr>
    </w:p>
    <w:p>
      <w:pPr>
        <w:pStyle w:val="41"/>
        <w:spacing w:line="360" w:lineRule="exact"/>
        <w:ind w:right="200" w:firstLine="420"/>
        <w:jc w:val="center"/>
        <w:rPr>
          <w:rFonts w:hAnsi="宋体" w:cs="Calibri"/>
          <w:bCs/>
          <w:sz w:val="22"/>
          <w:szCs w:val="22"/>
        </w:rPr>
      </w:pPr>
      <w:r>
        <w:rPr>
          <w:rFonts w:hint="eastAsia" w:hAnsi="宋体"/>
          <w:b/>
          <w:sz w:val="22"/>
          <w:szCs w:val="22"/>
        </w:rPr>
        <w:t>智能工程建设服务合同</w:t>
      </w:r>
    </w:p>
    <w:p>
      <w:pPr>
        <w:adjustRightInd w:val="0"/>
        <w:snapToGrid w:val="0"/>
        <w:spacing w:line="360" w:lineRule="exact"/>
        <w:ind w:firstLine="452"/>
        <w:jc w:val="left"/>
        <w:rPr>
          <w:rFonts w:ascii="宋体" w:hAnsi="宋体"/>
          <w:b/>
          <w:sz w:val="22"/>
          <w:u w:val="single"/>
        </w:rPr>
      </w:pPr>
      <w:r>
        <w:rPr>
          <w:rFonts w:hint="eastAsia" w:ascii="宋体" w:hAnsi="宋体"/>
          <w:b/>
          <w:sz w:val="22"/>
        </w:rPr>
        <w:t>甲方：</w:t>
      </w:r>
      <w:r>
        <w:rPr>
          <w:rFonts w:hint="eastAsia" w:ascii="宋体" w:hAnsi="宋体"/>
          <w:b/>
          <w:sz w:val="22"/>
          <w:u w:val="single"/>
        </w:rPr>
        <w:t>杭州萧山国际机场有限公司</w:t>
      </w:r>
    </w:p>
    <w:p>
      <w:pPr>
        <w:adjustRightInd w:val="0"/>
        <w:snapToGrid w:val="0"/>
        <w:spacing w:line="360" w:lineRule="exact"/>
        <w:ind w:firstLine="452"/>
        <w:jc w:val="left"/>
        <w:rPr>
          <w:rFonts w:ascii="宋体" w:hAnsi="宋体"/>
          <w:b/>
          <w:sz w:val="22"/>
        </w:rPr>
      </w:pPr>
      <w:r>
        <w:rPr>
          <w:rFonts w:hint="eastAsia" w:ascii="宋体" w:hAnsi="宋体"/>
          <w:b/>
          <w:sz w:val="22"/>
        </w:rPr>
        <w:t>住所地：</w:t>
      </w:r>
      <w:r>
        <w:rPr>
          <w:rFonts w:hint="eastAsia" w:ascii="宋体" w:hAnsi="宋体"/>
          <w:b/>
          <w:sz w:val="22"/>
          <w:u w:val="single"/>
        </w:rPr>
        <w:t xml:space="preserve">杭州萧山国际机场内    </w:t>
      </w:r>
    </w:p>
    <w:p>
      <w:pPr>
        <w:adjustRightInd w:val="0"/>
        <w:snapToGrid w:val="0"/>
        <w:spacing w:line="360" w:lineRule="exact"/>
        <w:ind w:firstLine="452"/>
        <w:jc w:val="left"/>
        <w:rPr>
          <w:rFonts w:ascii="宋体" w:hAnsi="宋体"/>
          <w:b/>
          <w:sz w:val="22"/>
        </w:rPr>
      </w:pPr>
    </w:p>
    <w:p>
      <w:pPr>
        <w:adjustRightInd w:val="0"/>
        <w:snapToGrid w:val="0"/>
        <w:spacing w:line="360" w:lineRule="exact"/>
        <w:ind w:firstLine="452"/>
        <w:jc w:val="left"/>
        <w:rPr>
          <w:rFonts w:ascii="宋体" w:hAnsi="宋体"/>
          <w:b/>
          <w:sz w:val="22"/>
        </w:rPr>
      </w:pPr>
      <w:r>
        <w:rPr>
          <w:rFonts w:hint="eastAsia" w:ascii="宋体" w:hAnsi="宋体"/>
          <w:b/>
          <w:sz w:val="22"/>
        </w:rPr>
        <w:t xml:space="preserve">乙方： </w:t>
      </w:r>
      <w:r>
        <w:rPr>
          <w:rFonts w:ascii="宋体" w:hAnsi="宋体"/>
          <w:b/>
          <w:sz w:val="22"/>
          <w:u w:val="single"/>
        </w:rPr>
        <w:t xml:space="preserve">                       </w:t>
      </w:r>
    </w:p>
    <w:p>
      <w:pPr>
        <w:adjustRightInd w:val="0"/>
        <w:snapToGrid w:val="0"/>
        <w:spacing w:line="360" w:lineRule="exact"/>
        <w:ind w:firstLine="452"/>
        <w:jc w:val="left"/>
        <w:rPr>
          <w:rFonts w:ascii="宋体" w:hAnsi="宋体"/>
          <w:sz w:val="22"/>
          <w:u w:val="single"/>
        </w:rPr>
      </w:pPr>
      <w:r>
        <w:rPr>
          <w:rFonts w:hint="eastAsia" w:ascii="宋体" w:hAnsi="宋体"/>
          <w:b/>
          <w:sz w:val="22"/>
        </w:rPr>
        <w:t>住所地：</w:t>
      </w:r>
      <w:r>
        <w:rPr>
          <w:rFonts w:ascii="宋体" w:hAnsi="宋体"/>
          <w:sz w:val="22"/>
          <w:u w:val="single"/>
        </w:rPr>
        <w:t xml:space="preserve">                      </w:t>
      </w:r>
    </w:p>
    <w:p>
      <w:pPr>
        <w:adjustRightInd w:val="0"/>
        <w:snapToGrid w:val="0"/>
        <w:spacing w:line="360" w:lineRule="exact"/>
        <w:ind w:firstLine="450"/>
        <w:jc w:val="left"/>
        <w:rPr>
          <w:rFonts w:ascii="宋体" w:hAnsi="宋体"/>
          <w:sz w:val="22"/>
        </w:rPr>
      </w:pPr>
    </w:p>
    <w:p>
      <w:pPr>
        <w:adjustRightInd w:val="0"/>
        <w:snapToGrid w:val="0"/>
        <w:spacing w:line="360" w:lineRule="exact"/>
        <w:ind w:firstLine="440" w:firstLineChars="200"/>
        <w:jc w:val="left"/>
        <w:rPr>
          <w:rFonts w:ascii="宋体" w:hAnsi="宋体"/>
          <w:sz w:val="22"/>
        </w:rPr>
      </w:pPr>
      <w:r>
        <w:rPr>
          <w:rFonts w:hint="eastAsia" w:ascii="宋体" w:hAnsi="宋体"/>
          <w:sz w:val="22"/>
        </w:rPr>
        <w:t>甲、乙双方根据《中华人民共和国合同法》等相关法律法规，就相关产品采购事宜，在互利、平等的原则基础上，经协商一致，特签订本合同，以共同遵守。</w:t>
      </w:r>
    </w:p>
    <w:p>
      <w:pPr>
        <w:spacing w:line="360" w:lineRule="exact"/>
        <w:ind w:firstLine="593"/>
        <w:jc w:val="left"/>
        <w:rPr>
          <w:rFonts w:ascii="宋体" w:hAnsi="宋体"/>
          <w:b/>
          <w:bCs/>
          <w:sz w:val="22"/>
        </w:rPr>
      </w:pPr>
      <w:r>
        <w:rPr>
          <w:rFonts w:hint="eastAsia" w:ascii="宋体" w:hAnsi="宋体"/>
          <w:b/>
          <w:bCs/>
          <w:sz w:val="22"/>
        </w:rPr>
        <w:t>一、服务内容、标准和要求</w:t>
      </w:r>
    </w:p>
    <w:tbl>
      <w:tblPr>
        <w:tblStyle w:val="89"/>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972"/>
        <w:gridCol w:w="1327"/>
        <w:gridCol w:w="158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pStyle w:val="496"/>
              <w:spacing w:line="360" w:lineRule="exact"/>
              <w:jc w:val="left"/>
              <w:rPr>
                <w:rFonts w:ascii="宋体" w:hAnsi="宋体"/>
                <w:b/>
                <w:sz w:val="22"/>
              </w:rPr>
            </w:pPr>
            <w:r>
              <w:rPr>
                <w:rFonts w:hint="eastAsia" w:ascii="宋体" w:hAnsi="宋体"/>
                <w:b/>
                <w:sz w:val="22"/>
              </w:rPr>
              <w:t>序号</w:t>
            </w:r>
          </w:p>
        </w:tc>
        <w:tc>
          <w:tcPr>
            <w:tcW w:w="1972" w:type="dxa"/>
            <w:tcBorders>
              <w:top w:val="single" w:color="auto" w:sz="4" w:space="0"/>
              <w:left w:val="single" w:color="auto" w:sz="4" w:space="0"/>
              <w:bottom w:val="single" w:color="auto" w:sz="4" w:space="0"/>
              <w:right w:val="single" w:color="auto" w:sz="4" w:space="0"/>
            </w:tcBorders>
            <w:vAlign w:val="center"/>
          </w:tcPr>
          <w:p>
            <w:pPr>
              <w:pStyle w:val="496"/>
              <w:spacing w:line="360" w:lineRule="exact"/>
              <w:jc w:val="left"/>
              <w:rPr>
                <w:rFonts w:ascii="宋体" w:hAnsi="宋体"/>
                <w:b/>
                <w:sz w:val="22"/>
              </w:rPr>
            </w:pPr>
            <w:r>
              <w:rPr>
                <w:rFonts w:hint="eastAsia" w:ascii="宋体" w:hAnsi="宋体"/>
                <w:b/>
                <w:sz w:val="22"/>
              </w:rPr>
              <w:t>内容</w:t>
            </w:r>
          </w:p>
        </w:tc>
        <w:tc>
          <w:tcPr>
            <w:tcW w:w="1327" w:type="dxa"/>
            <w:tcBorders>
              <w:top w:val="single" w:color="auto" w:sz="4" w:space="0"/>
              <w:left w:val="single" w:color="auto" w:sz="4" w:space="0"/>
              <w:bottom w:val="single" w:color="auto" w:sz="4" w:space="0"/>
              <w:right w:val="single" w:color="auto" w:sz="4" w:space="0"/>
            </w:tcBorders>
            <w:vAlign w:val="center"/>
          </w:tcPr>
          <w:p>
            <w:pPr>
              <w:pStyle w:val="496"/>
              <w:spacing w:line="360" w:lineRule="exact"/>
              <w:jc w:val="left"/>
              <w:rPr>
                <w:rFonts w:ascii="宋体" w:hAnsi="宋体"/>
                <w:b/>
                <w:sz w:val="22"/>
              </w:rPr>
            </w:pPr>
            <w:r>
              <w:rPr>
                <w:rFonts w:hint="eastAsia" w:ascii="宋体" w:hAnsi="宋体"/>
                <w:b/>
                <w:sz w:val="22"/>
              </w:rPr>
              <w:t>服务期</w:t>
            </w:r>
          </w:p>
        </w:tc>
        <w:tc>
          <w:tcPr>
            <w:tcW w:w="1582" w:type="dxa"/>
            <w:tcBorders>
              <w:top w:val="single" w:color="auto" w:sz="4" w:space="0"/>
              <w:left w:val="single" w:color="auto" w:sz="4" w:space="0"/>
              <w:bottom w:val="single" w:color="auto" w:sz="4" w:space="0"/>
              <w:right w:val="single" w:color="auto" w:sz="4" w:space="0"/>
            </w:tcBorders>
            <w:vAlign w:val="center"/>
          </w:tcPr>
          <w:p>
            <w:pPr>
              <w:pStyle w:val="496"/>
              <w:spacing w:line="360" w:lineRule="exact"/>
              <w:jc w:val="center"/>
              <w:rPr>
                <w:rFonts w:ascii="宋体" w:hAnsi="宋体"/>
                <w:b/>
                <w:sz w:val="22"/>
              </w:rPr>
            </w:pPr>
            <w:r>
              <w:rPr>
                <w:rFonts w:hint="eastAsia" w:ascii="宋体" w:hAnsi="宋体"/>
                <w:b/>
                <w:sz w:val="22"/>
              </w:rPr>
              <w:t>单价（元/天，含税）</w:t>
            </w:r>
          </w:p>
        </w:tc>
        <w:tc>
          <w:tcPr>
            <w:tcW w:w="2268" w:type="dxa"/>
            <w:tcBorders>
              <w:top w:val="single" w:color="auto" w:sz="4" w:space="0"/>
              <w:left w:val="single" w:color="auto" w:sz="4" w:space="0"/>
              <w:bottom w:val="single" w:color="auto" w:sz="4" w:space="0"/>
              <w:right w:val="single" w:color="auto" w:sz="4" w:space="0"/>
            </w:tcBorders>
            <w:vAlign w:val="center"/>
          </w:tcPr>
          <w:p>
            <w:pPr>
              <w:pStyle w:val="496"/>
              <w:spacing w:line="360" w:lineRule="exact"/>
              <w:jc w:val="center"/>
              <w:rPr>
                <w:rFonts w:ascii="宋体" w:hAnsi="宋体"/>
                <w:b/>
                <w:sz w:val="22"/>
              </w:rPr>
            </w:pPr>
            <w:r>
              <w:rPr>
                <w:rFonts w:hint="eastAsia" w:ascii="宋体" w:hAnsi="宋体"/>
                <w:b/>
                <w:sz w:val="22"/>
              </w:rPr>
              <w:t>年度合同暂定金额（元/年（以365天为准），含税）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68" w:type="dxa"/>
            <w:tcBorders>
              <w:top w:val="single" w:color="auto" w:sz="4" w:space="0"/>
              <w:left w:val="single" w:color="auto" w:sz="4" w:space="0"/>
              <w:bottom w:val="single" w:color="auto" w:sz="4" w:space="0"/>
              <w:right w:val="single" w:color="auto" w:sz="4" w:space="0"/>
            </w:tcBorders>
            <w:vAlign w:val="center"/>
          </w:tcPr>
          <w:p>
            <w:pPr>
              <w:pStyle w:val="496"/>
              <w:spacing w:line="360" w:lineRule="exact"/>
              <w:ind w:firstLine="440" w:firstLineChars="200"/>
              <w:jc w:val="left"/>
              <w:rPr>
                <w:rFonts w:ascii="宋体" w:hAnsi="宋体"/>
                <w:sz w:val="22"/>
              </w:rPr>
            </w:pPr>
            <w:r>
              <w:rPr>
                <w:rFonts w:hint="eastAsia" w:ascii="宋体" w:hAnsi="宋体"/>
                <w:sz w:val="22"/>
              </w:rPr>
              <w:t>1</w:t>
            </w:r>
          </w:p>
        </w:tc>
        <w:tc>
          <w:tcPr>
            <w:tcW w:w="1972" w:type="dxa"/>
            <w:tcBorders>
              <w:top w:val="single" w:color="auto" w:sz="4" w:space="0"/>
              <w:left w:val="single" w:color="auto" w:sz="4" w:space="0"/>
              <w:bottom w:val="single" w:color="auto" w:sz="4" w:space="0"/>
              <w:right w:val="single" w:color="auto" w:sz="4" w:space="0"/>
            </w:tcBorders>
            <w:vAlign w:val="center"/>
          </w:tcPr>
          <w:p>
            <w:pPr>
              <w:pStyle w:val="496"/>
              <w:spacing w:line="360" w:lineRule="exact"/>
              <w:jc w:val="left"/>
              <w:rPr>
                <w:rFonts w:ascii="宋体" w:hAnsi="宋体"/>
                <w:sz w:val="22"/>
              </w:rPr>
            </w:pPr>
            <w:r>
              <w:rPr>
                <w:rFonts w:hint="eastAsia" w:ascii="宋体" w:hAnsi="宋体"/>
                <w:kern w:val="0"/>
                <w:sz w:val="22"/>
              </w:rPr>
              <w:t>智能建设工程服务</w:t>
            </w:r>
          </w:p>
        </w:tc>
        <w:tc>
          <w:tcPr>
            <w:tcW w:w="1327" w:type="dxa"/>
            <w:tcBorders>
              <w:top w:val="single" w:color="auto" w:sz="4" w:space="0"/>
              <w:left w:val="single" w:color="auto" w:sz="4" w:space="0"/>
              <w:bottom w:val="single" w:color="auto" w:sz="4" w:space="0"/>
              <w:right w:val="single" w:color="auto" w:sz="4" w:space="0"/>
            </w:tcBorders>
            <w:vAlign w:val="center"/>
          </w:tcPr>
          <w:p>
            <w:pPr>
              <w:pStyle w:val="496"/>
              <w:spacing w:line="360" w:lineRule="exact"/>
              <w:jc w:val="left"/>
              <w:rPr>
                <w:rFonts w:ascii="宋体" w:hAnsi="宋体"/>
                <w:sz w:val="22"/>
              </w:rPr>
            </w:pPr>
            <w:r>
              <w:rPr>
                <w:rFonts w:hint="eastAsia" w:ascii="宋体" w:hAnsi="宋体"/>
                <w:sz w:val="22"/>
              </w:rPr>
              <w:t>预估730天</w:t>
            </w:r>
          </w:p>
        </w:tc>
        <w:tc>
          <w:tcPr>
            <w:tcW w:w="1582" w:type="dxa"/>
            <w:tcBorders>
              <w:top w:val="single" w:color="auto" w:sz="4" w:space="0"/>
              <w:left w:val="single" w:color="auto" w:sz="4" w:space="0"/>
              <w:bottom w:val="single" w:color="auto" w:sz="4" w:space="0"/>
              <w:right w:val="single" w:color="auto" w:sz="4" w:space="0"/>
            </w:tcBorders>
            <w:vAlign w:val="center"/>
          </w:tcPr>
          <w:p>
            <w:pPr>
              <w:pStyle w:val="496"/>
              <w:spacing w:line="360" w:lineRule="exact"/>
              <w:ind w:firstLine="440" w:firstLineChars="200"/>
              <w:jc w:val="left"/>
              <w:rPr>
                <w:rFonts w:ascii="宋体" w:hAnsi="宋体"/>
                <w:sz w:val="22"/>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496"/>
              <w:spacing w:line="360" w:lineRule="exact"/>
              <w:ind w:firstLine="440" w:firstLineChars="200"/>
              <w:jc w:val="lef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217" w:type="dxa"/>
            <w:gridSpan w:val="5"/>
            <w:tcBorders>
              <w:top w:val="single" w:color="auto" w:sz="4" w:space="0"/>
              <w:left w:val="single" w:color="auto" w:sz="4" w:space="0"/>
              <w:bottom w:val="single" w:color="auto" w:sz="4" w:space="0"/>
              <w:right w:val="single" w:color="auto" w:sz="4" w:space="0"/>
            </w:tcBorders>
            <w:vAlign w:val="center"/>
          </w:tcPr>
          <w:p>
            <w:pPr>
              <w:pStyle w:val="496"/>
              <w:spacing w:line="360" w:lineRule="exact"/>
              <w:ind w:firstLine="440" w:firstLineChars="200"/>
              <w:jc w:val="left"/>
              <w:rPr>
                <w:rFonts w:ascii="宋体" w:hAnsi="宋体"/>
                <w:sz w:val="22"/>
              </w:rPr>
            </w:pPr>
            <w:r>
              <w:rPr>
                <w:rFonts w:hint="eastAsia" w:ascii="宋体" w:hAnsi="宋体"/>
                <w:sz w:val="22"/>
              </w:rPr>
              <w:t xml:space="preserve">合同暂定总价：人民币大写   </w:t>
            </w:r>
            <w:r>
              <w:rPr>
                <w:rFonts w:ascii="宋体" w:hAnsi="宋体"/>
                <w:sz w:val="22"/>
              </w:rPr>
              <w:t xml:space="preserve">  </w:t>
            </w:r>
            <w:r>
              <w:rPr>
                <w:rFonts w:hint="eastAsia" w:ascii="宋体" w:hAnsi="宋体"/>
                <w:sz w:val="22"/>
              </w:rPr>
              <w:t>元，</w:t>
            </w:r>
            <w:r>
              <w:rPr>
                <w:rFonts w:ascii="宋体" w:hAnsi="宋体"/>
                <w:sz w:val="22"/>
              </w:rPr>
              <w:t>¥   .00</w:t>
            </w:r>
          </w:p>
        </w:tc>
      </w:tr>
    </w:tbl>
    <w:p>
      <w:pPr>
        <w:adjustRightInd w:val="0"/>
        <w:snapToGrid w:val="0"/>
        <w:spacing w:line="360" w:lineRule="exact"/>
        <w:ind w:firstLine="602"/>
        <w:jc w:val="left"/>
        <w:rPr>
          <w:rFonts w:ascii="宋体" w:hAnsi="宋体"/>
          <w:b/>
          <w:sz w:val="22"/>
        </w:rPr>
      </w:pPr>
    </w:p>
    <w:p>
      <w:pPr>
        <w:adjustRightInd w:val="0"/>
        <w:snapToGrid w:val="0"/>
        <w:spacing w:line="360" w:lineRule="exact"/>
        <w:ind w:firstLine="602"/>
        <w:jc w:val="left"/>
        <w:rPr>
          <w:rFonts w:ascii="宋体" w:hAnsi="宋体"/>
          <w:b/>
          <w:sz w:val="22"/>
        </w:rPr>
      </w:pPr>
      <w:r>
        <w:rPr>
          <w:rFonts w:hint="eastAsia" w:ascii="宋体" w:hAnsi="宋体"/>
          <w:b/>
          <w:sz w:val="22"/>
        </w:rPr>
        <w:t>详细要求：见招标文件</w:t>
      </w:r>
    </w:p>
    <w:p>
      <w:pPr>
        <w:adjustRightInd w:val="0"/>
        <w:snapToGrid w:val="0"/>
        <w:spacing w:line="360" w:lineRule="exact"/>
        <w:ind w:firstLine="602"/>
        <w:jc w:val="left"/>
        <w:rPr>
          <w:rFonts w:ascii="宋体" w:hAnsi="宋体"/>
          <w:b/>
          <w:sz w:val="22"/>
        </w:rPr>
      </w:pPr>
    </w:p>
    <w:p>
      <w:pPr>
        <w:adjustRightInd w:val="0"/>
        <w:snapToGrid w:val="0"/>
        <w:spacing w:line="360" w:lineRule="exact"/>
        <w:ind w:firstLine="602"/>
        <w:jc w:val="left"/>
        <w:rPr>
          <w:rFonts w:ascii="宋体" w:hAnsi="宋体"/>
          <w:b/>
          <w:sz w:val="22"/>
        </w:rPr>
      </w:pPr>
      <w:r>
        <w:rPr>
          <w:rFonts w:hint="eastAsia" w:ascii="宋体" w:hAnsi="宋体"/>
          <w:b/>
          <w:sz w:val="22"/>
        </w:rPr>
        <w:t>二、合同金额</w:t>
      </w:r>
    </w:p>
    <w:p>
      <w:pPr>
        <w:spacing w:line="360" w:lineRule="exact"/>
        <w:ind w:firstLine="424" w:firstLineChars="192"/>
        <w:jc w:val="left"/>
        <w:rPr>
          <w:rFonts w:ascii="宋体" w:hAnsi="宋体"/>
          <w:sz w:val="22"/>
        </w:rPr>
      </w:pPr>
      <w:r>
        <w:rPr>
          <w:rFonts w:hint="eastAsia" w:ascii="宋体" w:hAnsi="宋体"/>
          <w:b/>
          <w:sz w:val="22"/>
        </w:rPr>
        <w:t>1.</w:t>
      </w:r>
      <w:r>
        <w:rPr>
          <w:rFonts w:hint="eastAsia" w:ascii="宋体" w:hAnsi="宋体"/>
          <w:sz w:val="22"/>
        </w:rPr>
        <w:t>本合同价格为</w:t>
      </w:r>
      <w:r>
        <w:rPr>
          <w:rFonts w:hint="eastAsia" w:ascii="宋体" w:hAnsi="宋体"/>
          <w:b/>
          <w:sz w:val="22"/>
        </w:rPr>
        <w:t>固定单价（含税）合同</w:t>
      </w:r>
      <w:r>
        <w:rPr>
          <w:rFonts w:hint="eastAsia" w:ascii="宋体" w:hAnsi="宋体"/>
          <w:sz w:val="22"/>
        </w:rPr>
        <w:t>，合同暂定总价为（大写）：</w:t>
      </w:r>
      <w:r>
        <w:rPr>
          <w:rFonts w:hint="eastAsia" w:ascii="宋体" w:hAnsi="宋体"/>
          <w:sz w:val="22"/>
          <w:u w:val="single"/>
        </w:rPr>
        <w:t xml:space="preserve">人民币： </w:t>
      </w:r>
      <w:r>
        <w:rPr>
          <w:rFonts w:ascii="宋体" w:hAnsi="宋体"/>
          <w:sz w:val="22"/>
          <w:u w:val="single"/>
        </w:rPr>
        <w:t xml:space="preserve">     </w:t>
      </w:r>
      <w:r>
        <w:rPr>
          <w:rFonts w:hint="eastAsia" w:ascii="宋体" w:hAnsi="宋体"/>
          <w:sz w:val="22"/>
          <w:u w:val="single"/>
        </w:rPr>
        <w:t>，（小写）</w:t>
      </w:r>
      <w:r>
        <w:rPr>
          <w:rFonts w:ascii="宋体" w:hAnsi="宋体"/>
          <w:sz w:val="22"/>
          <w:u w:val="single"/>
        </w:rPr>
        <w:t xml:space="preserve"> </w:t>
      </w:r>
      <w:r>
        <w:rPr>
          <w:rFonts w:hint="eastAsia" w:ascii="宋体" w:hAnsi="宋体"/>
          <w:sz w:val="22"/>
          <w:u w:val="single"/>
        </w:rPr>
        <w:t>¥</w:t>
      </w:r>
      <w:r>
        <w:rPr>
          <w:rFonts w:ascii="宋体" w:hAnsi="宋体"/>
          <w:sz w:val="22"/>
          <w:u w:val="single"/>
        </w:rPr>
        <w:t xml:space="preserve">       </w:t>
      </w:r>
      <w:r>
        <w:rPr>
          <w:rFonts w:hint="eastAsia" w:ascii="宋体" w:hAnsi="宋体"/>
          <w:sz w:val="22"/>
        </w:rPr>
        <w:t>。</w:t>
      </w:r>
    </w:p>
    <w:p>
      <w:pPr>
        <w:adjustRightInd w:val="0"/>
        <w:snapToGrid w:val="0"/>
        <w:spacing w:line="360" w:lineRule="auto"/>
        <w:ind w:firstLine="420" w:firstLineChars="200"/>
        <w:rPr>
          <w:rFonts w:ascii="宋体" w:hAnsi="宋体"/>
          <w:szCs w:val="21"/>
        </w:rPr>
      </w:pPr>
      <w:r>
        <w:rPr>
          <w:rFonts w:hint="eastAsia" w:ascii="宋体" w:hAnsi="宋体"/>
          <w:szCs w:val="21"/>
        </w:rPr>
        <w:t>本合同价为杭州萧山国际机场内交货价，</w:t>
      </w:r>
      <w:r>
        <w:rPr>
          <w:rFonts w:hint="eastAsia" w:ascii="宋体" w:hAnsi="宋体"/>
          <w:sz w:val="22"/>
        </w:rPr>
        <w:t>含服务费、税费、安装调试、应用软件和各个其它系统厂家的接口对接和维护等所有费用</w:t>
      </w:r>
      <w:r>
        <w:rPr>
          <w:rFonts w:hint="eastAsia" w:ascii="宋体" w:hAnsi="宋体"/>
          <w:szCs w:val="21"/>
        </w:rPr>
        <w:t>。同时乙方承诺，不因甲方采购数量的增加或者减少而变动固定单价。</w:t>
      </w:r>
    </w:p>
    <w:p>
      <w:pPr>
        <w:adjustRightInd w:val="0"/>
        <w:snapToGrid w:val="0"/>
        <w:spacing w:line="360" w:lineRule="auto"/>
        <w:ind w:firstLine="420" w:firstLineChars="200"/>
        <w:rPr>
          <w:rFonts w:ascii="宋体" w:hAnsi="宋体"/>
          <w:szCs w:val="21"/>
        </w:rPr>
      </w:pPr>
      <w:r>
        <w:rPr>
          <w:rFonts w:hint="eastAsia" w:ascii="宋体" w:hAnsi="宋体"/>
          <w:szCs w:val="21"/>
        </w:rPr>
        <w:t>本合同采购的货物数量属于预估数量，甲方有权根据实际情况单方面予以调整采购的数量，具体以甲方向乙方发出的采购通知单为准，乙方承诺无条件按照甲方要求执行，双方最终结算价格按照甲方实际采购数量结算。</w:t>
      </w:r>
    </w:p>
    <w:p>
      <w:pPr>
        <w:spacing w:line="360" w:lineRule="exact"/>
        <w:ind w:firstLine="422" w:firstLineChars="192"/>
        <w:jc w:val="left"/>
        <w:rPr>
          <w:rFonts w:ascii="宋体" w:hAnsi="宋体"/>
          <w:sz w:val="22"/>
        </w:rPr>
      </w:pPr>
    </w:p>
    <w:p>
      <w:pPr>
        <w:numPr>
          <w:ilvl w:val="0"/>
          <w:numId w:val="36"/>
        </w:numPr>
        <w:spacing w:line="360" w:lineRule="exact"/>
        <w:ind w:firstLine="424" w:firstLineChars="192"/>
        <w:jc w:val="left"/>
        <w:rPr>
          <w:rFonts w:ascii="宋体" w:hAnsi="宋体" w:cs="宋体"/>
        </w:rPr>
      </w:pPr>
      <w:r>
        <w:rPr>
          <w:rFonts w:ascii="宋体" w:hAnsi="宋体"/>
          <w:b/>
          <w:sz w:val="22"/>
          <w:u w:val="single"/>
        </w:rPr>
        <w:t>本合同服务</w:t>
      </w:r>
      <w:r>
        <w:rPr>
          <w:rFonts w:hint="eastAsia" w:ascii="宋体" w:hAnsi="宋体"/>
          <w:b/>
          <w:sz w:val="22"/>
          <w:u w:val="single"/>
        </w:rPr>
        <w:t>期限暂定</w:t>
      </w:r>
      <w:r>
        <w:rPr>
          <w:rFonts w:ascii="宋体" w:hAnsi="宋体"/>
          <w:b/>
          <w:sz w:val="22"/>
          <w:u w:val="single"/>
        </w:rPr>
        <w:t>730</w:t>
      </w:r>
      <w:r>
        <w:rPr>
          <w:rFonts w:hint="eastAsia" w:ascii="宋体" w:hAnsi="宋体"/>
          <w:b/>
          <w:sz w:val="22"/>
          <w:u w:val="single"/>
        </w:rPr>
        <w:t>天，</w:t>
      </w:r>
      <w:r>
        <w:rPr>
          <w:rFonts w:hint="eastAsia" w:ascii="宋体" w:hAnsi="宋体" w:cs="宋体"/>
        </w:rPr>
        <w:t>预计开始时间为【2</w:t>
      </w:r>
      <w:r>
        <w:rPr>
          <w:rFonts w:ascii="宋体" w:hAnsi="宋体" w:cs="宋体"/>
        </w:rPr>
        <w:t>020</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30</w:t>
      </w:r>
      <w:r>
        <w:rPr>
          <w:rFonts w:hint="eastAsia" w:ascii="宋体" w:hAnsi="宋体" w:cs="宋体"/>
        </w:rPr>
        <w:t>】日至【2</w:t>
      </w:r>
      <w:r>
        <w:rPr>
          <w:rFonts w:ascii="宋体" w:hAnsi="宋体" w:cs="宋体"/>
        </w:rPr>
        <w:t>022</w:t>
      </w:r>
      <w:r>
        <w:rPr>
          <w:rFonts w:hint="eastAsia" w:ascii="宋体" w:hAnsi="宋体" w:cs="宋体"/>
        </w:rPr>
        <w:t>】年【</w:t>
      </w:r>
      <w:r>
        <w:rPr>
          <w:rFonts w:ascii="宋体" w:hAnsi="宋体" w:cs="宋体"/>
        </w:rPr>
        <w:t>4</w:t>
      </w:r>
      <w:r>
        <w:rPr>
          <w:rFonts w:hint="eastAsia" w:ascii="宋体" w:hAnsi="宋体" w:cs="宋体"/>
        </w:rPr>
        <w:t>】月【</w:t>
      </w:r>
      <w:r>
        <w:rPr>
          <w:rFonts w:ascii="宋体" w:hAnsi="宋体" w:cs="宋体"/>
        </w:rPr>
        <w:t>29</w:t>
      </w:r>
      <w:r>
        <w:rPr>
          <w:rFonts w:hint="eastAsia" w:ascii="宋体" w:hAnsi="宋体" w:cs="宋体"/>
        </w:rPr>
        <w:t>】日，最终本项目服务期限以甲方书面通知为准，甲方有权根据试点工程项目的实际情况单方面予以调整，乙方承诺无条件按照甲方要求执行。</w:t>
      </w:r>
    </w:p>
    <w:p>
      <w:pPr>
        <w:numPr>
          <w:ilvl w:val="0"/>
          <w:numId w:val="36"/>
        </w:numPr>
        <w:spacing w:line="360" w:lineRule="exact"/>
        <w:ind w:firstLine="403" w:firstLineChars="192"/>
        <w:jc w:val="left"/>
        <w:rPr>
          <w:rFonts w:ascii="宋体" w:hAnsi="宋体"/>
          <w:b/>
          <w:sz w:val="22"/>
          <w:u w:val="single"/>
        </w:rPr>
      </w:pPr>
      <w:r>
        <w:rPr>
          <w:rFonts w:hint="eastAsia" w:ascii="宋体" w:hAnsi="宋体" w:cs="宋体"/>
        </w:rPr>
        <w:t>无论服务期限少于或者多于</w:t>
      </w:r>
      <w:r>
        <w:rPr>
          <w:rFonts w:ascii="宋体" w:hAnsi="宋体" w:cs="宋体"/>
        </w:rPr>
        <w:t>730</w:t>
      </w:r>
      <w:r>
        <w:rPr>
          <w:rFonts w:hint="eastAsia" w:ascii="宋体" w:hAnsi="宋体" w:cs="宋体"/>
        </w:rPr>
        <w:t>天，双方最终合同价格均以实际数量乘以固定单价进行结算</w:t>
      </w:r>
      <w:r>
        <w:rPr>
          <w:rFonts w:hint="eastAsia" w:ascii="宋体" w:hAnsi="宋体"/>
          <w:b/>
          <w:sz w:val="22"/>
          <w:u w:val="single"/>
        </w:rPr>
        <w:t>。</w:t>
      </w:r>
    </w:p>
    <w:p>
      <w:pPr>
        <w:spacing w:line="360" w:lineRule="exact"/>
        <w:ind w:firstLine="424" w:firstLineChars="192"/>
        <w:jc w:val="left"/>
        <w:rPr>
          <w:rFonts w:ascii="宋体" w:hAnsi="宋体"/>
          <w:b/>
          <w:sz w:val="22"/>
          <w:u w:val="single"/>
        </w:rPr>
      </w:pPr>
    </w:p>
    <w:p>
      <w:pPr>
        <w:pStyle w:val="1855"/>
        <w:spacing w:line="360" w:lineRule="exact"/>
        <w:ind w:firstLine="440"/>
        <w:rPr>
          <w:rFonts w:ascii="宋体" w:hAnsi="宋体" w:eastAsia="宋体"/>
          <w:sz w:val="22"/>
          <w:szCs w:val="22"/>
          <w:u w:val="single"/>
        </w:rPr>
      </w:pPr>
      <w:r>
        <w:rPr>
          <w:rFonts w:hint="eastAsia" w:ascii="宋体" w:hAnsi="宋体" w:eastAsia="宋体"/>
          <w:sz w:val="22"/>
          <w:szCs w:val="22"/>
        </w:rPr>
        <w:t>4</w:t>
      </w:r>
      <w:r>
        <w:rPr>
          <w:rFonts w:ascii="宋体" w:hAnsi="宋体" w:eastAsia="宋体"/>
          <w:sz w:val="22"/>
          <w:szCs w:val="22"/>
        </w:rPr>
        <w:t>.</w:t>
      </w:r>
      <w:r>
        <w:rPr>
          <w:rFonts w:hint="eastAsia" w:ascii="宋体" w:hAnsi="宋体" w:eastAsia="宋体"/>
          <w:sz w:val="22"/>
          <w:szCs w:val="22"/>
        </w:rPr>
        <w:t>乙方提供的增值税专用发票，税率为【</w:t>
      </w:r>
      <w:r>
        <w:rPr>
          <w:rFonts w:ascii="宋体" w:hAnsi="宋体" w:eastAsia="宋体"/>
          <w:sz w:val="22"/>
          <w:szCs w:val="22"/>
        </w:rPr>
        <w:t xml:space="preserve">          </w:t>
      </w:r>
      <w:r>
        <w:rPr>
          <w:rFonts w:hint="eastAsia" w:ascii="宋体" w:hAnsi="宋体" w:eastAsia="宋体"/>
          <w:sz w:val="22"/>
          <w:szCs w:val="22"/>
        </w:rPr>
        <w:t>】。</w:t>
      </w:r>
      <w:r>
        <w:rPr>
          <w:rFonts w:hint="eastAsia" w:ascii="宋体" w:hAnsi="宋体" w:eastAsia="宋体"/>
          <w:sz w:val="22"/>
          <w:szCs w:val="22"/>
          <w:u w:val="single"/>
        </w:rPr>
        <w:t>在合同有效期限内，若因国家税收政策调整而引起的增值税税率变化的，应按照国家税收政策调整，合同总价变更为原合同不含增值税服务或货物销售额与新增值税税率计算税额的合计金额。</w:t>
      </w:r>
    </w:p>
    <w:p>
      <w:pPr>
        <w:adjustRightInd w:val="0"/>
        <w:snapToGrid w:val="0"/>
        <w:spacing w:line="360" w:lineRule="exact"/>
        <w:ind w:firstLine="602"/>
        <w:jc w:val="left"/>
        <w:rPr>
          <w:rFonts w:ascii="宋体" w:hAnsi="宋体"/>
          <w:b/>
          <w:sz w:val="22"/>
        </w:rPr>
      </w:pPr>
      <w:r>
        <w:rPr>
          <w:rFonts w:hint="eastAsia" w:ascii="宋体" w:hAnsi="宋体"/>
          <w:b/>
          <w:sz w:val="22"/>
        </w:rPr>
        <w:t>三、技术资料</w:t>
      </w:r>
    </w:p>
    <w:p>
      <w:pPr>
        <w:adjustRightInd w:val="0"/>
        <w:snapToGrid w:val="0"/>
        <w:spacing w:line="360" w:lineRule="exact"/>
        <w:ind w:firstLine="440" w:firstLineChars="200"/>
        <w:jc w:val="left"/>
        <w:rPr>
          <w:rFonts w:ascii="宋体" w:hAnsi="宋体"/>
          <w:sz w:val="22"/>
        </w:rPr>
      </w:pPr>
      <w:r>
        <w:rPr>
          <w:rFonts w:hint="eastAsia" w:ascii="宋体" w:hAnsi="宋体"/>
          <w:sz w:val="22"/>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因乙方或前述与履行本合同相关的人员违反本条规定的保密义务而导致甲方遭受损失的，则乙方应向甲方承担赔偿责任。</w:t>
      </w:r>
    </w:p>
    <w:p>
      <w:pPr>
        <w:adjustRightInd w:val="0"/>
        <w:snapToGrid w:val="0"/>
        <w:spacing w:line="360" w:lineRule="exact"/>
        <w:ind w:firstLine="602"/>
        <w:jc w:val="left"/>
        <w:rPr>
          <w:rFonts w:ascii="宋体" w:hAnsi="宋体"/>
          <w:b/>
          <w:sz w:val="22"/>
        </w:rPr>
      </w:pPr>
      <w:r>
        <w:rPr>
          <w:rFonts w:hint="eastAsia" w:ascii="宋体" w:hAnsi="宋体"/>
          <w:b/>
          <w:sz w:val="22"/>
        </w:rPr>
        <w:t>四、知识产权</w:t>
      </w:r>
    </w:p>
    <w:p>
      <w:pPr>
        <w:adjustRightInd w:val="0"/>
        <w:snapToGrid w:val="0"/>
        <w:spacing w:line="360" w:lineRule="exact"/>
        <w:ind w:firstLine="440" w:firstLineChars="200"/>
        <w:jc w:val="left"/>
        <w:rPr>
          <w:rFonts w:ascii="宋体" w:hAnsi="宋体"/>
          <w:sz w:val="22"/>
        </w:rPr>
      </w:pPr>
      <w:r>
        <w:rPr>
          <w:rFonts w:hint="eastAsia" w:ascii="宋体" w:hAnsi="宋体"/>
          <w:sz w:val="22"/>
        </w:rPr>
        <w:t>乙方应保证所供甲方使用的系统、提供的服务或其任何一部分均不会侵犯任何第三方的知识产权。如因乙方违反本条保证并导致甲方遭受损失的，乙方须向甲方承担赔偿责任。</w:t>
      </w:r>
    </w:p>
    <w:p>
      <w:pPr>
        <w:adjustRightInd w:val="0"/>
        <w:snapToGrid w:val="0"/>
        <w:spacing w:line="360" w:lineRule="exact"/>
        <w:ind w:firstLine="602"/>
        <w:jc w:val="left"/>
        <w:rPr>
          <w:rFonts w:ascii="宋体" w:hAnsi="宋体"/>
          <w:b/>
          <w:sz w:val="22"/>
        </w:rPr>
      </w:pPr>
      <w:r>
        <w:rPr>
          <w:rFonts w:hint="eastAsia" w:ascii="宋体" w:hAnsi="宋体"/>
          <w:b/>
          <w:sz w:val="22"/>
        </w:rPr>
        <w:t>五、产权担保</w:t>
      </w:r>
    </w:p>
    <w:p>
      <w:pPr>
        <w:adjustRightInd w:val="0"/>
        <w:snapToGrid w:val="0"/>
        <w:spacing w:line="360" w:lineRule="exact"/>
        <w:ind w:firstLine="440" w:firstLineChars="200"/>
        <w:jc w:val="left"/>
        <w:rPr>
          <w:rFonts w:ascii="宋体" w:hAnsi="宋体"/>
          <w:sz w:val="22"/>
        </w:rPr>
      </w:pPr>
      <w:r>
        <w:rPr>
          <w:rFonts w:hint="eastAsia" w:ascii="宋体" w:hAnsi="宋体"/>
          <w:sz w:val="22"/>
        </w:rPr>
        <w:t>乙方保证所交付的系统的所有权完全属于乙方且无任何抵押、查封等产权障碍或瑕疵。如因乙方提供系统存在权属纠纷或担保物权的行使而导致甲方遭受任何损失的，乙方须就甲方遭受的该等损失承担赔偿责任。</w:t>
      </w:r>
    </w:p>
    <w:p>
      <w:pPr>
        <w:adjustRightInd w:val="0"/>
        <w:snapToGrid w:val="0"/>
        <w:spacing w:line="360" w:lineRule="exact"/>
        <w:ind w:firstLine="602"/>
        <w:jc w:val="left"/>
        <w:outlineLvl w:val="0"/>
        <w:rPr>
          <w:rFonts w:ascii="宋体" w:hAnsi="宋体"/>
          <w:b/>
          <w:sz w:val="22"/>
        </w:rPr>
      </w:pPr>
      <w:r>
        <w:rPr>
          <w:rFonts w:hint="eastAsia" w:ascii="宋体" w:hAnsi="宋体"/>
          <w:b/>
          <w:sz w:val="22"/>
        </w:rPr>
        <w:t>六</w:t>
      </w:r>
      <w:r>
        <w:rPr>
          <w:rFonts w:ascii="宋体" w:hAnsi="宋体"/>
          <w:b/>
          <w:sz w:val="22"/>
        </w:rPr>
        <w:t>、履约担保</w:t>
      </w:r>
    </w:p>
    <w:p>
      <w:pPr>
        <w:snapToGrid w:val="0"/>
        <w:spacing w:line="360" w:lineRule="exact"/>
        <w:ind w:firstLine="440" w:firstLineChars="200"/>
        <w:jc w:val="left"/>
        <w:rPr>
          <w:rFonts w:ascii="宋体" w:hAnsi="宋体"/>
          <w:sz w:val="22"/>
        </w:rPr>
      </w:pPr>
      <w:r>
        <w:rPr>
          <w:rFonts w:hint="eastAsia" w:ascii="宋体" w:hAnsi="宋体"/>
          <w:sz w:val="22"/>
        </w:rPr>
        <w:t>1.履约保证金金额（</w:t>
      </w:r>
      <w:r>
        <w:rPr>
          <w:rFonts w:ascii="宋体" w:hAnsi="宋体"/>
          <w:sz w:val="22"/>
        </w:rPr>
        <w:t>人民币）</w:t>
      </w:r>
      <w:r>
        <w:rPr>
          <w:rFonts w:hint="eastAsia" w:ascii="宋体" w:hAnsi="宋体"/>
          <w:sz w:val="22"/>
        </w:rPr>
        <w:t>：见投标须知前附表。</w:t>
      </w:r>
    </w:p>
    <w:p>
      <w:pPr>
        <w:snapToGrid w:val="0"/>
        <w:spacing w:line="360" w:lineRule="exact"/>
        <w:ind w:firstLine="440" w:firstLineChars="200"/>
        <w:jc w:val="left"/>
        <w:rPr>
          <w:rFonts w:ascii="宋体" w:hAnsi="宋体"/>
          <w:sz w:val="22"/>
        </w:rPr>
      </w:pPr>
      <w:r>
        <w:rPr>
          <w:rFonts w:hint="eastAsia" w:ascii="宋体" w:hAnsi="宋体"/>
          <w:sz w:val="22"/>
        </w:rPr>
        <w:t>2.履约保证金支付时间：见投标须知前附表。</w:t>
      </w:r>
    </w:p>
    <w:p>
      <w:pPr>
        <w:snapToGrid w:val="0"/>
        <w:spacing w:line="360" w:lineRule="exact"/>
        <w:ind w:firstLine="440" w:firstLineChars="200"/>
        <w:jc w:val="left"/>
        <w:rPr>
          <w:rFonts w:ascii="宋体" w:hAnsi="宋体"/>
          <w:sz w:val="22"/>
        </w:rPr>
      </w:pPr>
      <w:r>
        <w:rPr>
          <w:rFonts w:hint="eastAsia" w:ascii="宋体" w:hAnsi="宋体"/>
          <w:sz w:val="22"/>
        </w:rPr>
        <w:t>3.该履约保证金在服务期满后无息返还。若乙方未能及时缴纳履约保证金，视为乙方违约，甲方有权终止合同，并要求乙方承担由此给甲方造成的所有损失。在合同履行期间，如果乙方存在违约情形，甲方有权扣除相应款项，并书面通知乙方。乙方自收到书面通知之日起５个工作日内提出异议并补足履约保证金，如果逾期未提出，视为同意。如果乙方不及时补足履约保证金，经甲方通知后３个工作日内，仍未补足，视为乙方违约，甲方有权解除合同，并要求乙方承担由此给甲方造成的所有损失。</w:t>
      </w:r>
    </w:p>
    <w:p>
      <w:pPr>
        <w:adjustRightInd w:val="0"/>
        <w:snapToGrid w:val="0"/>
        <w:spacing w:line="360" w:lineRule="exact"/>
        <w:ind w:firstLine="602"/>
        <w:jc w:val="left"/>
        <w:outlineLvl w:val="0"/>
        <w:rPr>
          <w:rFonts w:ascii="宋体" w:hAnsi="宋体"/>
          <w:b/>
          <w:sz w:val="22"/>
        </w:rPr>
      </w:pPr>
      <w:r>
        <w:rPr>
          <w:rFonts w:hint="eastAsia" w:ascii="宋体" w:hAnsi="宋体"/>
          <w:b/>
          <w:sz w:val="22"/>
        </w:rPr>
        <w:t>七、转包或分包</w:t>
      </w:r>
    </w:p>
    <w:p>
      <w:pPr>
        <w:snapToGrid w:val="0"/>
        <w:spacing w:line="360" w:lineRule="exact"/>
        <w:ind w:firstLine="440" w:firstLineChars="200"/>
        <w:jc w:val="left"/>
        <w:rPr>
          <w:rFonts w:ascii="宋体" w:hAnsi="宋体"/>
          <w:sz w:val="22"/>
        </w:rPr>
      </w:pPr>
      <w:r>
        <w:rPr>
          <w:rFonts w:hint="eastAsia" w:ascii="宋体" w:hAnsi="宋体"/>
          <w:sz w:val="22"/>
        </w:rPr>
        <w:t>1.本合同项下甲方采购的系统，必须由乙方直接供应；除非得到甲方的书面同意，乙方不得将本合同项下的系统全部或部分分包给第三方供应，不得将本合同项下权利义务转让给第三方；</w:t>
      </w:r>
    </w:p>
    <w:p>
      <w:pPr>
        <w:snapToGrid w:val="0"/>
        <w:spacing w:line="360" w:lineRule="exact"/>
        <w:ind w:firstLine="440" w:firstLineChars="200"/>
        <w:jc w:val="left"/>
        <w:rPr>
          <w:rFonts w:ascii="宋体" w:hAnsi="宋体"/>
          <w:sz w:val="22"/>
        </w:rPr>
      </w:pPr>
      <w:r>
        <w:rPr>
          <w:rFonts w:hint="eastAsia" w:ascii="宋体" w:hAnsi="宋体"/>
          <w:sz w:val="22"/>
        </w:rPr>
        <w:t>2.如有未经甲方书面同意的转让和分包行为，甲方有权解除合同，并追究乙方的违约责任。</w:t>
      </w:r>
    </w:p>
    <w:p>
      <w:pPr>
        <w:adjustRightInd w:val="0"/>
        <w:snapToGrid w:val="0"/>
        <w:spacing w:line="360" w:lineRule="exact"/>
        <w:ind w:firstLine="602"/>
        <w:jc w:val="left"/>
        <w:outlineLvl w:val="0"/>
        <w:rPr>
          <w:rFonts w:ascii="宋体" w:hAnsi="宋体"/>
          <w:b/>
          <w:sz w:val="22"/>
        </w:rPr>
      </w:pPr>
      <w:bookmarkStart w:id="33" w:name="_Toc478453295"/>
      <w:r>
        <w:rPr>
          <w:rFonts w:hint="eastAsia" w:ascii="宋体" w:hAnsi="宋体"/>
          <w:b/>
          <w:sz w:val="22"/>
        </w:rPr>
        <w:t>八、</w:t>
      </w:r>
      <w:bookmarkStart w:id="34" w:name="_Toc478453297"/>
      <w:bookmarkEnd w:id="33"/>
      <w:r>
        <w:rPr>
          <w:rFonts w:hint="eastAsia" w:ascii="宋体" w:hAnsi="宋体"/>
          <w:b/>
          <w:sz w:val="22"/>
        </w:rPr>
        <w:t>服务费支付</w:t>
      </w:r>
      <w:bookmarkEnd w:id="34"/>
    </w:p>
    <w:p>
      <w:pPr>
        <w:snapToGrid w:val="0"/>
        <w:spacing w:line="360" w:lineRule="exact"/>
        <w:ind w:firstLine="440" w:firstLineChars="200"/>
        <w:jc w:val="left"/>
        <w:rPr>
          <w:rFonts w:ascii="宋体" w:hAnsi="宋体"/>
          <w:sz w:val="22"/>
        </w:rPr>
      </w:pPr>
      <w:r>
        <w:rPr>
          <w:rFonts w:hint="eastAsia" w:ascii="宋体" w:hAnsi="宋体"/>
          <w:sz w:val="22"/>
        </w:rPr>
        <w:t>1、乙方交纳履约保证金且本合同生效后10个工作日内，甲方支付</w:t>
      </w:r>
      <w:r>
        <w:rPr>
          <w:rFonts w:hint="eastAsia"/>
        </w:rPr>
        <w:t>年度</w:t>
      </w:r>
      <w:r>
        <w:rPr>
          <w:rFonts w:hint="eastAsia" w:ascii="宋体" w:hAnsi="宋体"/>
          <w:sz w:val="22"/>
        </w:rPr>
        <w:t xml:space="preserve">合同暂定价的10%，即   </w:t>
      </w:r>
      <w:r>
        <w:rPr>
          <w:rFonts w:ascii="宋体" w:hAnsi="宋体"/>
          <w:sz w:val="22"/>
        </w:rPr>
        <w:t xml:space="preserve">      </w:t>
      </w:r>
      <w:r>
        <w:rPr>
          <w:rFonts w:hint="eastAsia" w:ascii="宋体" w:hAnsi="宋体"/>
          <w:sz w:val="22"/>
        </w:rPr>
        <w:t xml:space="preserve">  。</w:t>
      </w:r>
    </w:p>
    <w:p>
      <w:pPr>
        <w:snapToGrid w:val="0"/>
        <w:spacing w:line="360" w:lineRule="exact"/>
        <w:ind w:firstLine="440" w:firstLineChars="200"/>
        <w:jc w:val="left"/>
        <w:rPr>
          <w:rFonts w:ascii="宋体" w:hAnsi="宋体"/>
          <w:sz w:val="22"/>
        </w:rPr>
      </w:pPr>
      <w:r>
        <w:rPr>
          <w:rFonts w:hint="eastAsia" w:ascii="宋体" w:hAnsi="宋体"/>
          <w:sz w:val="22"/>
        </w:rPr>
        <w:t>2、以3个月</w:t>
      </w:r>
      <w:r>
        <w:rPr>
          <w:rFonts w:ascii="宋体" w:hAnsi="宋体"/>
          <w:sz w:val="22"/>
        </w:rPr>
        <w:t>为一个结算周期，</w:t>
      </w:r>
      <w:r>
        <w:rPr>
          <w:rFonts w:hint="eastAsia" w:ascii="宋体" w:hAnsi="宋体"/>
          <w:sz w:val="22"/>
        </w:rPr>
        <w:t>乙方完成第一周期的现场管控服务且平台试运行稳定、正式上线，可申请第一周期现场管控服务验收和平台验收，经甲方验收合格后10个工作日内甲方支</w:t>
      </w:r>
      <w:r>
        <w:rPr>
          <w:rFonts w:ascii="宋体" w:hAnsi="宋体"/>
          <w:sz w:val="22"/>
        </w:rPr>
        <w:t>付服务费为</w:t>
      </w:r>
      <w:r>
        <w:rPr>
          <w:rFonts w:hint="eastAsia" w:ascii="宋体" w:hAnsi="宋体"/>
          <w:sz w:val="22"/>
        </w:rPr>
        <w:t>年度合同暂定价的20%；第二、三、四周期乙方完成对应周期的现场管控服务，可申请对应周期现场管控服务验收，经甲方验收合格后10个工作日内甲方支付</w:t>
      </w:r>
      <w:r>
        <w:rPr>
          <w:rFonts w:ascii="宋体" w:hAnsi="宋体"/>
          <w:sz w:val="22"/>
        </w:rPr>
        <w:t>服务费为</w:t>
      </w:r>
      <w:r>
        <w:rPr>
          <w:rFonts w:hint="eastAsia" w:ascii="宋体" w:hAnsi="宋体"/>
          <w:sz w:val="22"/>
        </w:rPr>
        <w:t>年度合同暂定价的20%；</w:t>
      </w:r>
    </w:p>
    <w:p>
      <w:pPr>
        <w:snapToGrid w:val="0"/>
        <w:spacing w:line="360" w:lineRule="exact"/>
        <w:ind w:firstLine="440" w:firstLineChars="200"/>
        <w:jc w:val="left"/>
        <w:rPr>
          <w:rFonts w:ascii="宋体" w:hAnsi="宋体"/>
          <w:sz w:val="22"/>
        </w:rPr>
      </w:pPr>
      <w:r>
        <w:rPr>
          <w:rFonts w:hint="eastAsia" w:ascii="宋体" w:hAnsi="宋体"/>
          <w:sz w:val="22"/>
        </w:rPr>
        <w:t>3、第二年起（含）至乙方服务结束，现场管控服务以3个月为一个结算周期，按乙方实际服务时间计算费用。乙方完成对应周期的现场管控服务，可申请对应周期现场管控服务验收，经甲方验收合格后10个工作日内甲方根据该周期内的验收报告支付</w:t>
      </w:r>
      <w:r>
        <w:rPr>
          <w:rFonts w:ascii="宋体" w:hAnsi="宋体"/>
          <w:sz w:val="22"/>
        </w:rPr>
        <w:t>服务费</w:t>
      </w:r>
      <w:r>
        <w:rPr>
          <w:rFonts w:hint="eastAsia" w:ascii="宋体" w:hAnsi="宋体"/>
          <w:sz w:val="22"/>
        </w:rPr>
        <w:t>。每个周期应付金额：固定单价*实际服务天数。其中最后一笔，在服务期满且甲乙双方完成相关交接后15天内结清。</w:t>
      </w:r>
    </w:p>
    <w:p>
      <w:pPr>
        <w:snapToGrid w:val="0"/>
        <w:spacing w:line="360" w:lineRule="exact"/>
        <w:ind w:firstLine="440" w:firstLineChars="200"/>
        <w:jc w:val="left"/>
        <w:rPr>
          <w:rFonts w:ascii="宋体" w:hAnsi="宋体"/>
          <w:sz w:val="22"/>
        </w:rPr>
      </w:pPr>
      <w:r>
        <w:rPr>
          <w:rFonts w:hint="eastAsia" w:ascii="宋体" w:hAnsi="宋体"/>
          <w:sz w:val="22"/>
        </w:rPr>
        <w:t>以上款项支付时，乙方需开具增值税专用发票。</w:t>
      </w:r>
    </w:p>
    <w:p>
      <w:pPr>
        <w:adjustRightInd w:val="0"/>
        <w:snapToGrid w:val="0"/>
        <w:spacing w:line="360" w:lineRule="exact"/>
        <w:ind w:firstLine="602"/>
        <w:jc w:val="left"/>
        <w:outlineLvl w:val="0"/>
        <w:rPr>
          <w:rFonts w:ascii="宋体" w:hAnsi="宋体"/>
          <w:b/>
          <w:sz w:val="22"/>
        </w:rPr>
      </w:pPr>
      <w:bookmarkStart w:id="35" w:name="_Toc478453298"/>
      <w:r>
        <w:rPr>
          <w:rFonts w:hint="eastAsia" w:ascii="宋体" w:hAnsi="宋体"/>
          <w:b/>
          <w:sz w:val="22"/>
        </w:rPr>
        <w:t>十一、税费</w:t>
      </w:r>
      <w:bookmarkEnd w:id="35"/>
    </w:p>
    <w:p>
      <w:pPr>
        <w:adjustRightInd w:val="0"/>
        <w:snapToGrid w:val="0"/>
        <w:spacing w:line="360" w:lineRule="exact"/>
        <w:ind w:firstLine="440" w:firstLineChars="200"/>
        <w:jc w:val="left"/>
        <w:rPr>
          <w:rFonts w:ascii="宋体" w:hAnsi="宋体"/>
          <w:sz w:val="22"/>
        </w:rPr>
      </w:pPr>
      <w:r>
        <w:rPr>
          <w:rFonts w:hint="eastAsia" w:ascii="宋体" w:hAnsi="宋体"/>
          <w:sz w:val="22"/>
        </w:rPr>
        <w:t>本合同执行中相关的一切税费均由乙方负担。</w:t>
      </w:r>
    </w:p>
    <w:p>
      <w:pPr>
        <w:adjustRightInd w:val="0"/>
        <w:snapToGrid w:val="0"/>
        <w:spacing w:line="360" w:lineRule="exact"/>
        <w:ind w:firstLine="602"/>
        <w:jc w:val="left"/>
        <w:outlineLvl w:val="0"/>
        <w:rPr>
          <w:rFonts w:ascii="宋体" w:hAnsi="宋体"/>
          <w:b/>
          <w:sz w:val="22"/>
        </w:rPr>
      </w:pPr>
      <w:bookmarkStart w:id="36" w:name="_Toc478453299"/>
      <w:r>
        <w:rPr>
          <w:rFonts w:hint="eastAsia" w:ascii="宋体" w:hAnsi="宋体"/>
          <w:b/>
          <w:sz w:val="22"/>
        </w:rPr>
        <w:t>十二、质量保证及售后服务</w:t>
      </w:r>
      <w:bookmarkEnd w:id="36"/>
    </w:p>
    <w:p>
      <w:pPr>
        <w:adjustRightInd w:val="0"/>
        <w:snapToGrid w:val="0"/>
        <w:spacing w:line="360" w:lineRule="exact"/>
        <w:ind w:firstLine="442" w:firstLineChars="200"/>
        <w:jc w:val="left"/>
        <w:rPr>
          <w:rFonts w:ascii="宋体" w:hAnsi="宋体"/>
          <w:sz w:val="22"/>
        </w:rPr>
      </w:pPr>
      <w:r>
        <w:rPr>
          <w:rFonts w:hint="eastAsia" w:ascii="宋体" w:hAnsi="宋体"/>
          <w:b/>
          <w:sz w:val="22"/>
        </w:rPr>
        <w:t>1.</w:t>
      </w:r>
      <w:r>
        <w:rPr>
          <w:rFonts w:hint="eastAsia" w:ascii="宋体" w:hAnsi="宋体"/>
          <w:sz w:val="22"/>
        </w:rPr>
        <w:t>乙方保证其所供应的服务符合相关服务质量标准，不存在任何质量瑕疵或因质量瑕疵而导致的安全隐患。</w:t>
      </w:r>
    </w:p>
    <w:p>
      <w:pPr>
        <w:adjustRightInd w:val="0"/>
        <w:snapToGrid w:val="0"/>
        <w:spacing w:line="360" w:lineRule="exact"/>
        <w:ind w:firstLine="442" w:firstLineChars="200"/>
        <w:jc w:val="left"/>
        <w:rPr>
          <w:rFonts w:ascii="宋体" w:hAnsi="宋体"/>
          <w:b/>
          <w:sz w:val="22"/>
        </w:rPr>
      </w:pPr>
      <w:r>
        <w:rPr>
          <w:rFonts w:hint="eastAsia" w:ascii="宋体" w:hAnsi="宋体"/>
          <w:b/>
          <w:sz w:val="22"/>
        </w:rPr>
        <w:t>2.</w:t>
      </w:r>
      <w:r>
        <w:rPr>
          <w:rFonts w:hint="eastAsia" w:ascii="宋体" w:hAnsi="宋体"/>
          <w:sz w:val="22"/>
        </w:rPr>
        <w:t>本合同服务期限内乙方应为系统提供质量保证。</w:t>
      </w:r>
    </w:p>
    <w:p>
      <w:pPr>
        <w:adjustRightInd w:val="0"/>
        <w:snapToGrid w:val="0"/>
        <w:spacing w:line="360" w:lineRule="exact"/>
        <w:ind w:firstLine="442" w:firstLineChars="200"/>
        <w:jc w:val="left"/>
        <w:rPr>
          <w:rFonts w:ascii="宋体" w:hAnsi="宋体"/>
          <w:sz w:val="22"/>
        </w:rPr>
      </w:pPr>
      <w:r>
        <w:rPr>
          <w:rFonts w:hint="eastAsia" w:ascii="宋体" w:hAnsi="宋体"/>
          <w:b/>
          <w:sz w:val="22"/>
        </w:rPr>
        <w:t>3．</w:t>
      </w:r>
      <w:r>
        <w:rPr>
          <w:rFonts w:hint="eastAsia" w:ascii="宋体" w:hAnsi="宋体"/>
          <w:sz w:val="22"/>
        </w:rPr>
        <w:t>乙方服务期内，由于非甲方原因发生的系统问题，乙方免费提供维护直至系统性能、状态等达到正常标准，可以正常安全使用为止。如无法修复，乙方应负责免费更换或由甲方退还乙方所供系统，乙方退还甲方支付的合同款，同时应承担该系统的直接费用（运输、保险、检验、货款利息及银行手续费等）以及由此给甲方造成的损失。</w:t>
      </w:r>
    </w:p>
    <w:p>
      <w:pPr>
        <w:spacing w:line="360" w:lineRule="exact"/>
        <w:ind w:left="181" w:leftChars="86" w:firstLine="221" w:firstLineChars="100"/>
        <w:jc w:val="left"/>
        <w:rPr>
          <w:rFonts w:ascii="宋体" w:hAnsi="宋体"/>
          <w:sz w:val="22"/>
        </w:rPr>
      </w:pPr>
      <w:r>
        <w:rPr>
          <w:rFonts w:hint="eastAsia" w:ascii="宋体" w:hAnsi="宋体"/>
          <w:b/>
          <w:sz w:val="22"/>
        </w:rPr>
        <w:t>4．</w:t>
      </w:r>
      <w:r>
        <w:rPr>
          <w:rFonts w:hint="eastAsia" w:ascii="宋体" w:hAnsi="宋体"/>
          <w:sz w:val="22"/>
        </w:rPr>
        <w:t>乙方提供24小时售后服务，在接到报修通知后，维修人员应在【24】小时内连续进行维修，直到系统恢复正常。</w:t>
      </w:r>
    </w:p>
    <w:p>
      <w:pPr>
        <w:spacing w:line="360" w:lineRule="exact"/>
        <w:ind w:left="181" w:leftChars="86" w:firstLine="221" w:firstLineChars="100"/>
        <w:jc w:val="left"/>
        <w:rPr>
          <w:rFonts w:ascii="宋体" w:hAnsi="宋体"/>
          <w:sz w:val="22"/>
        </w:rPr>
      </w:pPr>
      <w:r>
        <w:rPr>
          <w:rFonts w:hint="eastAsia" w:ascii="宋体" w:hAnsi="宋体"/>
          <w:b/>
          <w:sz w:val="22"/>
        </w:rPr>
        <w:t>5．</w:t>
      </w:r>
      <w:r>
        <w:rPr>
          <w:rFonts w:hint="eastAsia" w:ascii="宋体" w:hAnsi="宋体"/>
          <w:sz w:val="22"/>
        </w:rPr>
        <w:t xml:space="preserve"> 乙方需提供项目负责人【】及团队人员【】人负责本合同项下约定的义务履行。合同履行过程中，乙方委派项目负责人不得更换，若因合理原因（包括但不限于正常调动、离职、时间冲突、回避、身体状况等）无法继续或暂时不能提供服务时，乙方应及时告知甲方，并甲方书面同意后，方可更换。</w:t>
      </w:r>
    </w:p>
    <w:p>
      <w:pPr>
        <w:spacing w:line="360" w:lineRule="exact"/>
        <w:ind w:left="181" w:leftChars="86" w:firstLine="221" w:firstLineChars="100"/>
        <w:jc w:val="left"/>
        <w:rPr>
          <w:rFonts w:ascii="宋体" w:hAnsi="宋体"/>
          <w:sz w:val="22"/>
        </w:rPr>
      </w:pPr>
      <w:r>
        <w:rPr>
          <w:rFonts w:ascii="宋体" w:hAnsi="宋体"/>
          <w:b/>
          <w:sz w:val="22"/>
        </w:rPr>
        <w:t>6.</w:t>
      </w:r>
      <w:r>
        <w:rPr>
          <w:rFonts w:hint="eastAsia" w:ascii="宋体" w:hAnsi="宋体"/>
          <w:sz w:val="22"/>
        </w:rPr>
        <w:t>项目团队人员不能履行合同规定的各项义务或不能胜任该项工作的，甲方有权提请乙方予以调换或商请其他同等资历及以上的项目团队人员担任。乙方应在收到甲方书面通知之日起5日内，更换新的项目团队人员。若乙方逾期未提供符合本合同及招标文件约定的相关项目团队人员，甲方有权终止本合同，并要求乙方承担已支付款项5%的违约金。</w:t>
      </w:r>
    </w:p>
    <w:p>
      <w:pPr>
        <w:adjustRightInd w:val="0"/>
        <w:snapToGrid w:val="0"/>
        <w:spacing w:line="360" w:lineRule="exact"/>
        <w:ind w:firstLine="602"/>
        <w:jc w:val="left"/>
        <w:outlineLvl w:val="0"/>
        <w:rPr>
          <w:rFonts w:ascii="宋体" w:hAnsi="宋体"/>
          <w:b/>
          <w:sz w:val="22"/>
        </w:rPr>
      </w:pPr>
      <w:bookmarkStart w:id="37" w:name="_Toc478453300"/>
      <w:r>
        <w:rPr>
          <w:rFonts w:hint="eastAsia" w:ascii="宋体" w:hAnsi="宋体"/>
          <w:b/>
          <w:sz w:val="22"/>
        </w:rPr>
        <w:t>十四、违约责任</w:t>
      </w:r>
      <w:bookmarkEnd w:id="37"/>
    </w:p>
    <w:p>
      <w:pPr>
        <w:adjustRightInd w:val="0"/>
        <w:snapToGrid w:val="0"/>
        <w:spacing w:line="360" w:lineRule="exact"/>
        <w:ind w:firstLine="442" w:firstLineChars="200"/>
        <w:jc w:val="left"/>
        <w:rPr>
          <w:rFonts w:ascii="宋体" w:hAnsi="宋体"/>
          <w:sz w:val="22"/>
        </w:rPr>
      </w:pPr>
      <w:r>
        <w:rPr>
          <w:rFonts w:hint="eastAsia" w:ascii="宋体" w:hAnsi="宋体"/>
          <w:b/>
          <w:sz w:val="22"/>
        </w:rPr>
        <w:t>1.</w:t>
      </w:r>
      <w:r>
        <w:rPr>
          <w:rFonts w:hint="eastAsia" w:ascii="宋体" w:hAnsi="宋体"/>
          <w:sz w:val="22"/>
        </w:rPr>
        <w:t xml:space="preserve"> 甲方无正当理由拒收乙方服务的，甲方向乙方偿付拒收服务总值的每日0.05%的违约金。</w:t>
      </w:r>
    </w:p>
    <w:p>
      <w:pPr>
        <w:adjustRightInd w:val="0"/>
        <w:snapToGrid w:val="0"/>
        <w:spacing w:line="360" w:lineRule="exact"/>
        <w:ind w:firstLine="442" w:firstLineChars="200"/>
        <w:jc w:val="left"/>
        <w:rPr>
          <w:rFonts w:ascii="宋体" w:hAnsi="宋体"/>
          <w:sz w:val="22"/>
        </w:rPr>
      </w:pPr>
      <w:r>
        <w:rPr>
          <w:rFonts w:hint="eastAsia" w:ascii="宋体" w:hAnsi="宋体"/>
          <w:b/>
          <w:sz w:val="22"/>
        </w:rPr>
        <w:t>2.</w:t>
      </w:r>
      <w:r>
        <w:rPr>
          <w:rFonts w:hint="eastAsia" w:ascii="宋体" w:hAnsi="宋体"/>
          <w:sz w:val="22"/>
        </w:rPr>
        <w:t xml:space="preserve"> 甲方无故逾期验收和办理服务费支付手续的,甲方应按逾期付款总额每日0.05%向乙方支付违约金。</w:t>
      </w:r>
    </w:p>
    <w:p>
      <w:pPr>
        <w:adjustRightInd w:val="0"/>
        <w:snapToGrid w:val="0"/>
        <w:spacing w:line="360" w:lineRule="exact"/>
        <w:ind w:firstLine="442" w:firstLineChars="200"/>
        <w:jc w:val="left"/>
        <w:rPr>
          <w:rFonts w:ascii="宋体" w:hAnsi="宋体"/>
          <w:sz w:val="22"/>
        </w:rPr>
      </w:pPr>
      <w:r>
        <w:rPr>
          <w:rFonts w:hint="eastAsia" w:ascii="宋体" w:hAnsi="宋体"/>
          <w:b/>
          <w:sz w:val="22"/>
        </w:rPr>
        <w:t xml:space="preserve">3. </w:t>
      </w:r>
      <w:r>
        <w:rPr>
          <w:rFonts w:hint="eastAsia" w:ascii="宋体" w:hAnsi="宋体"/>
          <w:sz w:val="22"/>
        </w:rPr>
        <w:t xml:space="preserve">乙方逾期提供服务的，乙方应按合同总额每日0.6%向甲方支付违约金，由甲方从服务费中扣除。逾期超过约定日期10个工作日的，甲方可解除本合同。乙方因逾期提供服务或因其他违约行为导致甲方解除合同的，乙方应向甲方支付合同总价5%的违约金，如造成甲方损失超过违约金的，超出部分由乙方继续承担赔偿责任。 </w:t>
      </w:r>
    </w:p>
    <w:p>
      <w:pPr>
        <w:adjustRightInd w:val="0"/>
        <w:snapToGrid w:val="0"/>
        <w:spacing w:line="360" w:lineRule="exact"/>
        <w:ind w:firstLine="442" w:firstLineChars="200"/>
        <w:jc w:val="left"/>
        <w:rPr>
          <w:rFonts w:ascii="宋体" w:hAnsi="宋体"/>
          <w:sz w:val="22"/>
        </w:rPr>
      </w:pPr>
      <w:r>
        <w:rPr>
          <w:rFonts w:hint="eastAsia" w:ascii="宋体" w:hAnsi="宋体"/>
          <w:b/>
          <w:sz w:val="22"/>
        </w:rPr>
        <w:t xml:space="preserve">4. </w:t>
      </w:r>
      <w:r>
        <w:rPr>
          <w:rFonts w:hint="eastAsia" w:ascii="宋体" w:hAnsi="宋体"/>
          <w:sz w:val="22"/>
        </w:rPr>
        <w:t xml:space="preserve"> 乙方所提供的服务不符合合同规定标准的，甲方有权拒绝，或要求乙方整改；乙方愿意整改但逾期未整改完成的，按乙方逾期提供服务处理。乙方拒绝整改的，甲方可单方面解除合同。</w:t>
      </w:r>
    </w:p>
    <w:p>
      <w:pPr>
        <w:adjustRightInd w:val="0"/>
        <w:snapToGrid w:val="0"/>
        <w:spacing w:line="360" w:lineRule="exact"/>
        <w:ind w:firstLine="442" w:firstLineChars="200"/>
        <w:jc w:val="left"/>
        <w:rPr>
          <w:rFonts w:ascii="宋体" w:hAnsi="宋体"/>
          <w:sz w:val="22"/>
        </w:rPr>
      </w:pPr>
      <w:r>
        <w:rPr>
          <w:rFonts w:hint="eastAsia" w:ascii="宋体" w:hAnsi="宋体"/>
          <w:b/>
          <w:sz w:val="22"/>
        </w:rPr>
        <w:t>5．</w:t>
      </w:r>
      <w:r>
        <w:rPr>
          <w:rFonts w:hint="eastAsia" w:ascii="宋体" w:hAnsi="宋体"/>
          <w:sz w:val="22"/>
        </w:rPr>
        <w:t xml:space="preserve"> 乙方向甲方提供服务期间，因乙方原因导致甲方或第三方人身、财产损害的，乙方须依法承担全部赔偿责任；如因该等损害导致甲方向第三方承担赔偿责任的，乙方须在甲方赔偿范围内全额向甲方作出赔偿。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exact"/>
        <w:ind w:firstLine="442" w:firstLineChars="200"/>
        <w:jc w:val="left"/>
        <w:rPr>
          <w:rFonts w:ascii="宋体" w:hAnsi="宋体"/>
          <w:sz w:val="22"/>
        </w:rPr>
      </w:pPr>
      <w:r>
        <w:rPr>
          <w:rFonts w:hint="eastAsia" w:ascii="宋体" w:hAnsi="宋体"/>
          <w:b/>
          <w:sz w:val="22"/>
        </w:rPr>
        <w:t>6.</w:t>
      </w:r>
      <w:r>
        <w:rPr>
          <w:rFonts w:hint="eastAsia" w:ascii="宋体" w:hAnsi="宋体"/>
          <w:sz w:val="22"/>
        </w:rPr>
        <w:t xml:space="preserve"> 乙方不在约定期限内派人提供服务或服务质量验收不合格的，甲方可以委托他人实施，费用由乙方承担，甲方与第三方确认后可直接从服务费中扣除。</w:t>
      </w:r>
    </w:p>
    <w:p>
      <w:pPr>
        <w:adjustRightInd w:val="0"/>
        <w:snapToGrid w:val="0"/>
        <w:spacing w:line="360" w:lineRule="exact"/>
        <w:ind w:firstLine="442" w:firstLineChars="200"/>
        <w:jc w:val="left"/>
        <w:rPr>
          <w:rFonts w:ascii="宋体" w:hAnsi="宋体"/>
          <w:sz w:val="22"/>
        </w:rPr>
      </w:pPr>
      <w:r>
        <w:rPr>
          <w:rFonts w:hint="eastAsia" w:ascii="宋体" w:hAnsi="宋体"/>
          <w:b/>
          <w:sz w:val="22"/>
        </w:rPr>
        <w:t>7．</w:t>
      </w:r>
      <w:r>
        <w:rPr>
          <w:rFonts w:hint="eastAsia" w:ascii="宋体" w:hAnsi="宋体"/>
          <w:sz w:val="22"/>
        </w:rPr>
        <w:t>除本合同另有规定外，乙方违反其在本合同项下其他义务并给甲方造成损失的，须向甲方承担全部赔偿责任。</w:t>
      </w:r>
    </w:p>
    <w:p>
      <w:pPr>
        <w:adjustRightInd w:val="0"/>
        <w:snapToGrid w:val="0"/>
        <w:spacing w:line="276" w:lineRule="auto"/>
        <w:ind w:firstLine="440" w:firstLineChars="200"/>
        <w:jc w:val="left"/>
        <w:rPr>
          <w:rFonts w:ascii="宋体" w:hAnsi="宋体" w:cs="仿宋_GB2312"/>
          <w:sz w:val="22"/>
        </w:rPr>
      </w:pPr>
      <w:r>
        <w:rPr>
          <w:rFonts w:hint="eastAsia" w:ascii="宋体" w:hAnsi="宋体" w:cs="仿宋_GB2312"/>
          <w:sz w:val="22"/>
        </w:rPr>
        <w:t>8.乙方提供服务的时间应当满足甲方运营需要。所有法定节假日、重大事件及自然灾害等因素均不能作为中断服务的理由。</w:t>
      </w:r>
    </w:p>
    <w:p>
      <w:pPr>
        <w:adjustRightInd w:val="0"/>
        <w:snapToGrid w:val="0"/>
        <w:spacing w:line="276" w:lineRule="auto"/>
        <w:rPr>
          <w:rFonts w:ascii="宋体" w:hAnsi="宋体" w:cs="仿宋_GB2312"/>
          <w:sz w:val="22"/>
        </w:rPr>
      </w:pPr>
      <w:r>
        <w:rPr>
          <w:rFonts w:hint="eastAsia" w:ascii="宋体" w:hAnsi="宋体" w:cs="仿宋_GB2312"/>
          <w:sz w:val="22"/>
        </w:rPr>
        <w:t>9.根据甲方实际业务需要，甲方有权随时调配乙方工作人员的工作地点。乙方应当听从甲方及其指定人员的指挥，服从命令、执行任务，保证机场安全、正常运行。</w:t>
      </w:r>
    </w:p>
    <w:p>
      <w:pPr>
        <w:adjustRightInd w:val="0"/>
        <w:snapToGrid w:val="0"/>
        <w:spacing w:line="276" w:lineRule="auto"/>
        <w:rPr>
          <w:rFonts w:ascii="宋体" w:hAnsi="宋体" w:cs="仿宋_GB2312"/>
          <w:sz w:val="22"/>
        </w:rPr>
      </w:pPr>
      <w:r>
        <w:rPr>
          <w:rFonts w:hint="eastAsia" w:ascii="宋体" w:hAnsi="宋体" w:cs="仿宋_GB2312"/>
          <w:sz w:val="22"/>
        </w:rPr>
        <w:t>10.乙方应当安排专人24小时值班，并配置固定联系电话，并确保通讯畅通。乙方值守人员不得以任何理由拒接甲方工作人员电话，否则，由此造成的损失和后果由乙方承担。</w:t>
      </w:r>
    </w:p>
    <w:p>
      <w:pPr>
        <w:adjustRightInd w:val="0"/>
        <w:snapToGrid w:val="0"/>
        <w:spacing w:line="276" w:lineRule="auto"/>
        <w:rPr>
          <w:rFonts w:ascii="宋体" w:hAnsi="宋体" w:cs="仿宋_GB2312"/>
          <w:sz w:val="22"/>
        </w:rPr>
      </w:pPr>
      <w:r>
        <w:rPr>
          <w:rFonts w:hint="eastAsia" w:ascii="宋体" w:hAnsi="宋体" w:cs="仿宋_GB2312"/>
          <w:sz w:val="22"/>
        </w:rPr>
        <w:t>11.乙方应当建立一套完善、全面的管理制度，对乙方工作人员依照管理制度进行管理，乙方制度应当符合甲方相关制度、规则及各项安全规范。</w:t>
      </w:r>
    </w:p>
    <w:p>
      <w:pPr>
        <w:adjustRightInd w:val="0"/>
        <w:snapToGrid w:val="0"/>
        <w:spacing w:line="276" w:lineRule="auto"/>
        <w:rPr>
          <w:rFonts w:ascii="宋体" w:hAnsi="宋体" w:cs="仿宋_GB2312"/>
          <w:sz w:val="22"/>
        </w:rPr>
      </w:pPr>
      <w:r>
        <w:rPr>
          <w:rFonts w:hint="eastAsia" w:ascii="宋体" w:hAnsi="宋体" w:cs="仿宋_GB2312"/>
          <w:sz w:val="22"/>
        </w:rPr>
        <w:t>12.乙方在进行服务期间，应按照合同要求配发和穿戴劳保防护用品。除合同另有约定外，所有参与本项目的工作人员应统一着装。</w:t>
      </w:r>
    </w:p>
    <w:p>
      <w:pPr>
        <w:adjustRightInd w:val="0"/>
        <w:snapToGrid w:val="0"/>
        <w:spacing w:line="276" w:lineRule="auto"/>
        <w:rPr>
          <w:rFonts w:ascii="宋体" w:hAnsi="宋体" w:cs="仿宋_GB2312"/>
          <w:sz w:val="22"/>
        </w:rPr>
      </w:pPr>
      <w:r>
        <w:rPr>
          <w:rFonts w:hint="eastAsia" w:ascii="宋体" w:hAnsi="宋体" w:cs="仿宋_GB2312"/>
          <w:sz w:val="22"/>
        </w:rPr>
        <w:t>13.乙方为本合同服务所配备人员在上岗前进行岗前培训，内容包括但不限于安全、服务要求、设备设施使用、规章制度以及其他与本项目有关的内容。</w:t>
      </w:r>
    </w:p>
    <w:p>
      <w:pPr>
        <w:adjustRightInd w:val="0"/>
        <w:snapToGrid w:val="0"/>
        <w:spacing w:line="276" w:lineRule="auto"/>
        <w:rPr>
          <w:rFonts w:ascii="宋体" w:hAnsi="宋体" w:cs="仿宋_GB2312"/>
          <w:sz w:val="22"/>
        </w:rPr>
      </w:pPr>
      <w:r>
        <w:rPr>
          <w:rFonts w:hint="eastAsia" w:ascii="宋体" w:hAnsi="宋体" w:cs="仿宋_GB2312"/>
          <w:sz w:val="22"/>
        </w:rPr>
        <w:t>14.乙方工作人员应当具备工作技能、达到上岗要求后方能上岗工作。</w:t>
      </w:r>
    </w:p>
    <w:p>
      <w:pPr>
        <w:adjustRightInd w:val="0"/>
        <w:snapToGrid w:val="0"/>
        <w:spacing w:line="276" w:lineRule="auto"/>
        <w:rPr>
          <w:rFonts w:ascii="宋体" w:hAnsi="宋体" w:cs="仿宋_GB2312"/>
          <w:sz w:val="22"/>
        </w:rPr>
      </w:pPr>
      <w:r>
        <w:rPr>
          <w:rFonts w:hint="eastAsia" w:ascii="宋体" w:hAnsi="宋体" w:cs="仿宋_GB2312"/>
          <w:sz w:val="22"/>
        </w:rPr>
        <w:t>乙方在履行合同中需要使用甲方设备、设施的，应当先征得甲方同意并在甲方备案。乙方应当合理使用并有效保护甲方设备、设施，因乙方原因造成甲方设备、设施损坏的，乙方承担赔偿责任。</w:t>
      </w:r>
    </w:p>
    <w:p>
      <w:pPr>
        <w:adjustRightInd w:val="0"/>
        <w:snapToGrid w:val="0"/>
        <w:spacing w:line="276" w:lineRule="auto"/>
        <w:rPr>
          <w:rFonts w:ascii="宋体" w:hAnsi="宋体" w:cs="仿宋_GB2312"/>
          <w:sz w:val="22"/>
        </w:rPr>
      </w:pPr>
      <w:r>
        <w:rPr>
          <w:rFonts w:hint="eastAsia" w:ascii="宋体" w:hAnsi="宋体" w:cs="仿宋_GB2312"/>
          <w:sz w:val="22"/>
        </w:rPr>
        <w:t>15.乙方应当按国家劳动法律法规的规定，与履行本合同项下服务内容的工作人员订立劳动合同，为本项目工作人员按时发放工资和相关福利、缴纳社会保险、工伤保险等。乙方与其聘用的工作人员发生劳动纠纷，均由乙方负责调解和处理并承担全部责任，甲方不承担任何责任。</w:t>
      </w:r>
    </w:p>
    <w:p>
      <w:pPr>
        <w:adjustRightInd w:val="0"/>
        <w:snapToGrid w:val="0"/>
        <w:spacing w:line="276" w:lineRule="auto"/>
        <w:rPr>
          <w:rFonts w:ascii="宋体" w:hAnsi="宋体" w:cs="仿宋_GB2312"/>
          <w:sz w:val="22"/>
        </w:rPr>
      </w:pPr>
      <w:r>
        <w:rPr>
          <w:rFonts w:hint="eastAsia" w:ascii="宋体" w:hAnsi="宋体" w:cs="仿宋_GB2312"/>
          <w:sz w:val="22"/>
        </w:rPr>
        <w:t>16.乙方应当按照法律法规的规定，安排工作人员休息和休假，为工作人员提供必要的劳动保护和劳动条件。</w:t>
      </w:r>
    </w:p>
    <w:p>
      <w:pPr>
        <w:adjustRightInd w:val="0"/>
        <w:snapToGrid w:val="0"/>
        <w:spacing w:line="276" w:lineRule="auto"/>
        <w:rPr>
          <w:rFonts w:ascii="宋体" w:hAnsi="宋体" w:cs="仿宋_GB2312"/>
          <w:sz w:val="22"/>
        </w:rPr>
      </w:pPr>
      <w:r>
        <w:rPr>
          <w:rFonts w:hint="eastAsia" w:ascii="宋体" w:hAnsi="宋体" w:cs="仿宋_GB2312"/>
          <w:sz w:val="22"/>
        </w:rPr>
        <w:t>17.乙方用工必须遵守《中华人民共和国劳动法》、《中华人民共和国劳动合同法》及相关法律法规。在本合同有效期内，乙方必须与其为履行本合同义务而派往甲方的工作人员建立并存续合法的劳动合同关系，对特殊岗位的工作人员，提出保密工作要求；乙方应把相应要求列入与其工作人员或者雇佣人员签订的劳动合同中。乙方对该等工作人员必须依法履行用人单位义务。</w:t>
      </w:r>
    </w:p>
    <w:p>
      <w:pPr>
        <w:adjustRightInd w:val="0"/>
        <w:snapToGrid w:val="0"/>
        <w:spacing w:line="360" w:lineRule="exact"/>
        <w:jc w:val="left"/>
        <w:rPr>
          <w:rFonts w:ascii="宋体" w:hAnsi="宋体"/>
          <w:sz w:val="22"/>
        </w:rPr>
      </w:pPr>
      <w:r>
        <w:rPr>
          <w:rFonts w:hint="eastAsia" w:ascii="宋体" w:hAnsi="宋体" w:cs="仿宋_GB2312"/>
          <w:sz w:val="22"/>
        </w:rPr>
        <w:t>18.在本合同履行过程中，如发生非因甲方原因导致的乙方工作人员或者雇佣人员任何损害，均应由乙方负责处理并依法承担责任。如果甲方发现乙方未与其派往甲方的工作人员建立劳动关系或者未依法履行用人单位义务的，甲方有权要求乙方更换该等工作人员或者雇佣人员，乙方必须按照甲方要求指定符合本合同约定的工作人员或者雇佣人员履行本合同项下之义务。</w:t>
      </w:r>
    </w:p>
    <w:p>
      <w:pPr>
        <w:adjustRightInd w:val="0"/>
        <w:snapToGrid w:val="0"/>
        <w:spacing w:line="360" w:lineRule="exact"/>
        <w:ind w:firstLine="602"/>
        <w:jc w:val="left"/>
        <w:outlineLvl w:val="0"/>
        <w:rPr>
          <w:rFonts w:ascii="宋体" w:hAnsi="宋体"/>
          <w:b/>
          <w:sz w:val="22"/>
        </w:rPr>
      </w:pPr>
      <w:bookmarkStart w:id="38" w:name="_Toc478453301"/>
      <w:r>
        <w:rPr>
          <w:rFonts w:hint="eastAsia" w:ascii="宋体" w:hAnsi="宋体"/>
          <w:b/>
          <w:sz w:val="22"/>
        </w:rPr>
        <w:t>十二、不可抗力事件处理</w:t>
      </w:r>
      <w:bookmarkEnd w:id="38"/>
    </w:p>
    <w:p>
      <w:pPr>
        <w:adjustRightInd w:val="0"/>
        <w:snapToGrid w:val="0"/>
        <w:spacing w:line="360" w:lineRule="exact"/>
        <w:ind w:firstLine="442" w:firstLineChars="200"/>
        <w:jc w:val="left"/>
        <w:rPr>
          <w:rFonts w:ascii="宋体" w:hAnsi="宋体"/>
          <w:sz w:val="22"/>
        </w:rPr>
      </w:pPr>
      <w:r>
        <w:rPr>
          <w:rFonts w:hint="eastAsia" w:ascii="宋体" w:hAnsi="宋体"/>
          <w:b/>
          <w:sz w:val="22"/>
        </w:rPr>
        <w:t>1.</w:t>
      </w:r>
      <w:r>
        <w:rPr>
          <w:rFonts w:hint="eastAsia" w:ascii="宋体" w:hAnsi="宋体"/>
          <w:sz w:val="22"/>
        </w:rPr>
        <w:t xml:space="preserve"> 在合同有效期内，任何一方因不可抗力事件导致不能履行合同，则合同履行期可延长，其延长期与不可抗力影响期相同。</w:t>
      </w:r>
    </w:p>
    <w:p>
      <w:pPr>
        <w:adjustRightInd w:val="0"/>
        <w:snapToGrid w:val="0"/>
        <w:spacing w:line="360" w:lineRule="exact"/>
        <w:ind w:firstLine="442" w:firstLineChars="200"/>
        <w:jc w:val="left"/>
        <w:rPr>
          <w:rFonts w:ascii="宋体" w:hAnsi="宋体"/>
          <w:sz w:val="22"/>
        </w:rPr>
      </w:pPr>
      <w:r>
        <w:rPr>
          <w:rFonts w:hint="eastAsia" w:ascii="宋体" w:hAnsi="宋体"/>
          <w:b/>
          <w:sz w:val="22"/>
        </w:rPr>
        <w:t>2.</w:t>
      </w:r>
      <w:r>
        <w:rPr>
          <w:rFonts w:hint="eastAsia" w:ascii="宋体" w:hAnsi="宋体"/>
          <w:sz w:val="22"/>
        </w:rPr>
        <w:t xml:space="preserve"> 不可抗力事件发生后，遭遇不可抗力的一方应立即通知对方，并寄送有关官方权威机构出具的证明。</w:t>
      </w:r>
    </w:p>
    <w:p>
      <w:pPr>
        <w:spacing w:line="360" w:lineRule="exact"/>
        <w:ind w:firstLine="420" w:firstLineChars="190"/>
        <w:jc w:val="left"/>
        <w:rPr>
          <w:rFonts w:ascii="宋体" w:hAnsi="宋体"/>
          <w:sz w:val="22"/>
        </w:rPr>
      </w:pPr>
      <w:r>
        <w:rPr>
          <w:rFonts w:hint="eastAsia" w:ascii="宋体" w:hAnsi="宋体"/>
          <w:b/>
          <w:sz w:val="22"/>
        </w:rPr>
        <w:t xml:space="preserve">3. </w:t>
      </w:r>
      <w:r>
        <w:rPr>
          <w:rFonts w:hint="eastAsia" w:ascii="宋体" w:hAnsi="宋体"/>
          <w:sz w:val="22"/>
        </w:rPr>
        <w:t>不可抗力事件延续140天以上，双方应通过友好协商，确定是否继续履行合同；协商无法达成一致的，本合同自动终止，双方互不承担赔偿或违约责任。</w:t>
      </w:r>
    </w:p>
    <w:p>
      <w:pPr>
        <w:adjustRightInd w:val="0"/>
        <w:snapToGrid w:val="0"/>
        <w:spacing w:line="360" w:lineRule="exact"/>
        <w:ind w:firstLine="442" w:firstLineChars="200"/>
        <w:jc w:val="left"/>
        <w:rPr>
          <w:rFonts w:ascii="宋体" w:hAnsi="宋体"/>
          <w:b/>
          <w:sz w:val="22"/>
        </w:rPr>
      </w:pPr>
      <w:r>
        <w:rPr>
          <w:rFonts w:hint="eastAsia" w:ascii="宋体" w:hAnsi="宋体"/>
          <w:b/>
          <w:sz w:val="22"/>
        </w:rPr>
        <w:t>十三、争议解决</w:t>
      </w:r>
    </w:p>
    <w:p>
      <w:pPr>
        <w:adjustRightInd w:val="0"/>
        <w:snapToGrid w:val="0"/>
        <w:spacing w:line="360" w:lineRule="exact"/>
        <w:ind w:firstLine="440" w:firstLineChars="200"/>
        <w:jc w:val="left"/>
        <w:rPr>
          <w:rFonts w:ascii="宋体" w:hAnsi="宋体"/>
          <w:sz w:val="22"/>
        </w:rPr>
      </w:pPr>
      <w:r>
        <w:rPr>
          <w:rFonts w:hint="eastAsia" w:ascii="宋体" w:hAnsi="宋体"/>
          <w:sz w:val="22"/>
        </w:rPr>
        <w:t>双方在执行合同中所发生的一切争议，应通过协商解决。如协商不成，由甲方所在地的人民法院管辖审理。</w:t>
      </w:r>
    </w:p>
    <w:p>
      <w:pPr>
        <w:adjustRightInd w:val="0"/>
        <w:snapToGrid w:val="0"/>
        <w:spacing w:line="360" w:lineRule="exact"/>
        <w:ind w:firstLine="442" w:firstLineChars="200"/>
        <w:jc w:val="left"/>
        <w:rPr>
          <w:rFonts w:ascii="宋体" w:hAnsi="宋体"/>
          <w:b/>
          <w:sz w:val="22"/>
        </w:rPr>
      </w:pPr>
      <w:r>
        <w:rPr>
          <w:rFonts w:hint="eastAsia" w:ascii="宋体" w:hAnsi="宋体"/>
          <w:b/>
          <w:sz w:val="22"/>
        </w:rPr>
        <w:t>十四、合同组成文件包含下列内容，且解释顺序如下：</w:t>
      </w:r>
    </w:p>
    <w:p>
      <w:pPr>
        <w:adjustRightInd w:val="0"/>
        <w:snapToGrid w:val="0"/>
        <w:spacing w:line="360" w:lineRule="exact"/>
        <w:ind w:firstLine="442" w:firstLineChars="200"/>
        <w:jc w:val="left"/>
        <w:rPr>
          <w:rFonts w:ascii="宋体" w:hAnsi="宋体"/>
          <w:sz w:val="22"/>
        </w:rPr>
      </w:pPr>
      <w:r>
        <w:rPr>
          <w:rFonts w:hint="eastAsia" w:ascii="宋体" w:hAnsi="宋体"/>
          <w:b/>
          <w:sz w:val="22"/>
        </w:rPr>
        <w:t>1.</w:t>
      </w:r>
      <w:r>
        <w:rPr>
          <w:rFonts w:hint="eastAsia" w:ascii="宋体" w:hAnsi="宋体"/>
          <w:sz w:val="22"/>
        </w:rPr>
        <w:t>本合同协议书</w:t>
      </w:r>
    </w:p>
    <w:p>
      <w:pPr>
        <w:adjustRightInd w:val="0"/>
        <w:snapToGrid w:val="0"/>
        <w:spacing w:line="360" w:lineRule="exact"/>
        <w:ind w:firstLine="442" w:firstLineChars="200"/>
        <w:jc w:val="left"/>
        <w:rPr>
          <w:rFonts w:ascii="宋体" w:hAnsi="宋体"/>
          <w:sz w:val="22"/>
        </w:rPr>
      </w:pPr>
      <w:r>
        <w:rPr>
          <w:rFonts w:hint="eastAsia" w:ascii="宋体" w:hAnsi="宋体"/>
          <w:b/>
          <w:sz w:val="22"/>
        </w:rPr>
        <w:t>2.</w:t>
      </w:r>
      <w:r>
        <w:rPr>
          <w:rFonts w:hint="eastAsia" w:ascii="宋体" w:hAnsi="宋体"/>
          <w:sz w:val="22"/>
        </w:rPr>
        <w:t>中标通知书</w:t>
      </w:r>
    </w:p>
    <w:p>
      <w:pPr>
        <w:adjustRightInd w:val="0"/>
        <w:snapToGrid w:val="0"/>
        <w:spacing w:line="360" w:lineRule="exact"/>
        <w:ind w:firstLine="442" w:firstLineChars="200"/>
        <w:jc w:val="left"/>
        <w:rPr>
          <w:rFonts w:ascii="宋体" w:hAnsi="宋体"/>
          <w:sz w:val="22"/>
        </w:rPr>
      </w:pPr>
      <w:r>
        <w:rPr>
          <w:rFonts w:hint="eastAsia" w:ascii="宋体" w:hAnsi="宋体"/>
          <w:b/>
          <w:sz w:val="22"/>
        </w:rPr>
        <w:t>3.</w:t>
      </w:r>
      <w:r>
        <w:rPr>
          <w:rFonts w:hint="eastAsia" w:ascii="宋体" w:hAnsi="宋体"/>
          <w:sz w:val="22"/>
        </w:rPr>
        <w:t>招标文件</w:t>
      </w:r>
    </w:p>
    <w:p>
      <w:pPr>
        <w:adjustRightInd w:val="0"/>
        <w:snapToGrid w:val="0"/>
        <w:spacing w:line="360" w:lineRule="exact"/>
        <w:ind w:firstLine="442" w:firstLineChars="200"/>
        <w:jc w:val="left"/>
        <w:rPr>
          <w:rFonts w:ascii="宋体" w:hAnsi="宋体"/>
          <w:sz w:val="22"/>
        </w:rPr>
      </w:pPr>
      <w:r>
        <w:rPr>
          <w:rFonts w:hint="eastAsia" w:ascii="宋体" w:hAnsi="宋体"/>
          <w:b/>
          <w:sz w:val="22"/>
        </w:rPr>
        <w:t>4.</w:t>
      </w:r>
      <w:r>
        <w:rPr>
          <w:rFonts w:hint="eastAsia" w:ascii="宋体" w:hAnsi="宋体"/>
          <w:sz w:val="22"/>
        </w:rPr>
        <w:t>投标书及其附件</w:t>
      </w:r>
    </w:p>
    <w:p>
      <w:pPr>
        <w:adjustRightInd w:val="0"/>
        <w:snapToGrid w:val="0"/>
        <w:spacing w:line="360" w:lineRule="exact"/>
        <w:ind w:firstLine="442" w:firstLineChars="200"/>
        <w:jc w:val="left"/>
        <w:rPr>
          <w:rFonts w:ascii="宋体" w:hAnsi="宋体"/>
          <w:sz w:val="22"/>
        </w:rPr>
      </w:pPr>
      <w:r>
        <w:rPr>
          <w:rFonts w:hint="eastAsia" w:ascii="宋体" w:hAnsi="宋体"/>
          <w:b/>
          <w:sz w:val="22"/>
        </w:rPr>
        <w:t>5.</w:t>
      </w:r>
      <w:r>
        <w:rPr>
          <w:rFonts w:hint="eastAsia" w:ascii="宋体" w:hAnsi="宋体"/>
          <w:sz w:val="22"/>
        </w:rPr>
        <w:t>标准、规范及有关技术文件</w:t>
      </w:r>
    </w:p>
    <w:p>
      <w:pPr>
        <w:adjustRightInd w:val="0"/>
        <w:snapToGrid w:val="0"/>
        <w:spacing w:line="360" w:lineRule="exact"/>
        <w:ind w:firstLine="442" w:firstLineChars="200"/>
        <w:jc w:val="left"/>
        <w:outlineLvl w:val="0"/>
        <w:rPr>
          <w:rFonts w:ascii="宋体" w:hAnsi="宋体"/>
          <w:b/>
          <w:sz w:val="22"/>
        </w:rPr>
      </w:pPr>
      <w:bookmarkStart w:id="39" w:name="_Toc478453302"/>
      <w:r>
        <w:rPr>
          <w:rFonts w:hint="eastAsia" w:ascii="宋体" w:hAnsi="宋体"/>
          <w:b/>
          <w:sz w:val="22"/>
        </w:rPr>
        <w:t>十五、合同生效及其它</w:t>
      </w:r>
      <w:bookmarkEnd w:id="39"/>
    </w:p>
    <w:p>
      <w:pPr>
        <w:adjustRightInd w:val="0"/>
        <w:snapToGrid w:val="0"/>
        <w:spacing w:line="360" w:lineRule="exact"/>
        <w:ind w:firstLine="442" w:firstLineChars="200"/>
        <w:jc w:val="left"/>
        <w:rPr>
          <w:rFonts w:ascii="宋体" w:hAnsi="宋体"/>
          <w:sz w:val="22"/>
        </w:rPr>
      </w:pPr>
      <w:r>
        <w:rPr>
          <w:rFonts w:hint="eastAsia" w:ascii="宋体" w:hAnsi="宋体"/>
          <w:b/>
          <w:sz w:val="22"/>
        </w:rPr>
        <w:t>1.</w:t>
      </w:r>
      <w:r>
        <w:rPr>
          <w:rFonts w:hint="eastAsia" w:ascii="宋体" w:hAnsi="宋体"/>
          <w:sz w:val="22"/>
        </w:rPr>
        <w:t xml:space="preserve"> 合同经双方法定代表人或授权代表签字（包含签章）并加盖单位公章或者合同专用章之日起生效。</w:t>
      </w:r>
    </w:p>
    <w:p>
      <w:pPr>
        <w:adjustRightInd w:val="0"/>
        <w:snapToGrid w:val="0"/>
        <w:spacing w:line="360" w:lineRule="exact"/>
        <w:ind w:firstLine="442" w:firstLineChars="200"/>
        <w:jc w:val="left"/>
        <w:rPr>
          <w:rFonts w:ascii="宋体" w:hAnsi="宋体"/>
          <w:sz w:val="22"/>
        </w:rPr>
      </w:pPr>
      <w:r>
        <w:rPr>
          <w:rFonts w:hint="eastAsia" w:ascii="宋体" w:hAnsi="宋体"/>
          <w:b/>
          <w:sz w:val="22"/>
        </w:rPr>
        <w:t>2.</w:t>
      </w:r>
      <w:r>
        <w:rPr>
          <w:rFonts w:hint="eastAsia" w:ascii="宋体" w:hAnsi="宋体"/>
          <w:sz w:val="22"/>
        </w:rPr>
        <w:t>本合同未尽事宜，双方可签订补充协议予以执行；未达成补充协议的，遵照《合同法》及有关法律法规执行。</w:t>
      </w:r>
    </w:p>
    <w:p>
      <w:pPr>
        <w:tabs>
          <w:tab w:val="right" w:pos="8306"/>
        </w:tabs>
        <w:adjustRightInd w:val="0"/>
        <w:snapToGrid w:val="0"/>
        <w:spacing w:line="360" w:lineRule="exact"/>
        <w:ind w:firstLine="442" w:firstLineChars="200"/>
        <w:jc w:val="left"/>
        <w:rPr>
          <w:rFonts w:ascii="宋体" w:hAnsi="宋体"/>
          <w:sz w:val="22"/>
        </w:rPr>
      </w:pPr>
      <w:r>
        <w:rPr>
          <w:rFonts w:hint="eastAsia" w:ascii="宋体" w:hAnsi="宋体"/>
          <w:b/>
          <w:sz w:val="22"/>
        </w:rPr>
        <w:t>3.</w:t>
      </w:r>
      <w:r>
        <w:rPr>
          <w:rFonts w:hint="eastAsia" w:ascii="宋体" w:hAnsi="宋体"/>
          <w:sz w:val="22"/>
        </w:rPr>
        <w:t>本合同一式陆份，甲乙双方各持三份，具有同等法律效力。</w:t>
      </w:r>
    </w:p>
    <w:p>
      <w:pPr>
        <w:tabs>
          <w:tab w:val="right" w:pos="8306"/>
        </w:tabs>
        <w:adjustRightInd w:val="0"/>
        <w:snapToGrid w:val="0"/>
        <w:spacing w:line="360" w:lineRule="exact"/>
        <w:ind w:firstLine="440" w:firstLineChars="200"/>
        <w:jc w:val="left"/>
        <w:rPr>
          <w:rFonts w:ascii="宋体" w:hAnsi="宋体"/>
          <w:sz w:val="22"/>
        </w:rPr>
      </w:pPr>
      <w:r>
        <w:rPr>
          <w:rFonts w:ascii="宋体" w:hAnsi="宋体"/>
          <w:sz w:val="22"/>
        </w:rPr>
        <w:t>4.</w:t>
      </w:r>
      <w:r>
        <w:rPr>
          <w:rFonts w:hint="eastAsia" w:ascii="宋体" w:hAnsi="宋体"/>
          <w:sz w:val="22"/>
        </w:rPr>
        <w:t>附件：（</w:t>
      </w:r>
      <w:r>
        <w:rPr>
          <w:rFonts w:ascii="宋体" w:hAnsi="宋体"/>
          <w:sz w:val="22"/>
        </w:rPr>
        <w:t>1</w:t>
      </w:r>
      <w:r>
        <w:rPr>
          <w:rFonts w:hint="eastAsia" w:ascii="宋体" w:hAnsi="宋体"/>
          <w:sz w:val="22"/>
        </w:rPr>
        <w:t>）项目实施团队（人员名单）；（</w:t>
      </w:r>
      <w:r>
        <w:rPr>
          <w:rFonts w:ascii="宋体" w:hAnsi="宋体"/>
          <w:sz w:val="22"/>
        </w:rPr>
        <w:t>2</w:t>
      </w:r>
      <w:r>
        <w:rPr>
          <w:rFonts w:hint="eastAsia" w:ascii="宋体" w:hAnsi="宋体"/>
          <w:sz w:val="22"/>
        </w:rPr>
        <w:t>）验收考核办法；（</w:t>
      </w:r>
      <w:r>
        <w:rPr>
          <w:rFonts w:ascii="宋体" w:hAnsi="宋体"/>
          <w:sz w:val="22"/>
        </w:rPr>
        <w:t>3</w:t>
      </w:r>
      <w:r>
        <w:rPr>
          <w:rFonts w:hint="eastAsia" w:ascii="宋体" w:hAnsi="宋体"/>
          <w:sz w:val="22"/>
        </w:rPr>
        <w:t>）廉洁自律承诺书；（</w:t>
      </w:r>
      <w:r>
        <w:rPr>
          <w:rFonts w:ascii="宋体" w:hAnsi="宋体"/>
          <w:sz w:val="22"/>
        </w:rPr>
        <w:t>4</w:t>
      </w:r>
      <w:r>
        <w:rPr>
          <w:rFonts w:hint="eastAsia" w:ascii="宋体" w:hAnsi="宋体"/>
          <w:sz w:val="22"/>
        </w:rPr>
        <w:t>）保密承诺书。</w:t>
      </w:r>
    </w:p>
    <w:p>
      <w:pPr>
        <w:widowControl/>
        <w:jc w:val="left"/>
        <w:rPr>
          <w:rFonts w:ascii="宋体" w:hAnsi="宋体"/>
          <w:sz w:val="22"/>
        </w:rPr>
      </w:pPr>
      <w:r>
        <w:rPr>
          <w:rFonts w:ascii="宋体" w:hAnsi="宋体"/>
          <w:sz w:val="22"/>
        </w:rPr>
        <w:br w:type="page"/>
      </w:r>
    </w:p>
    <w:p>
      <w:pPr>
        <w:tabs>
          <w:tab w:val="right" w:pos="8306"/>
        </w:tabs>
        <w:adjustRightInd w:val="0"/>
        <w:snapToGrid w:val="0"/>
        <w:spacing w:line="360" w:lineRule="exact"/>
        <w:ind w:firstLine="440" w:firstLineChars="200"/>
        <w:jc w:val="left"/>
        <w:rPr>
          <w:rFonts w:ascii="宋体" w:hAnsi="宋体"/>
          <w:sz w:val="22"/>
        </w:rPr>
      </w:pPr>
      <w:r>
        <w:rPr>
          <w:rFonts w:hint="eastAsia" w:ascii="宋体" w:hAnsi="宋体"/>
          <w:sz w:val="22"/>
        </w:rPr>
        <w:tab/>
      </w:r>
    </w:p>
    <w:p>
      <w:pPr>
        <w:adjustRightInd w:val="0"/>
        <w:snapToGrid w:val="0"/>
        <w:spacing w:line="360" w:lineRule="exact"/>
        <w:jc w:val="left"/>
        <w:rPr>
          <w:rFonts w:ascii="宋体" w:hAnsi="宋体"/>
          <w:sz w:val="22"/>
        </w:rPr>
      </w:pPr>
      <w:r>
        <w:rPr>
          <w:rFonts w:hint="eastAsia" w:ascii="宋体" w:hAnsi="宋体"/>
          <w:sz w:val="22"/>
        </w:rPr>
        <w:t xml:space="preserve">甲方：杭州萧山国际机场有限公司  乙方： </w:t>
      </w:r>
    </w:p>
    <w:p>
      <w:pPr>
        <w:adjustRightInd w:val="0"/>
        <w:snapToGrid w:val="0"/>
        <w:spacing w:line="360" w:lineRule="exact"/>
        <w:ind w:left="6750" w:hanging="6750"/>
        <w:jc w:val="left"/>
        <w:rPr>
          <w:rFonts w:ascii="宋体" w:hAnsi="宋体"/>
          <w:sz w:val="22"/>
        </w:rPr>
      </w:pPr>
      <w:r>
        <w:rPr>
          <w:rFonts w:hint="eastAsia" w:ascii="宋体" w:hAnsi="宋体"/>
          <w:sz w:val="22"/>
        </w:rPr>
        <w:t xml:space="preserve">地址：杭州萧山国际机场内        地址： </w:t>
      </w:r>
    </w:p>
    <w:p>
      <w:pPr>
        <w:adjustRightInd w:val="0"/>
        <w:snapToGrid w:val="0"/>
        <w:spacing w:line="360" w:lineRule="exact"/>
        <w:ind w:left="6750" w:hanging="6750"/>
        <w:jc w:val="left"/>
        <w:rPr>
          <w:rFonts w:ascii="宋体" w:hAnsi="宋体"/>
          <w:sz w:val="22"/>
        </w:rPr>
      </w:pPr>
    </w:p>
    <w:p>
      <w:pPr>
        <w:adjustRightInd w:val="0"/>
        <w:snapToGrid w:val="0"/>
        <w:spacing w:line="360" w:lineRule="exact"/>
        <w:jc w:val="left"/>
        <w:rPr>
          <w:rFonts w:ascii="宋体" w:hAnsi="宋体"/>
          <w:sz w:val="22"/>
        </w:rPr>
      </w:pPr>
      <w:r>
        <w:rPr>
          <w:rFonts w:hint="eastAsia" w:ascii="宋体" w:hAnsi="宋体"/>
          <w:sz w:val="22"/>
        </w:rPr>
        <w:t>法定代表人（签字）：             法定代表人（签字）：</w:t>
      </w:r>
    </w:p>
    <w:p>
      <w:pPr>
        <w:adjustRightInd w:val="0"/>
        <w:snapToGrid w:val="0"/>
        <w:spacing w:line="360" w:lineRule="exact"/>
        <w:jc w:val="left"/>
        <w:rPr>
          <w:rFonts w:ascii="宋体" w:hAnsi="宋体"/>
          <w:sz w:val="22"/>
        </w:rPr>
      </w:pPr>
      <w:r>
        <w:rPr>
          <w:rFonts w:hint="eastAsia" w:ascii="宋体" w:hAnsi="宋体"/>
          <w:sz w:val="22"/>
        </w:rPr>
        <w:t>或                              或</w:t>
      </w:r>
    </w:p>
    <w:p>
      <w:pPr>
        <w:adjustRightInd w:val="0"/>
        <w:snapToGrid w:val="0"/>
        <w:spacing w:line="360" w:lineRule="exact"/>
        <w:jc w:val="left"/>
        <w:rPr>
          <w:rFonts w:ascii="宋体" w:hAnsi="宋体"/>
          <w:sz w:val="22"/>
        </w:rPr>
      </w:pPr>
      <w:r>
        <w:rPr>
          <w:rFonts w:hint="eastAsia" w:ascii="宋体" w:hAnsi="宋体"/>
          <w:sz w:val="22"/>
        </w:rPr>
        <w:t>授权代表（签字）：               授权代表（签字）：</w:t>
      </w:r>
    </w:p>
    <w:p>
      <w:pPr>
        <w:adjustRightInd w:val="0"/>
        <w:snapToGrid w:val="0"/>
        <w:spacing w:line="360" w:lineRule="exact"/>
        <w:jc w:val="left"/>
        <w:rPr>
          <w:rFonts w:ascii="宋体" w:hAnsi="宋体"/>
          <w:b/>
          <w:sz w:val="22"/>
        </w:rPr>
      </w:pPr>
      <w:r>
        <w:rPr>
          <w:rFonts w:hint="eastAsia" w:ascii="宋体" w:hAnsi="宋体"/>
          <w:sz w:val="22"/>
        </w:rPr>
        <w:t xml:space="preserve">签字日期：                      签字日期： </w:t>
      </w:r>
    </w:p>
    <w:p>
      <w:pPr>
        <w:adjustRightInd w:val="0"/>
        <w:snapToGrid w:val="0"/>
        <w:spacing w:line="360" w:lineRule="exact"/>
        <w:ind w:firstLine="440" w:firstLineChars="200"/>
        <w:jc w:val="left"/>
        <w:rPr>
          <w:rFonts w:ascii="宋体" w:hAnsi="宋体"/>
          <w:b/>
          <w:sz w:val="22"/>
        </w:rPr>
      </w:pPr>
      <w:r>
        <w:rPr>
          <w:rFonts w:hint="eastAsia" w:ascii="宋体" w:hAnsi="宋体"/>
          <w:sz w:val="22"/>
        </w:rPr>
        <w:t>年  月  日                      年  月  日</w:t>
      </w:r>
    </w:p>
    <w:p>
      <w:pPr>
        <w:pStyle w:val="1854"/>
        <w:spacing w:line="360" w:lineRule="auto"/>
        <w:ind w:left="420" w:firstLine="440"/>
        <w:rPr>
          <w:rFonts w:ascii="宋体" w:eastAsia="宋体"/>
          <w:sz w:val="22"/>
          <w:szCs w:val="22"/>
        </w:rPr>
      </w:pPr>
    </w:p>
    <w:p>
      <w:pPr>
        <w:widowControl/>
        <w:jc w:val="left"/>
        <w:rPr>
          <w:rFonts w:ascii="宋体" w:hAnsi="宋体" w:cs="Calibri"/>
          <w:bCs/>
          <w:sz w:val="22"/>
        </w:rPr>
      </w:pPr>
      <w:r>
        <w:rPr>
          <w:rFonts w:ascii="宋体" w:hAnsi="宋体" w:cs="Calibri"/>
          <w:bCs/>
          <w:sz w:val="22"/>
        </w:rPr>
        <w:br w:type="page"/>
      </w:r>
    </w:p>
    <w:p>
      <w:pPr>
        <w:adjustRightInd w:val="0"/>
        <w:snapToGrid w:val="0"/>
        <w:spacing w:line="360" w:lineRule="exact"/>
        <w:ind w:firstLine="281"/>
        <w:jc w:val="both"/>
        <w:rPr>
          <w:rFonts w:ascii="宋体" w:hAnsi="宋体" w:cs="宋体"/>
          <w:b/>
          <w:sz w:val="22"/>
        </w:rPr>
      </w:pPr>
      <w:r>
        <w:rPr>
          <w:rFonts w:hint="eastAsia" w:ascii="宋体" w:hAnsi="宋体" w:cs="宋体"/>
          <w:b/>
          <w:bCs w:val="0"/>
          <w:sz w:val="22"/>
        </w:rPr>
        <w:t>附件</w:t>
      </w:r>
      <w:r>
        <w:rPr>
          <w:rFonts w:ascii="宋体" w:hAnsi="宋体" w:cs="宋体"/>
          <w:b/>
          <w:bCs w:val="0"/>
          <w:sz w:val="22"/>
        </w:rPr>
        <w:t>1:</w:t>
      </w:r>
      <w:r>
        <w:rPr>
          <w:rFonts w:hint="eastAsia" w:ascii="宋体" w:hAnsi="宋体" w:cs="宋体"/>
          <w:b/>
          <w:sz w:val="22"/>
        </w:rPr>
        <w:t>项目实施团队</w:t>
      </w:r>
    </w:p>
    <w:p>
      <w:pPr>
        <w:spacing w:line="276" w:lineRule="auto"/>
        <w:jc w:val="left"/>
        <w:rPr>
          <w:rFonts w:ascii="宋体" w:hAnsi="宋体"/>
          <w:sz w:val="22"/>
        </w:rPr>
      </w:pPr>
      <w:r>
        <w:rPr>
          <w:rFonts w:hint="eastAsia" w:ascii="宋体" w:hAnsi="宋体"/>
          <w:sz w:val="22"/>
        </w:rPr>
        <w:t>（略）</w:t>
      </w:r>
    </w:p>
    <w:p>
      <w:pPr>
        <w:adjustRightInd w:val="0"/>
        <w:snapToGrid w:val="0"/>
        <w:spacing w:line="360" w:lineRule="exact"/>
        <w:ind w:firstLine="281"/>
        <w:jc w:val="both"/>
        <w:rPr>
          <w:rFonts w:ascii="宋体" w:hAnsi="宋体" w:cs="宋体"/>
          <w:b/>
          <w:sz w:val="22"/>
        </w:rPr>
      </w:pPr>
      <w:r>
        <w:rPr>
          <w:rFonts w:hint="eastAsia" w:ascii="宋体" w:hAnsi="宋体" w:cs="宋体"/>
          <w:b/>
          <w:sz w:val="22"/>
        </w:rPr>
        <w:t>附件</w:t>
      </w:r>
      <w:r>
        <w:rPr>
          <w:rFonts w:ascii="宋体" w:hAnsi="宋体" w:cs="宋体"/>
          <w:b/>
          <w:sz w:val="22"/>
        </w:rPr>
        <w:t>2</w:t>
      </w:r>
      <w:r>
        <w:rPr>
          <w:rFonts w:hint="eastAsia" w:ascii="宋体" w:hAnsi="宋体" w:cs="宋体"/>
          <w:b/>
          <w:sz w:val="22"/>
        </w:rPr>
        <w:t>：</w:t>
      </w:r>
      <w:r>
        <w:rPr>
          <w:rFonts w:hint="eastAsia" w:ascii="宋体" w:hAnsi="宋体" w:cs="宋体"/>
          <w:b/>
          <w:sz w:val="22"/>
        </w:rPr>
        <w:t>验收考核办法</w:t>
      </w:r>
    </w:p>
    <w:p>
      <w:pPr>
        <w:adjustRightInd w:val="0"/>
        <w:snapToGrid w:val="0"/>
        <w:spacing w:line="360" w:lineRule="auto"/>
        <w:ind w:firstLine="442" w:firstLineChars="200"/>
        <w:jc w:val="center"/>
        <w:rPr>
          <w:rFonts w:ascii="宋体" w:hAnsi="宋体"/>
          <w:b/>
          <w:sz w:val="22"/>
        </w:rPr>
      </w:pPr>
      <w:r>
        <w:rPr>
          <w:rFonts w:hint="eastAsia" w:ascii="宋体" w:hAnsi="宋体"/>
          <w:b/>
          <w:sz w:val="22"/>
        </w:rPr>
        <w:t>验收考核办法</w:t>
      </w:r>
    </w:p>
    <w:p>
      <w:pPr>
        <w:spacing w:line="360" w:lineRule="auto"/>
        <w:jc w:val="left"/>
        <w:rPr>
          <w:rFonts w:ascii="宋体" w:hAnsi="宋体" w:cs="宋体"/>
          <w:bCs/>
          <w:kern w:val="0"/>
          <w:sz w:val="22"/>
        </w:rPr>
      </w:pPr>
      <w:r>
        <w:rPr>
          <w:rFonts w:hint="eastAsia" w:ascii="宋体" w:hAnsi="宋体" w:cs="宋体"/>
          <w:bCs/>
          <w:kern w:val="0"/>
          <w:sz w:val="22"/>
        </w:rPr>
        <w:t>参照合同“一、服务内容、标准和要求”按下列各项进行打分。</w:t>
      </w:r>
    </w:p>
    <w:tbl>
      <w:tblPr>
        <w:tblStyle w:val="89"/>
        <w:tblW w:w="10094" w:type="dxa"/>
        <w:tblInd w:w="-601" w:type="dxa"/>
        <w:tblLayout w:type="fixed"/>
        <w:tblCellMar>
          <w:top w:w="0" w:type="dxa"/>
          <w:left w:w="108" w:type="dxa"/>
          <w:bottom w:w="0" w:type="dxa"/>
          <w:right w:w="108" w:type="dxa"/>
        </w:tblCellMar>
      </w:tblPr>
      <w:tblGrid>
        <w:gridCol w:w="880"/>
        <w:gridCol w:w="1530"/>
        <w:gridCol w:w="2977"/>
        <w:gridCol w:w="751"/>
        <w:gridCol w:w="2822"/>
        <w:gridCol w:w="1134"/>
      </w:tblGrid>
      <w:tr>
        <w:tblPrEx>
          <w:tblLayout w:type="fixed"/>
          <w:tblCellMar>
            <w:top w:w="0" w:type="dxa"/>
            <w:left w:w="108" w:type="dxa"/>
            <w:bottom w:w="0" w:type="dxa"/>
            <w:right w:w="108" w:type="dxa"/>
          </w:tblCellMar>
        </w:tblPrEx>
        <w:trPr>
          <w:trHeight w:val="458"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序号</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KPI指标</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目标值</w:t>
            </w:r>
          </w:p>
        </w:tc>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分值</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加扣分办法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得分</w:t>
            </w:r>
          </w:p>
        </w:tc>
      </w:tr>
      <w:tr>
        <w:tblPrEx>
          <w:tblLayout w:type="fixed"/>
          <w:tblCellMar>
            <w:top w:w="0" w:type="dxa"/>
            <w:left w:w="108" w:type="dxa"/>
            <w:bottom w:w="0" w:type="dxa"/>
            <w:right w:w="108" w:type="dxa"/>
          </w:tblCellMar>
        </w:tblPrEx>
        <w:trPr>
          <w:trHeight w:val="7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1</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驻场人员数量</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驻场工程师桩基阶段不少于3人，主体阶段不少于8人</w:t>
            </w:r>
          </w:p>
        </w:tc>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40</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未经甲方批准无正当理由，每少</w:t>
            </w:r>
            <w:r>
              <w:rPr>
                <w:rFonts w:ascii="宋体" w:hAnsi="宋体" w:cs="宋体"/>
                <w:kern w:val="0"/>
                <w:sz w:val="22"/>
              </w:rPr>
              <w:t>1人扣10</w:t>
            </w:r>
            <w:r>
              <w:rPr>
                <w:rFonts w:hint="eastAsia" w:ascii="宋体" w:hAnsi="宋体" w:cs="宋体"/>
                <w:kern w:val="0"/>
                <w:sz w:val="22"/>
              </w:rPr>
              <w:t>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1560"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2</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驻场服务规范，根据合同附件</w:t>
            </w:r>
            <w:r>
              <w:rPr>
                <w:rFonts w:ascii="宋体" w:hAnsi="宋体" w:cs="宋体"/>
                <w:kern w:val="0"/>
                <w:sz w:val="22"/>
              </w:rPr>
              <w:t>( )</w:t>
            </w:r>
          </w:p>
        </w:tc>
        <w:tc>
          <w:tcPr>
            <w:tcW w:w="2977"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工程资料每周更新一次；现场进度及资源投入数据每日更新一次；质安问题每日更新一次；现场施工情况影像资料每日更新一次（春节假期除外）</w:t>
            </w:r>
          </w:p>
        </w:tc>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20</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每次违规扣</w:t>
            </w:r>
            <w:r>
              <w:rPr>
                <w:rFonts w:ascii="宋体" w:hAnsi="宋体" w:cs="宋体"/>
                <w:kern w:val="0"/>
                <w:sz w:val="22"/>
              </w:rPr>
              <w:t>1分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895"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3</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定期提供报告服务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基于施工现场采集的数据，定期形成标准格式的项目施工日报、周报、月报质量安全巡检报告等，发送至指定项目管理部门</w:t>
            </w:r>
          </w:p>
        </w:tc>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20</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每次违规扣</w:t>
            </w:r>
            <w:r>
              <w:rPr>
                <w:rFonts w:ascii="宋体" w:hAnsi="宋体" w:cs="宋体"/>
                <w:kern w:val="0"/>
                <w:sz w:val="22"/>
              </w:rPr>
              <w:t>1分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1163"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4</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故障处理及时率</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98%</w:t>
            </w:r>
          </w:p>
          <w:p>
            <w:pPr>
              <w:widowControl/>
              <w:jc w:val="center"/>
              <w:rPr>
                <w:rFonts w:ascii="宋体" w:hAnsi="宋体" w:cs="宋体"/>
                <w:kern w:val="0"/>
                <w:sz w:val="22"/>
              </w:rPr>
            </w:pPr>
            <w:r>
              <w:rPr>
                <w:rFonts w:hint="eastAsia" w:ascii="宋体" w:hAnsi="宋体" w:cs="宋体"/>
                <w:kern w:val="0"/>
                <w:sz w:val="22"/>
              </w:rPr>
              <w:t>故障响应和解决时间见合同</w:t>
            </w:r>
          </w:p>
        </w:tc>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20</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无正当理由，没有在合同规定的时间内到达处理问题的，一次扣</w:t>
            </w:r>
            <w:r>
              <w:rPr>
                <w:rFonts w:ascii="宋体" w:hAnsi="宋体" w:cs="宋体"/>
                <w:kern w:val="0"/>
                <w:sz w:val="22"/>
              </w:rPr>
              <w:t>5</w:t>
            </w:r>
            <w:r>
              <w:rPr>
                <w:rFonts w:hint="eastAsia" w:ascii="宋体" w:hAnsi="宋体" w:cs="宋体"/>
                <w:kern w:val="0"/>
                <w:sz w:val="22"/>
              </w:rPr>
              <w:t>分，关键问题一次扣</w:t>
            </w:r>
            <w:r>
              <w:rPr>
                <w:rFonts w:ascii="宋体" w:hAnsi="宋体" w:cs="宋体"/>
                <w:kern w:val="0"/>
                <w:sz w:val="22"/>
              </w:rPr>
              <w:t>10分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9"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ascii="宋体" w:hAnsi="宋体" w:cs="宋体"/>
                <w:kern w:val="0"/>
                <w:sz w:val="22"/>
              </w:rPr>
              <w:t>5</w:t>
            </w:r>
          </w:p>
        </w:tc>
        <w:tc>
          <w:tcPr>
            <w:tcW w:w="80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2"/>
              </w:rPr>
            </w:pPr>
            <w:r>
              <w:rPr>
                <w:rFonts w:hint="eastAsia" w:ascii="宋体" w:hAnsi="宋体" w:cs="宋体"/>
                <w:b/>
                <w:kern w:val="0"/>
                <w:sz w:val="22"/>
              </w:rPr>
              <w:t>合计得分</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r>
    </w:tbl>
    <w:p>
      <w:pPr>
        <w:spacing w:line="360" w:lineRule="auto"/>
        <w:rPr>
          <w:rFonts w:ascii="宋体" w:hAnsi="宋体" w:cs="宋体"/>
          <w:kern w:val="0"/>
          <w:sz w:val="22"/>
        </w:rPr>
      </w:pPr>
      <w:r>
        <w:rPr>
          <w:rFonts w:hint="eastAsia" w:ascii="宋体" w:hAnsi="宋体" w:cs="宋体"/>
          <w:kern w:val="0"/>
          <w:sz w:val="22"/>
        </w:rPr>
        <w:t>说明：</w:t>
      </w:r>
    </w:p>
    <w:p>
      <w:pPr>
        <w:spacing w:line="360" w:lineRule="auto"/>
        <w:ind w:firstLine="440" w:firstLineChars="200"/>
        <w:rPr>
          <w:rFonts w:ascii="宋体" w:hAnsi="宋体" w:cs="宋体"/>
          <w:bCs/>
          <w:kern w:val="0"/>
          <w:sz w:val="22"/>
        </w:rPr>
      </w:pPr>
      <w:r>
        <w:rPr>
          <w:rFonts w:ascii="宋体" w:hAnsi="宋体" w:cs="宋体"/>
          <w:bCs/>
          <w:kern w:val="0"/>
          <w:sz w:val="22"/>
        </w:rPr>
        <w:t>1、每3个月为一考核周期</w:t>
      </w:r>
      <w:r>
        <w:rPr>
          <w:rFonts w:hint="eastAsia" w:ascii="宋体" w:hAnsi="宋体" w:cs="宋体"/>
          <w:bCs/>
          <w:kern w:val="0"/>
          <w:sz w:val="22"/>
        </w:rPr>
        <w:t>，</w:t>
      </w:r>
      <w:r>
        <w:rPr>
          <w:rFonts w:ascii="宋体" w:hAnsi="宋体" w:cs="宋体"/>
          <w:bCs/>
          <w:kern w:val="0"/>
          <w:sz w:val="22"/>
        </w:rPr>
        <w:t>初始值为100分。</w:t>
      </w:r>
    </w:p>
    <w:p>
      <w:pPr>
        <w:spacing w:line="360" w:lineRule="auto"/>
        <w:ind w:firstLine="440" w:firstLineChars="200"/>
        <w:rPr>
          <w:rFonts w:ascii="宋体" w:hAnsi="宋体" w:cs="宋体"/>
          <w:kern w:val="0"/>
          <w:sz w:val="22"/>
        </w:rPr>
      </w:pPr>
      <w:r>
        <w:rPr>
          <w:rFonts w:ascii="宋体" w:hAnsi="宋体" w:cs="宋体"/>
          <w:bCs/>
          <w:kern w:val="0"/>
          <w:sz w:val="22"/>
        </w:rPr>
        <w:t>2、考核积分与验收挂钩:（1）≥90分为基本满意，可结合验收报告通过验收，按照合同约定支付款项；（2）</w:t>
      </w:r>
      <w:r>
        <w:rPr>
          <w:rFonts w:hint="eastAsia" w:ascii="宋体" w:hAnsi="宋体" w:cs="宋体"/>
          <w:kern w:val="0"/>
          <w:sz w:val="22"/>
        </w:rPr>
        <w:t>考核积分</w:t>
      </w:r>
      <w:r>
        <w:rPr>
          <w:rFonts w:ascii="宋体" w:hAnsi="宋体" w:cs="宋体"/>
          <w:kern w:val="0"/>
          <w:sz w:val="22"/>
        </w:rPr>
        <w:t>&lt;90分，乙方应按</w:t>
      </w:r>
      <w:r>
        <w:rPr>
          <w:rFonts w:hint="eastAsia" w:ascii="宋体" w:hAnsi="宋体" w:cs="宋体"/>
          <w:kern w:val="0"/>
          <w:sz w:val="22"/>
        </w:rPr>
        <w:t>年度合同暂定金额的</w:t>
      </w:r>
      <w:r>
        <w:rPr>
          <w:rFonts w:ascii="宋体" w:hAnsi="宋体" w:cs="宋体"/>
          <w:kern w:val="0"/>
          <w:sz w:val="22"/>
        </w:rPr>
        <w:t>10%向甲方支付违约金，且甲方有权单方解除合同。</w:t>
      </w:r>
    </w:p>
    <w:p>
      <w:pPr>
        <w:spacing w:line="360" w:lineRule="auto"/>
        <w:rPr>
          <w:rFonts w:ascii="宋体" w:hAnsi="宋体"/>
          <w:sz w:val="22"/>
        </w:rPr>
      </w:pPr>
      <w:r>
        <w:rPr>
          <w:rFonts w:ascii="宋体" w:hAnsi="宋体" w:cs="宋体"/>
          <w:kern w:val="0"/>
          <w:sz w:val="22"/>
        </w:rPr>
        <w:t xml:space="preserve">    3、甲方有权在支付乙方</w:t>
      </w:r>
      <w:r>
        <w:rPr>
          <w:rFonts w:hint="eastAsia" w:ascii="宋体" w:hAnsi="宋体" w:cs="宋体"/>
          <w:kern w:val="0"/>
          <w:sz w:val="22"/>
        </w:rPr>
        <w:t>服务</w:t>
      </w:r>
      <w:r>
        <w:rPr>
          <w:rFonts w:ascii="宋体" w:hAnsi="宋体" w:cs="宋体"/>
          <w:kern w:val="0"/>
          <w:sz w:val="22"/>
        </w:rPr>
        <w:t>费用</w:t>
      </w:r>
      <w:r>
        <w:rPr>
          <w:rFonts w:hint="eastAsia" w:ascii="宋体" w:hAnsi="宋体" w:cs="宋体"/>
          <w:kern w:val="0"/>
          <w:sz w:val="22"/>
        </w:rPr>
        <w:t>时，</w:t>
      </w:r>
      <w:r>
        <w:rPr>
          <w:rFonts w:ascii="宋体" w:hAnsi="宋体" w:cs="宋体"/>
          <w:kern w:val="0"/>
          <w:sz w:val="22"/>
        </w:rPr>
        <w:t>扣除</w:t>
      </w:r>
      <w:r>
        <w:rPr>
          <w:rFonts w:hint="eastAsia" w:ascii="宋体" w:hAnsi="宋体" w:cs="宋体"/>
          <w:kern w:val="0"/>
          <w:sz w:val="22"/>
        </w:rPr>
        <w:t>前述</w:t>
      </w:r>
      <w:r>
        <w:rPr>
          <w:rFonts w:ascii="宋体" w:hAnsi="宋体" w:cs="宋体"/>
          <w:kern w:val="0"/>
          <w:sz w:val="22"/>
        </w:rPr>
        <w:t>违约金。</w:t>
      </w: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w:t>
      </w:r>
      <w:r>
        <w:rPr>
          <w:rFonts w:ascii="宋体" w:hAnsi="宋体" w:cs="宋体"/>
          <w:b/>
          <w:sz w:val="22"/>
        </w:rPr>
        <w:t>3</w:t>
      </w:r>
      <w:r>
        <w:rPr>
          <w:rFonts w:hint="eastAsia" w:ascii="宋体" w:hAnsi="宋体" w:cs="宋体"/>
          <w:b/>
          <w:sz w:val="22"/>
        </w:rPr>
        <w:t>：</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w:t>
      </w:r>
      <w:r>
        <w:rPr>
          <w:rFonts w:ascii="宋体" w:hAnsi="宋体" w:cs="宋体"/>
          <w:b/>
          <w:szCs w:val="21"/>
        </w:rPr>
        <w:t>4</w:t>
      </w:r>
      <w:r>
        <w:rPr>
          <w:rFonts w:hint="eastAsia" w:ascii="宋体" w:hAnsi="宋体" w:cs="宋体"/>
          <w:b/>
          <w:szCs w:val="21"/>
        </w:rPr>
        <w:t>：保密承诺书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w:t>
      </w:r>
      <w:r>
        <w:rPr>
          <w:rFonts w:ascii="宋体" w:hAnsi="宋体" w:cs="宋体"/>
          <w:sz w:val="22"/>
        </w:rPr>
        <w:t xml:space="preserve"> </w:t>
      </w:r>
      <w:r>
        <w:rPr>
          <w:rFonts w:hint="eastAsia" w:ascii="宋体" w:hAnsi="宋体" w:cs="宋体"/>
          <w:sz w:val="22"/>
        </w:rPr>
        <w:t>供应商(盖章):</w:t>
      </w:r>
    </w:p>
    <w:p>
      <w:pPr>
        <w:spacing w:line="360" w:lineRule="exact"/>
        <w:ind w:firstLine="2860" w:firstLineChars="1300"/>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60" w:firstLineChars="1300"/>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b w:val="0"/>
          <w:bCs w:val="0"/>
        </w:rPr>
      </w:pPr>
      <w:r>
        <w:rPr>
          <w:rFonts w:ascii="宋体" w:hAnsi="宋体" w:cs="宋体"/>
          <w:szCs w:val="21"/>
        </w:rPr>
        <w:br w:type="page"/>
      </w:r>
      <w:bookmarkStart w:id="40" w:name="_Toc19698501"/>
      <w:r>
        <w:rPr>
          <w:rFonts w:hint="eastAsia"/>
          <w:b w:val="0"/>
          <w:bCs w:val="0"/>
        </w:rPr>
        <w:t>第五章</w:t>
      </w:r>
      <w:r>
        <w:rPr>
          <w:b w:val="0"/>
          <w:bCs w:val="0"/>
        </w:rPr>
        <w:t xml:space="preserve">  </w:t>
      </w:r>
      <w:r>
        <w:rPr>
          <w:rFonts w:hint="eastAsia"/>
          <w:b w:val="0"/>
          <w:bCs w:val="0"/>
        </w:rPr>
        <w:t>用户需求书</w:t>
      </w:r>
      <w:bookmarkEnd w:id="40"/>
    </w:p>
    <w:p>
      <w:pPr>
        <w:spacing w:before="1"/>
        <w:jc w:val="center"/>
        <w:rPr>
          <w:rStyle w:val="95"/>
          <w:sz w:val="40"/>
          <w:szCs w:val="40"/>
        </w:rPr>
      </w:pP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招标人为合同甲方，中标人为合同乙方，下同。</w:t>
      </w:r>
    </w:p>
    <w:p>
      <w:pPr>
        <w:pStyle w:val="5"/>
        <w:spacing w:before="160" w:after="160" w:line="360" w:lineRule="exact"/>
        <w:ind w:firstLine="281" w:firstLineChars="100"/>
        <w:jc w:val="left"/>
        <w:rPr>
          <w:rFonts w:ascii="宋体" w:hAnsi="宋体" w:eastAsia="宋体" w:cs="宋体"/>
          <w:sz w:val="22"/>
          <w:szCs w:val="22"/>
        </w:rPr>
      </w:pPr>
      <w:bookmarkStart w:id="41" w:name="_bookmark148"/>
      <w:bookmarkEnd w:id="41"/>
      <w:r>
        <w:t>一、项目概况及总体要求</w:t>
      </w:r>
    </w:p>
    <w:p>
      <w:pPr>
        <w:widowControl/>
        <w:snapToGrid w:val="0"/>
        <w:spacing w:line="360" w:lineRule="exact"/>
        <w:ind w:firstLine="442"/>
        <w:rPr>
          <w:rFonts w:ascii="宋体" w:hAnsi="宋体" w:cs="Arial"/>
          <w:bCs/>
          <w:color w:val="5B9BD5" w:themeColor="accent1"/>
          <w:kern w:val="0"/>
          <w:sz w:val="22"/>
          <w14:textFill>
            <w14:solidFill>
              <w14:schemeClr w14:val="accent1"/>
            </w14:solidFill>
          </w14:textFill>
        </w:rPr>
      </w:pPr>
      <w:r>
        <w:rPr>
          <w:rFonts w:hint="eastAsia" w:ascii="宋体" w:hAnsi="宋体" w:cs="Arial"/>
          <w:bCs/>
          <w:kern w:val="0"/>
          <w:sz w:val="22"/>
        </w:rPr>
        <w:t>2018年9月底，杭州萧山国际机场三期项目主体工程新建航站楼及陆侧交通中心项目正式开工，机场三期项目建设全面展开。三期项目建设规模大、时间紧、交叉施工面多，随着工程建设高峰的到来，安全、进度、质量、投资控制等各项管理难度大，为确保工程现场数据采集的真实性和及时性，利用互联网技术和大数据手段，通过采购第三方现场协管工程师技术服务方式，对重中之重T4航站楼及交通中心工程等三期项目，提高工程精细化管理，确保工程施工过程的可跟踪、可追溯、可事后检查。目前“智能工程建设”服务由杭州数建科技有限公司提供，已搭建完成“智能工程建设”技术平台，并与机场微门户、基建项目管理平台集成。</w:t>
      </w:r>
    </w:p>
    <w:p>
      <w:pPr>
        <w:pStyle w:val="16"/>
        <w:spacing w:after="0" w:line="360" w:lineRule="exact"/>
        <w:ind w:firstLine="440" w:firstLineChars="200"/>
        <w:rPr>
          <w:rFonts w:ascii="宋体" w:hAnsi="宋体" w:cs="宋体"/>
          <w:sz w:val="22"/>
          <w:szCs w:val="22"/>
        </w:rPr>
      </w:pPr>
    </w:p>
    <w:p>
      <w:pPr>
        <w:pStyle w:val="5"/>
        <w:spacing w:before="160" w:after="160" w:line="360" w:lineRule="exact"/>
        <w:ind w:firstLine="281" w:firstLineChars="100"/>
        <w:jc w:val="left"/>
      </w:pPr>
      <w:bookmarkStart w:id="42" w:name="_bookmark149"/>
      <w:bookmarkEnd w:id="42"/>
      <w:r>
        <w:t>二、</w:t>
      </w:r>
      <w:r>
        <w:rPr>
          <w:rFonts w:hint="eastAsia"/>
        </w:rPr>
        <w:t>服务</w:t>
      </w:r>
      <w:r>
        <w:t>需求</w:t>
      </w:r>
    </w:p>
    <w:p>
      <w:pPr>
        <w:widowControl/>
        <w:tabs>
          <w:tab w:val="left" w:pos="720"/>
        </w:tabs>
        <w:spacing w:line="360" w:lineRule="exact"/>
        <w:ind w:firstLine="440" w:firstLineChars="200"/>
        <w:jc w:val="left"/>
        <w:outlineLvl w:val="1"/>
        <w:rPr>
          <w:rFonts w:ascii="宋体" w:hAnsi="宋体" w:cstheme="minorBidi"/>
          <w:sz w:val="22"/>
        </w:rPr>
      </w:pPr>
    </w:p>
    <w:tbl>
      <w:tblPr>
        <w:tblStyle w:val="89"/>
        <w:tblW w:w="10491"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1881"/>
        <w:gridCol w:w="3119"/>
        <w:gridCol w:w="311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35" w:hRule="atLeast"/>
          <w:jc w:val="center"/>
        </w:trPr>
        <w:tc>
          <w:tcPr>
            <w:tcW w:w="2372" w:type="dxa"/>
            <w:vAlign w:val="center"/>
          </w:tcPr>
          <w:p>
            <w:pPr>
              <w:adjustRightInd w:val="0"/>
              <w:snapToGrid w:val="0"/>
              <w:spacing w:line="360" w:lineRule="exact"/>
              <w:jc w:val="center"/>
              <w:rPr>
                <w:rFonts w:ascii="宋体" w:hAnsi="宋体"/>
                <w:sz w:val="22"/>
              </w:rPr>
            </w:pPr>
            <w:r>
              <w:rPr>
                <w:rFonts w:hint="eastAsia" w:ascii="宋体" w:hAnsi="宋体"/>
                <w:sz w:val="22"/>
              </w:rPr>
              <w:t>服务名称</w:t>
            </w:r>
          </w:p>
        </w:tc>
        <w:tc>
          <w:tcPr>
            <w:tcW w:w="1881" w:type="dxa"/>
            <w:tcBorders>
              <w:left w:val="single" w:color="auto" w:sz="4" w:space="0"/>
            </w:tcBorders>
            <w:vAlign w:val="center"/>
          </w:tcPr>
          <w:p>
            <w:pPr>
              <w:adjustRightInd w:val="0"/>
              <w:snapToGrid w:val="0"/>
              <w:spacing w:line="360" w:lineRule="exact"/>
              <w:jc w:val="center"/>
              <w:rPr>
                <w:rFonts w:ascii="宋体" w:hAnsi="宋体"/>
                <w:sz w:val="22"/>
              </w:rPr>
            </w:pPr>
            <w:r>
              <w:rPr>
                <w:rFonts w:hint="eastAsia" w:ascii="宋体" w:hAnsi="宋体"/>
                <w:sz w:val="22"/>
              </w:rPr>
              <w:t>服务期</w:t>
            </w:r>
          </w:p>
        </w:tc>
        <w:tc>
          <w:tcPr>
            <w:tcW w:w="3119" w:type="dxa"/>
            <w:vAlign w:val="center"/>
          </w:tcPr>
          <w:p>
            <w:pPr>
              <w:adjustRightInd w:val="0"/>
              <w:snapToGrid w:val="0"/>
              <w:spacing w:line="360" w:lineRule="exact"/>
              <w:jc w:val="center"/>
              <w:rPr>
                <w:rFonts w:ascii="宋体" w:hAnsi="宋体"/>
                <w:sz w:val="22"/>
              </w:rPr>
            </w:pPr>
            <w:r>
              <w:rPr>
                <w:rFonts w:hint="eastAsia" w:ascii="宋体" w:hAnsi="宋体"/>
                <w:sz w:val="22"/>
              </w:rPr>
              <w:t>服务地点</w:t>
            </w:r>
          </w:p>
        </w:tc>
        <w:tc>
          <w:tcPr>
            <w:tcW w:w="3119" w:type="dxa"/>
            <w:vAlign w:val="center"/>
          </w:tcPr>
          <w:p>
            <w:pPr>
              <w:adjustRightInd w:val="0"/>
              <w:snapToGrid w:val="0"/>
              <w:spacing w:line="360" w:lineRule="exact"/>
              <w:jc w:val="center"/>
              <w:rPr>
                <w:rFonts w:ascii="宋体" w:hAnsi="宋体"/>
                <w:sz w:val="22"/>
              </w:rPr>
            </w:pPr>
            <w:r>
              <w:rPr>
                <w:rFonts w:hint="eastAsia" w:ascii="宋体" w:hAnsi="宋体"/>
                <w:sz w:val="22"/>
              </w:rPr>
              <w:t>服务范围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5" w:hRule="atLeast"/>
          <w:jc w:val="center"/>
        </w:trPr>
        <w:tc>
          <w:tcPr>
            <w:tcW w:w="2372" w:type="dxa"/>
            <w:vAlign w:val="center"/>
          </w:tcPr>
          <w:p>
            <w:pPr>
              <w:adjustRightInd w:val="0"/>
              <w:snapToGrid w:val="0"/>
              <w:spacing w:line="360" w:lineRule="exact"/>
              <w:jc w:val="center"/>
              <w:rPr>
                <w:rFonts w:ascii="宋体" w:hAnsi="宋体"/>
                <w:sz w:val="22"/>
              </w:rPr>
            </w:pPr>
            <w:r>
              <w:rPr>
                <w:rFonts w:hint="eastAsia" w:ascii="宋体" w:hAnsi="宋体" w:cs="Arial"/>
                <w:bCs/>
                <w:kern w:val="0"/>
                <w:sz w:val="22"/>
              </w:rPr>
              <w:t>“智能工程建设”服务</w:t>
            </w:r>
          </w:p>
        </w:tc>
        <w:tc>
          <w:tcPr>
            <w:tcW w:w="1881" w:type="dxa"/>
            <w:tcBorders>
              <w:left w:val="single" w:color="auto" w:sz="4" w:space="0"/>
            </w:tcBorders>
            <w:vAlign w:val="center"/>
          </w:tcPr>
          <w:p>
            <w:pPr>
              <w:adjustRightInd w:val="0"/>
              <w:snapToGrid w:val="0"/>
              <w:spacing w:line="360" w:lineRule="exact"/>
              <w:jc w:val="center"/>
              <w:rPr>
                <w:rFonts w:ascii="宋体" w:hAnsi="宋体"/>
                <w:sz w:val="22"/>
              </w:rPr>
            </w:pPr>
            <w:r>
              <w:rPr>
                <w:rFonts w:hint="eastAsia" w:ascii="宋体" w:hAnsi="宋体"/>
                <w:sz w:val="22"/>
              </w:rPr>
              <w:t>预估</w:t>
            </w:r>
            <w:r>
              <w:rPr>
                <w:rFonts w:ascii="宋体" w:hAnsi="宋体"/>
                <w:sz w:val="22"/>
              </w:rPr>
              <w:t>730</w:t>
            </w:r>
            <w:r>
              <w:rPr>
                <w:rFonts w:hint="eastAsia" w:ascii="宋体" w:hAnsi="宋体"/>
                <w:sz w:val="22"/>
              </w:rPr>
              <w:t>天（具体以甲方向乙方发出的书面通知为准）。</w:t>
            </w:r>
          </w:p>
        </w:tc>
        <w:tc>
          <w:tcPr>
            <w:tcW w:w="3119" w:type="dxa"/>
            <w:vAlign w:val="center"/>
          </w:tcPr>
          <w:p>
            <w:pPr>
              <w:adjustRightInd w:val="0"/>
              <w:snapToGrid w:val="0"/>
              <w:spacing w:line="360" w:lineRule="exact"/>
              <w:ind w:firstLine="440" w:firstLineChars="200"/>
              <w:jc w:val="center"/>
              <w:rPr>
                <w:rFonts w:ascii="宋体" w:hAnsi="宋体"/>
                <w:sz w:val="22"/>
              </w:rPr>
            </w:pPr>
            <w:r>
              <w:rPr>
                <w:rFonts w:hint="eastAsia" w:ascii="宋体" w:hAnsi="宋体"/>
                <w:sz w:val="22"/>
              </w:rPr>
              <w:t>杭州萧山国际机场</w:t>
            </w:r>
          </w:p>
        </w:tc>
        <w:tc>
          <w:tcPr>
            <w:tcW w:w="3119" w:type="dxa"/>
            <w:vAlign w:val="center"/>
          </w:tcPr>
          <w:p>
            <w:pPr>
              <w:adjustRightInd w:val="0"/>
              <w:snapToGrid w:val="0"/>
              <w:spacing w:line="360" w:lineRule="exact"/>
              <w:ind w:firstLine="440" w:firstLineChars="200"/>
              <w:jc w:val="center"/>
              <w:rPr>
                <w:rFonts w:ascii="宋体" w:hAnsi="宋体"/>
                <w:sz w:val="22"/>
              </w:rPr>
            </w:pPr>
            <w:r>
              <w:rPr>
                <w:rFonts w:hint="eastAsia" w:ascii="宋体" w:hAnsi="宋体"/>
                <w:sz w:val="22"/>
              </w:rPr>
              <w:t>杭州萧山国际机场新建航站楼及陆侧交通中心项目、航空食品厂迁扩建项目三个试点项目</w:t>
            </w:r>
          </w:p>
        </w:tc>
      </w:tr>
    </w:tbl>
    <w:p>
      <w:pPr>
        <w:tabs>
          <w:tab w:val="left" w:pos="5985"/>
        </w:tabs>
        <w:snapToGrid w:val="0"/>
        <w:spacing w:line="360" w:lineRule="exact"/>
        <w:ind w:firstLine="482"/>
        <w:rPr>
          <w:rFonts w:ascii="宋体" w:hAnsi="宋体"/>
          <w:snapToGrid w:val="0"/>
          <w:sz w:val="22"/>
        </w:rPr>
      </w:pP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1、提供第三方工程进度、质量安全等数据采集、新闻采集服务，提供智慧工地策划方案及咨询服务，辅助机场三期指挥部现场工程管控，确保三期工程项目的顺利进行；</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2、运用云计算、大数据等新技术，提供“智能工程建设”云平台，实现多维度、多层次的数据统计分析，要求通过图形、图表等方式在电脑端、移动设备端进行展示，满足机场三期项目管理部门要求；</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3、提供项目施工全过程数字化留档服务，对工程各时间的进度信息、资源配置信息、资金使用情况、质量安全信息、设备材料情况、工程资料等信息进行结构的归档整理；</w:t>
      </w:r>
    </w:p>
    <w:p>
      <w:pPr>
        <w:spacing w:before="2"/>
        <w:rPr>
          <w:rFonts w:ascii="宋体" w:hAnsi="宋体" w:cs="宋体"/>
          <w:sz w:val="15"/>
          <w:szCs w:val="15"/>
        </w:rPr>
      </w:pPr>
    </w:p>
    <w:p>
      <w:pPr>
        <w:pStyle w:val="5"/>
        <w:spacing w:before="160" w:after="160" w:line="360" w:lineRule="exact"/>
        <w:ind w:firstLine="281" w:firstLineChars="100"/>
        <w:jc w:val="left"/>
      </w:pPr>
      <w:bookmarkStart w:id="43" w:name="_bookmark150"/>
      <w:bookmarkEnd w:id="43"/>
      <w:r>
        <w:t>三、技术</w:t>
      </w:r>
      <w:r>
        <w:rPr>
          <w:rFonts w:hint="eastAsia"/>
        </w:rPr>
        <w:t>标准</w:t>
      </w:r>
      <w:r>
        <w:t>指标</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“智能工程建设”服务是在满足国家及地方规范法规基础上，提供机场三期工程项目全过程数字化管理服务，对项目投资、安全、质量、进度进行控制，服务内容包括但不限于：</w:t>
      </w:r>
    </w:p>
    <w:p>
      <w:pPr>
        <w:widowControl/>
        <w:tabs>
          <w:tab w:val="left" w:pos="720"/>
        </w:tabs>
        <w:spacing w:line="360" w:lineRule="exact"/>
        <w:ind w:firstLine="442" w:firstLineChars="200"/>
        <w:jc w:val="left"/>
        <w:outlineLvl w:val="4"/>
        <w:rPr>
          <w:rFonts w:ascii="宋体" w:hAnsi="宋体" w:cstheme="minorBidi"/>
          <w:b/>
          <w:sz w:val="22"/>
        </w:rPr>
      </w:pPr>
      <w:r>
        <w:rPr>
          <w:rFonts w:ascii="宋体" w:hAnsi="宋体" w:cs="Calibri"/>
          <w:b/>
          <w:sz w:val="22"/>
        </w:rPr>
        <w:t>★</w:t>
      </w:r>
      <w:r>
        <w:rPr>
          <w:rFonts w:ascii="宋体" w:hAnsi="宋体" w:cstheme="minorBidi"/>
          <w:b/>
          <w:sz w:val="22"/>
        </w:rPr>
        <w:t>3</w:t>
      </w:r>
      <w:r>
        <w:rPr>
          <w:rFonts w:hint="eastAsia" w:ascii="宋体" w:hAnsi="宋体" w:cstheme="minorBidi"/>
          <w:b/>
          <w:sz w:val="22"/>
        </w:rPr>
        <w:t>.1现场管控服务</w:t>
      </w:r>
    </w:p>
    <w:p>
      <w:pPr>
        <w:widowControl/>
        <w:tabs>
          <w:tab w:val="left" w:pos="720"/>
        </w:tabs>
        <w:spacing w:line="360" w:lineRule="exact"/>
        <w:ind w:firstLine="440" w:firstLineChars="200"/>
        <w:jc w:val="left"/>
        <w:outlineLvl w:val="5"/>
        <w:rPr>
          <w:rFonts w:ascii="宋体" w:hAnsi="宋体" w:cstheme="minorBidi"/>
          <w:sz w:val="22"/>
        </w:rPr>
      </w:pPr>
      <w:r>
        <w:rPr>
          <w:rFonts w:ascii="宋体" w:hAnsi="宋体" w:cstheme="minorBidi"/>
          <w:sz w:val="22"/>
        </w:rPr>
        <w:t>1</w:t>
      </w:r>
      <w:r>
        <w:rPr>
          <w:rFonts w:hint="eastAsia" w:ascii="宋体" w:hAnsi="宋体" w:cstheme="minorBidi"/>
          <w:sz w:val="22"/>
        </w:rPr>
        <w:t>、项目咨询服务</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（1）项目实施总体策划</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参与编制项目控制节点，编制项目总体控制计划。基于总控计划协助编制项目资金计划，提前通知招标人筹措资金。参与审核施工方提交的施工总进度计划及其他工程规划资料。</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2</w:t>
      </w:r>
      <w:r>
        <w:rPr>
          <w:rFonts w:hint="eastAsia" w:ascii="宋体" w:hAnsi="宋体" w:cstheme="minorBidi"/>
          <w:sz w:val="22"/>
        </w:rPr>
        <w:t>）项目验收管理</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在项目进行过程中，根据项目实时进度提醒招标人编制验收文件，并拟定验收计划和验收文件清单目录，对尚未编制的验收文件进行缺失提醒。</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（3）提供智慧工地策划方案及咨询</w:t>
      </w:r>
    </w:p>
    <w:p>
      <w:pPr>
        <w:widowControl/>
        <w:tabs>
          <w:tab w:val="left" w:pos="720"/>
        </w:tabs>
        <w:spacing w:line="360" w:lineRule="exact"/>
        <w:ind w:firstLine="440" w:firstLineChars="200"/>
        <w:jc w:val="left"/>
        <w:outlineLvl w:val="1"/>
        <w:rPr>
          <w:rFonts w:ascii="宋体" w:hAnsi="宋体" w:cstheme="minorBidi"/>
          <w:sz w:val="22"/>
          <w:highlight w:val="yellow"/>
        </w:rPr>
      </w:pPr>
      <w:r>
        <w:rPr>
          <w:rFonts w:hint="eastAsia" w:ascii="宋体" w:hAnsi="宋体" w:cstheme="minorBidi"/>
          <w:sz w:val="22"/>
        </w:rPr>
        <w:t>利用大数据处理与分析技术，将工程各类数据进行分析，并以统一的入口提供整个“智慧工地”的服务。</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（4）提供定期报告服务</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基于施工现场采集的数据，定期形成标准格式的项目施工日报、周报、月报质量安全巡检报告等，发送至指定项目管理部门。</w:t>
      </w:r>
    </w:p>
    <w:p>
      <w:pPr>
        <w:widowControl/>
        <w:tabs>
          <w:tab w:val="left" w:pos="720"/>
        </w:tabs>
        <w:spacing w:line="360" w:lineRule="exact"/>
        <w:ind w:firstLine="440" w:firstLineChars="200"/>
        <w:jc w:val="left"/>
        <w:outlineLvl w:val="5"/>
        <w:rPr>
          <w:rFonts w:ascii="宋体" w:hAnsi="宋体" w:cstheme="minorBidi"/>
          <w:sz w:val="22"/>
        </w:rPr>
      </w:pPr>
      <w:r>
        <w:rPr>
          <w:rFonts w:hint="eastAsia" w:ascii="宋体" w:hAnsi="宋体" w:cstheme="minorBidi"/>
          <w:sz w:val="22"/>
        </w:rPr>
        <w:t>2、进度管控服务</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项目实施过程中派驻专职项目管理人员全过程跟踪项目实施情况，协助三期指挥部进行全面统筹管理，负责对项目实施过程中的进度、安全、质量、投资数据的采集。</w:t>
      </w:r>
    </w:p>
    <w:p>
      <w:pPr>
        <w:widowControl/>
        <w:tabs>
          <w:tab w:val="left" w:pos="720"/>
        </w:tabs>
        <w:spacing w:line="360" w:lineRule="exact"/>
        <w:ind w:firstLine="440" w:firstLineChars="200"/>
        <w:jc w:val="left"/>
        <w:outlineLvl w:val="5"/>
        <w:rPr>
          <w:rFonts w:ascii="宋体" w:hAnsi="宋体" w:cstheme="minorBidi"/>
          <w:sz w:val="22"/>
        </w:rPr>
      </w:pPr>
      <w:bookmarkStart w:id="44" w:name="_Toc514925838"/>
      <w:bookmarkStart w:id="45" w:name="_Toc514864051"/>
      <w:bookmarkStart w:id="46" w:name="_Toc530147601"/>
      <w:r>
        <w:rPr>
          <w:rFonts w:hint="eastAsia" w:ascii="宋体" w:hAnsi="宋体" w:cstheme="minorBidi"/>
          <w:sz w:val="22"/>
        </w:rPr>
        <w:t>3、质量、安全管理</w:t>
      </w:r>
      <w:bookmarkEnd w:id="44"/>
      <w:bookmarkEnd w:id="45"/>
      <w:bookmarkEnd w:id="46"/>
      <w:r>
        <w:rPr>
          <w:rFonts w:hint="eastAsia" w:ascii="宋体" w:hAnsi="宋体" w:cstheme="minorBidi"/>
          <w:sz w:val="22"/>
        </w:rPr>
        <w:t>服务</w:t>
      </w:r>
    </w:p>
    <w:p>
      <w:pPr>
        <w:widowControl/>
        <w:tabs>
          <w:tab w:val="left" w:pos="720"/>
        </w:tabs>
        <w:spacing w:line="360" w:lineRule="exact"/>
        <w:ind w:firstLine="440" w:firstLineChars="200"/>
        <w:jc w:val="left"/>
        <w:outlineLvl w:val="1"/>
        <w:rPr>
          <w:rFonts w:ascii="宋体" w:hAnsi="宋体" w:cstheme="minorBidi"/>
          <w:sz w:val="22"/>
        </w:rPr>
      </w:pPr>
      <w:bookmarkStart w:id="47" w:name="_Toc513560729"/>
      <w:bookmarkStart w:id="48" w:name="_Toc530147602"/>
      <w:bookmarkStart w:id="49" w:name="_Toc527652581"/>
      <w:bookmarkStart w:id="50" w:name="_Toc514864053"/>
      <w:r>
        <w:rPr>
          <w:rFonts w:hint="eastAsia" w:ascii="宋体" w:hAnsi="宋体" w:cstheme="minorBidi"/>
          <w:sz w:val="22"/>
        </w:rPr>
        <w:t>以国家现行建筑工程施工质量验收规范体系、建筑工程施工安全技术规范为标准。</w:t>
      </w:r>
      <w:bookmarkEnd w:id="47"/>
      <w:r>
        <w:rPr>
          <w:rFonts w:hint="eastAsia" w:ascii="宋体" w:hAnsi="宋体" w:cstheme="minorBidi"/>
          <w:sz w:val="22"/>
        </w:rPr>
        <w:t>派驻专业工程师驻场，每日进行施工现场质量安全巡检，并以每1-3天的频率出具专项报告，及时跟踪反馈现场质量安全问题的解决状态。</w:t>
      </w:r>
    </w:p>
    <w:p>
      <w:pPr>
        <w:widowControl/>
        <w:tabs>
          <w:tab w:val="left" w:pos="720"/>
        </w:tabs>
        <w:spacing w:line="360" w:lineRule="exact"/>
        <w:ind w:firstLine="440" w:firstLineChars="200"/>
        <w:jc w:val="left"/>
        <w:outlineLvl w:val="5"/>
        <w:rPr>
          <w:rFonts w:ascii="宋体" w:hAnsi="宋体" w:cstheme="minorBidi"/>
          <w:sz w:val="22"/>
        </w:rPr>
      </w:pPr>
      <w:r>
        <w:rPr>
          <w:rFonts w:hint="eastAsia" w:ascii="宋体" w:hAnsi="宋体" w:cstheme="minorBidi"/>
          <w:sz w:val="22"/>
        </w:rPr>
        <w:t xml:space="preserve">4、 </w:t>
      </w:r>
      <w:r>
        <w:rPr>
          <w:rFonts w:ascii="宋体" w:hAnsi="宋体" w:cstheme="minorBidi"/>
          <w:sz w:val="22"/>
        </w:rPr>
        <w:t>BIM+</w:t>
      </w:r>
      <w:r>
        <w:rPr>
          <w:rFonts w:hint="eastAsia" w:ascii="宋体" w:hAnsi="宋体" w:cstheme="minorBidi"/>
          <w:sz w:val="22"/>
        </w:rPr>
        <w:t>管理</w:t>
      </w:r>
      <w:bookmarkEnd w:id="48"/>
      <w:bookmarkEnd w:id="49"/>
      <w:bookmarkEnd w:id="50"/>
      <w:r>
        <w:rPr>
          <w:rFonts w:hint="eastAsia" w:ascii="宋体" w:hAnsi="宋体" w:cstheme="minorBidi"/>
          <w:sz w:val="22"/>
        </w:rPr>
        <w:t>服务</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协助招标人制定项目BIM管理方案，汇总各参建方提交的BIM文件，并完善项目实施阶段信息，项目竣工后移交作为运营管理模型。</w:t>
      </w:r>
    </w:p>
    <w:p>
      <w:pPr>
        <w:widowControl/>
        <w:tabs>
          <w:tab w:val="left" w:pos="720"/>
        </w:tabs>
        <w:spacing w:line="360" w:lineRule="exact"/>
        <w:ind w:firstLine="440" w:firstLineChars="200"/>
        <w:jc w:val="left"/>
        <w:outlineLvl w:val="5"/>
        <w:rPr>
          <w:rFonts w:ascii="宋体" w:hAnsi="宋体" w:cstheme="minorBidi"/>
          <w:sz w:val="22"/>
        </w:rPr>
      </w:pPr>
      <w:r>
        <w:rPr>
          <w:rFonts w:ascii="宋体" w:hAnsi="宋体" w:cstheme="minorBidi"/>
          <w:sz w:val="22"/>
        </w:rPr>
        <w:t>5</w:t>
      </w:r>
      <w:r>
        <w:rPr>
          <w:rFonts w:hint="eastAsia" w:ascii="宋体" w:hAnsi="宋体" w:cstheme="minorBidi"/>
          <w:sz w:val="22"/>
        </w:rPr>
        <w:t>、新闻采集服务</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1</w:t>
      </w:r>
      <w:r>
        <w:rPr>
          <w:rFonts w:hint="eastAsia" w:ascii="宋体" w:hAnsi="宋体" w:cstheme="minorBidi"/>
          <w:sz w:val="22"/>
        </w:rPr>
        <w:t>）落实专人每月</w:t>
      </w:r>
      <w:r>
        <w:rPr>
          <w:rFonts w:ascii="宋体" w:hAnsi="宋体" w:cstheme="minorBidi"/>
          <w:sz w:val="22"/>
        </w:rPr>
        <w:t>4</w:t>
      </w:r>
      <w:r>
        <w:rPr>
          <w:rFonts w:hint="eastAsia" w:ascii="宋体" w:hAnsi="宋体" w:cstheme="minorBidi"/>
          <w:sz w:val="22"/>
        </w:rPr>
        <w:t>次赴三期项目现场进行影像资料采集（摄影及摄像）。</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2</w:t>
      </w:r>
      <w:r>
        <w:rPr>
          <w:rFonts w:hint="eastAsia" w:ascii="宋体" w:hAnsi="宋体" w:cstheme="minorBidi"/>
          <w:sz w:val="22"/>
        </w:rPr>
        <w:t>）做好专题报道等通讯稿件的编发，经三期指挥部审核后，通过基建项目管理平台系统首页等方式予以发布；稿件编发频率原则上为每月</w:t>
      </w:r>
      <w:r>
        <w:rPr>
          <w:rFonts w:ascii="宋体" w:hAnsi="宋体" w:cstheme="minorBidi"/>
          <w:sz w:val="22"/>
        </w:rPr>
        <w:t>4</w:t>
      </w:r>
      <w:r>
        <w:rPr>
          <w:rFonts w:hint="eastAsia" w:ascii="宋体" w:hAnsi="宋体" w:cstheme="minorBidi"/>
          <w:sz w:val="22"/>
        </w:rPr>
        <w:t>篇及以上。</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3</w:t>
      </w:r>
      <w:r>
        <w:rPr>
          <w:rFonts w:hint="eastAsia" w:ascii="宋体" w:hAnsi="宋体" w:cstheme="minorBidi"/>
          <w:sz w:val="22"/>
        </w:rPr>
        <w:t>）三期项目关键节点拍摄在三期指挥部通知要求下（提前一天）能及时到位，以准确反映工程建设进展情况。</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6、电子资料留档移交</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完成工程资料的整理、查漏、电子留档和移交工作。</w:t>
      </w:r>
    </w:p>
    <w:p>
      <w:pPr>
        <w:widowControl/>
        <w:tabs>
          <w:tab w:val="left" w:pos="720"/>
        </w:tabs>
        <w:spacing w:line="360" w:lineRule="exact"/>
        <w:ind w:firstLine="442" w:firstLineChars="200"/>
        <w:jc w:val="left"/>
        <w:outlineLvl w:val="4"/>
        <w:rPr>
          <w:rFonts w:ascii="宋体" w:hAnsi="宋体" w:cstheme="minorBidi"/>
          <w:b/>
          <w:sz w:val="22"/>
        </w:rPr>
      </w:pPr>
      <w:r>
        <w:rPr>
          <w:rFonts w:ascii="宋体" w:hAnsi="宋体" w:cstheme="minorBidi"/>
          <w:b/>
          <w:sz w:val="22"/>
        </w:rPr>
        <w:t>3</w:t>
      </w:r>
      <w:r>
        <w:rPr>
          <w:rFonts w:hint="eastAsia" w:ascii="宋体" w:hAnsi="宋体" w:cstheme="minorBidi"/>
          <w:b/>
          <w:sz w:val="22"/>
        </w:rPr>
        <w:t>.2“智能工程建设”平台功能要求</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1、平台按需求开发完成后，采用云部署方式实现，服务期内提供平台云服务，招标人不提供本地部署等硬件支持，不提供云服务使用费。</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2、“智能工程建设”平台搭建</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运用云计算、大数据等新技术，提供多维度、多层次的数据统计分析服务，要求能通过图形、图表等方式在电脑端、移动设备端进行展示，平台须实现以下功能模块但不限于：</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1</w:t>
      </w:r>
      <w:r>
        <w:rPr>
          <w:rFonts w:hint="eastAsia" w:ascii="宋体" w:hAnsi="宋体" w:cstheme="minorBidi"/>
          <w:sz w:val="22"/>
        </w:rPr>
        <w:t>）进度管理</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展示项目整体进度信息、实施动态甘特图、延误原因分析、每日现场情况照片等；系统自动生成日报、月报等推送相关项目管理人员。</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2</w:t>
      </w:r>
      <w:r>
        <w:rPr>
          <w:rFonts w:hint="eastAsia" w:ascii="宋体" w:hAnsi="宋体" w:cstheme="minorBidi"/>
          <w:sz w:val="22"/>
        </w:rPr>
        <w:t>）安全管理</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实现项目安全问题上报与跟踪、项目安全问题统计。</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3</w:t>
      </w:r>
      <w:r>
        <w:rPr>
          <w:rFonts w:hint="eastAsia" w:ascii="宋体" w:hAnsi="宋体" w:cstheme="minorBidi"/>
          <w:sz w:val="22"/>
        </w:rPr>
        <w:t>）质量管理</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实现质量问题的上报与跟踪、项目质量问题统计。</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4</w:t>
      </w:r>
      <w:r>
        <w:rPr>
          <w:rFonts w:hint="eastAsia" w:ascii="宋体" w:hAnsi="宋体" w:cstheme="minorBidi"/>
          <w:sz w:val="22"/>
        </w:rPr>
        <w:t>）投资管理</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以图表形式展示当前完成工程量及预算信息、工程款支付情况。</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5</w:t>
      </w:r>
      <w:r>
        <w:rPr>
          <w:rFonts w:hint="eastAsia" w:ascii="宋体" w:hAnsi="宋体" w:cstheme="minorBidi"/>
          <w:sz w:val="22"/>
        </w:rPr>
        <w:t>）技术管理</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实现项目会议纪要、项目图纸版本管理、项目施工技术方案等电子文档管理。</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6</w:t>
      </w:r>
      <w:r>
        <w:rPr>
          <w:rFonts w:hint="eastAsia" w:ascii="宋体" w:hAnsi="宋体" w:cstheme="minorBidi"/>
          <w:sz w:val="22"/>
        </w:rPr>
        <w:t>）BIM管理</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实现BIM模型在线显示、项目实施信息与BIM模型实时联动。BIM模型网站、移动端展示对硬件设备没有特殊要求，可以在移动端和网站在线查看。</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7</w:t>
      </w:r>
      <w:r>
        <w:rPr>
          <w:rFonts w:hint="eastAsia" w:ascii="宋体" w:hAnsi="宋体" w:cstheme="minorBidi"/>
          <w:sz w:val="22"/>
        </w:rPr>
        <w:t>）劳务管理</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接入项目现场劳务闸机数据，显示各承包单位的管理人员和劳务人员投放情况。</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8</w:t>
      </w:r>
      <w:r>
        <w:rPr>
          <w:rFonts w:hint="eastAsia" w:ascii="宋体" w:hAnsi="宋体" w:cstheme="minorBidi"/>
          <w:sz w:val="22"/>
        </w:rPr>
        <w:t>）视频监控</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接入项目现场监控摄像头，允许随时调取现场画面。</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w:t>
      </w:r>
      <w:r>
        <w:rPr>
          <w:rFonts w:ascii="宋体" w:hAnsi="宋体" w:cstheme="minorBidi"/>
          <w:sz w:val="22"/>
        </w:rPr>
        <w:t>9</w:t>
      </w:r>
      <w:r>
        <w:rPr>
          <w:rFonts w:hint="eastAsia" w:ascii="宋体" w:hAnsi="宋体" w:cstheme="minorBidi"/>
          <w:sz w:val="22"/>
        </w:rPr>
        <w:t>）环境管理</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接入现场环境监测传感器的实时数据，超过警戒值时提供报警提示。</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（1</w:t>
      </w:r>
      <w:r>
        <w:rPr>
          <w:rFonts w:ascii="宋体" w:hAnsi="宋体" w:cstheme="minorBidi"/>
          <w:sz w:val="22"/>
        </w:rPr>
        <w:t>0</w:t>
      </w:r>
      <w:r>
        <w:rPr>
          <w:rFonts w:hint="eastAsia" w:ascii="宋体" w:hAnsi="宋体" w:cstheme="minorBidi"/>
          <w:sz w:val="22"/>
        </w:rPr>
        <w:t>）智能大屏展示</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实现智能管理大屏展示，可将项目的所有实施信息（包括进度、质量、安全、</w:t>
      </w:r>
      <w:r>
        <w:rPr>
          <w:rFonts w:ascii="宋体" w:hAnsi="宋体" w:cstheme="minorBidi"/>
          <w:sz w:val="22"/>
        </w:rPr>
        <w:t>BIM</w:t>
      </w:r>
      <w:r>
        <w:rPr>
          <w:rFonts w:hint="eastAsia" w:ascii="宋体" w:hAnsi="宋体" w:cstheme="minorBidi"/>
          <w:sz w:val="22"/>
        </w:rPr>
        <w:t>、现场监控等）在可交互的大屏幕上统一呈现，提升三期指挥部对项目实施信息获取的效率。</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3、系统集成</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（1）与微信企业号集成：平台须与微信企业号集成，并根据用户控制图表或报表浏览权限。</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（2）与门户系统集成：实现门户系统的嵌入portlets展示，包括但不限于BIM、工程进度等模块，图表portlets展示不少于2个。</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4、数据迁移</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要求整理并导入前期平台数据，完成已采集的所有工程数据迁移工作。</w:t>
      </w:r>
    </w:p>
    <w:p>
      <w:pPr>
        <w:widowControl/>
        <w:tabs>
          <w:tab w:val="left" w:pos="720"/>
        </w:tabs>
        <w:spacing w:line="360" w:lineRule="exact"/>
        <w:ind w:firstLine="331" w:firstLineChars="150"/>
        <w:jc w:val="left"/>
        <w:outlineLvl w:val="4"/>
        <w:rPr>
          <w:rFonts w:ascii="宋体" w:hAnsi="宋体" w:cstheme="minorBidi"/>
          <w:b/>
          <w:sz w:val="22"/>
        </w:rPr>
      </w:pPr>
      <w:bookmarkStart w:id="51" w:name="_Toc513560718"/>
      <w:bookmarkStart w:id="52" w:name="_Toc527652577"/>
      <w:bookmarkStart w:id="53" w:name="_Toc514864048"/>
      <w:bookmarkStart w:id="54" w:name="_Toc530147599"/>
      <w:r>
        <w:rPr>
          <w:rFonts w:ascii="宋体" w:hAnsi="宋体" w:cstheme="minorBidi"/>
          <w:b/>
          <w:sz w:val="22"/>
        </w:rPr>
        <w:t>3</w:t>
      </w:r>
      <w:r>
        <w:rPr>
          <w:rFonts w:hint="eastAsia" w:ascii="宋体" w:hAnsi="宋体" w:cstheme="minorBidi"/>
          <w:b/>
          <w:sz w:val="22"/>
        </w:rPr>
        <w:t>.3实施要求</w:t>
      </w:r>
    </w:p>
    <w:bookmarkEnd w:id="51"/>
    <w:bookmarkEnd w:id="52"/>
    <w:bookmarkEnd w:id="53"/>
    <w:bookmarkEnd w:id="54"/>
    <w:p>
      <w:pPr>
        <w:widowControl/>
        <w:tabs>
          <w:tab w:val="left" w:pos="720"/>
        </w:tabs>
        <w:spacing w:line="360" w:lineRule="exact"/>
        <w:ind w:firstLine="331" w:firstLineChars="150"/>
        <w:jc w:val="left"/>
        <w:outlineLvl w:val="4"/>
        <w:rPr>
          <w:rFonts w:ascii="宋体" w:hAnsi="宋体" w:cstheme="minorBidi"/>
          <w:b/>
          <w:sz w:val="22"/>
        </w:rPr>
      </w:pPr>
      <w:r>
        <w:rPr>
          <w:rFonts w:hint="eastAsia" w:ascii="宋体" w:hAnsi="宋体" w:cstheme="minorBidi"/>
          <w:b/>
          <w:sz w:val="22"/>
        </w:rPr>
        <w:t>3.3.1实施工期要求</w:t>
      </w:r>
    </w:p>
    <w:p>
      <w:pPr>
        <w:widowControl/>
        <w:tabs>
          <w:tab w:val="left" w:pos="720"/>
        </w:tabs>
        <w:spacing w:line="360" w:lineRule="exact"/>
        <w:ind w:firstLine="330" w:firstLineChars="150"/>
        <w:jc w:val="left"/>
        <w:outlineLvl w:val="1"/>
        <w:rPr>
          <w:rFonts w:ascii="宋体" w:hAnsi="宋体" w:cstheme="minorBidi"/>
          <w:sz w:val="22"/>
        </w:rPr>
      </w:pPr>
      <w:r>
        <w:rPr>
          <w:rFonts w:hint="eastAsia" w:ascii="宋体" w:hAnsi="宋体" w:cstheme="minorBidi"/>
          <w:sz w:val="22"/>
        </w:rPr>
        <w:t>本项目要求合同签订后15日历天内提供项目管理相关人员驻场服务，服务期24个月；合同签订后90日历天内完成“智能工程建设”平台开发、部署、测试、试运行等工作，达到正式上线标准。</w:t>
      </w:r>
    </w:p>
    <w:p>
      <w:pPr>
        <w:widowControl/>
        <w:tabs>
          <w:tab w:val="left" w:pos="720"/>
        </w:tabs>
        <w:spacing w:line="360" w:lineRule="exact"/>
        <w:ind w:firstLine="330" w:firstLineChars="150"/>
        <w:jc w:val="left"/>
        <w:outlineLvl w:val="1"/>
        <w:rPr>
          <w:rFonts w:ascii="宋体" w:hAnsi="宋体" w:cstheme="minorBidi"/>
          <w:sz w:val="22"/>
        </w:rPr>
      </w:pPr>
      <w:r>
        <w:rPr>
          <w:rFonts w:hint="eastAsia" w:ascii="宋体" w:hAnsi="宋体" w:cstheme="minorBidi"/>
          <w:sz w:val="22"/>
        </w:rPr>
        <w:t>本项目总服务期限为自合同签订后24个月。</w:t>
      </w:r>
    </w:p>
    <w:p>
      <w:pPr>
        <w:widowControl/>
        <w:tabs>
          <w:tab w:val="left" w:pos="720"/>
        </w:tabs>
        <w:spacing w:line="360" w:lineRule="exact"/>
        <w:ind w:firstLine="331" w:firstLineChars="150"/>
        <w:jc w:val="left"/>
        <w:outlineLvl w:val="4"/>
        <w:rPr>
          <w:rFonts w:ascii="宋体" w:hAnsi="宋体" w:cstheme="minorBidi"/>
          <w:b/>
          <w:sz w:val="22"/>
        </w:rPr>
      </w:pPr>
      <w:r>
        <w:rPr>
          <w:rFonts w:ascii="宋体" w:hAnsi="宋体" w:cs="Calibri"/>
          <w:b/>
          <w:sz w:val="22"/>
        </w:rPr>
        <w:t>★</w:t>
      </w:r>
      <w:r>
        <w:rPr>
          <w:rFonts w:hint="eastAsia" w:ascii="宋体" w:hAnsi="宋体" w:cstheme="minorBidi"/>
          <w:b/>
          <w:sz w:val="22"/>
        </w:rPr>
        <w:t>3.3.2投入人员数量</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（1）现场服务人员</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驻场工程师不少于8人，其中桩基阶段不少于3人，主体阶段不少于8人。</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（2）平台开发及系统保障人员</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项目负责人1人，实施顾问不少于2人，开发运维工程师不少于4人</w:t>
      </w:r>
    </w:p>
    <w:p>
      <w:pPr>
        <w:widowControl/>
        <w:spacing w:line="360" w:lineRule="exact"/>
        <w:ind w:firstLine="331" w:firstLineChars="150"/>
        <w:jc w:val="left"/>
        <w:rPr>
          <w:rFonts w:ascii="宋体" w:hAnsi="宋体" w:cs="仿宋_GB2312"/>
          <w:kern w:val="0"/>
          <w:sz w:val="22"/>
        </w:rPr>
      </w:pPr>
      <w:r>
        <w:rPr>
          <w:rFonts w:hint="eastAsia" w:ascii="宋体" w:hAnsi="宋体"/>
          <w:b/>
          <w:kern w:val="0"/>
          <w:sz w:val="22"/>
        </w:rPr>
        <w:t>3.3.3项目实施人员要</w:t>
      </w:r>
      <w:r>
        <w:rPr>
          <w:rFonts w:hint="eastAsia" w:ascii="宋体" w:hAnsi="宋体" w:cs="仿宋_GB2312"/>
          <w:kern w:val="0"/>
          <w:sz w:val="22"/>
        </w:rPr>
        <w:t>求</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项目负责人：要求</w:t>
      </w:r>
      <w:r>
        <w:rPr>
          <w:rFonts w:ascii="宋体" w:hAnsi="宋体" w:cstheme="minorBidi"/>
          <w:sz w:val="22"/>
        </w:rPr>
        <w:t>5</w:t>
      </w:r>
      <w:r>
        <w:rPr>
          <w:rFonts w:hint="eastAsia" w:ascii="宋体" w:hAnsi="宋体" w:cstheme="minorBidi"/>
          <w:sz w:val="22"/>
        </w:rPr>
        <w:t>年大型公建类项目管理经验，2个以上相关项目B</w:t>
      </w:r>
      <w:r>
        <w:rPr>
          <w:rFonts w:ascii="宋体" w:hAnsi="宋体" w:cstheme="minorBidi"/>
          <w:sz w:val="22"/>
        </w:rPr>
        <w:t>IM</w:t>
      </w:r>
      <w:r>
        <w:rPr>
          <w:rFonts w:hint="eastAsia" w:ascii="宋体" w:hAnsi="宋体" w:cstheme="minorBidi"/>
          <w:sz w:val="22"/>
        </w:rPr>
        <w:t>咨询经验，并取得高级工程师及以上职称。</w:t>
      </w:r>
    </w:p>
    <w:p>
      <w:pPr>
        <w:widowControl/>
        <w:tabs>
          <w:tab w:val="left" w:pos="720"/>
        </w:tabs>
        <w:spacing w:line="360" w:lineRule="exact"/>
        <w:ind w:firstLine="440" w:firstLineChars="200"/>
        <w:jc w:val="left"/>
        <w:outlineLvl w:val="1"/>
        <w:rPr>
          <w:rFonts w:ascii="宋体" w:hAnsi="宋体" w:cstheme="minorBidi"/>
          <w:sz w:val="22"/>
        </w:rPr>
      </w:pPr>
      <w:r>
        <w:rPr>
          <w:rFonts w:hint="eastAsia" w:ascii="宋体" w:hAnsi="宋体" w:cstheme="minorBidi"/>
          <w:sz w:val="22"/>
        </w:rPr>
        <w:t>项目实施过程中，投标方应严格按照投标书中承诺提供的项目负责人和技术负责人，不得随意更换，必须全程参与本项目的实施过程，项目验收前无故不得更换。</w:t>
      </w:r>
    </w:p>
    <w:p>
      <w:pPr>
        <w:pStyle w:val="5"/>
        <w:spacing w:before="160" w:after="160" w:line="360" w:lineRule="exact"/>
        <w:ind w:firstLine="281" w:firstLineChars="100"/>
        <w:jc w:val="left"/>
      </w:pPr>
      <w:bookmarkStart w:id="55" w:name="_bookmark151"/>
      <w:bookmarkEnd w:id="55"/>
      <w:r>
        <w:t>四、检验考核要求</w:t>
      </w:r>
    </w:p>
    <w:p>
      <w:pPr>
        <w:pStyle w:val="5"/>
        <w:spacing w:before="0" w:after="0" w:line="360" w:lineRule="exact"/>
        <w:ind w:firstLine="440" w:firstLineChars="200"/>
        <w:jc w:val="left"/>
        <w:rPr>
          <w:rFonts w:ascii="宋体" w:hAnsi="宋体" w:eastAsia="宋体" w:cstheme="minorBidi"/>
          <w:b w:val="0"/>
          <w:bCs w:val="0"/>
          <w:sz w:val="22"/>
          <w:szCs w:val="22"/>
        </w:rPr>
      </w:pPr>
      <w:r>
        <w:rPr>
          <w:rFonts w:ascii="宋体" w:hAnsi="宋体" w:eastAsia="宋体" w:cstheme="minorBidi"/>
          <w:b w:val="0"/>
          <w:bCs w:val="0"/>
          <w:sz w:val="22"/>
          <w:szCs w:val="22"/>
        </w:rPr>
        <w:t>4.1现场管控服务验收</w:t>
      </w:r>
    </w:p>
    <w:p>
      <w:pPr>
        <w:pStyle w:val="5"/>
        <w:spacing w:before="0" w:after="0" w:line="360" w:lineRule="exact"/>
        <w:ind w:firstLine="440" w:firstLineChars="200"/>
        <w:jc w:val="left"/>
        <w:rPr>
          <w:rFonts w:ascii="宋体" w:hAnsi="宋体" w:eastAsia="宋体" w:cstheme="minorBidi"/>
          <w:b w:val="0"/>
          <w:bCs w:val="0"/>
          <w:sz w:val="22"/>
          <w:szCs w:val="22"/>
        </w:rPr>
      </w:pPr>
      <w:r>
        <w:rPr>
          <w:rFonts w:hint="eastAsia" w:ascii="宋体" w:hAnsi="宋体" w:eastAsia="宋体" w:cstheme="minorBidi"/>
          <w:b w:val="0"/>
          <w:bCs w:val="0"/>
          <w:sz w:val="22"/>
          <w:szCs w:val="22"/>
        </w:rPr>
        <w:t>进行项目全过程实施服务，以</w:t>
      </w:r>
      <w:r>
        <w:rPr>
          <w:rFonts w:ascii="宋体" w:hAnsi="宋体" w:eastAsia="宋体" w:cstheme="minorBidi"/>
          <w:b w:val="0"/>
          <w:bCs w:val="0"/>
          <w:sz w:val="22"/>
          <w:szCs w:val="22"/>
        </w:rPr>
        <w:t>3个月为一个阶段性验收周期，经</w:t>
      </w:r>
      <w:r>
        <w:rPr>
          <w:rFonts w:hint="eastAsia" w:ascii="宋体" w:hAnsi="宋体" w:eastAsia="宋体" w:cstheme="minorBidi"/>
          <w:b w:val="0"/>
          <w:bCs w:val="0"/>
          <w:sz w:val="22"/>
          <w:szCs w:val="22"/>
        </w:rPr>
        <w:t>甲方同意可提交验收申请。</w:t>
      </w:r>
    </w:p>
    <w:p>
      <w:pPr>
        <w:pStyle w:val="5"/>
        <w:spacing w:before="0" w:after="0" w:line="360" w:lineRule="exact"/>
        <w:ind w:firstLine="440" w:firstLineChars="200"/>
        <w:jc w:val="left"/>
        <w:rPr>
          <w:rFonts w:ascii="宋体" w:hAnsi="宋体" w:eastAsia="宋体" w:cstheme="minorBidi"/>
          <w:b w:val="0"/>
          <w:bCs w:val="0"/>
          <w:sz w:val="22"/>
          <w:szCs w:val="22"/>
        </w:rPr>
      </w:pPr>
      <w:r>
        <w:rPr>
          <w:rFonts w:ascii="宋体" w:hAnsi="宋体" w:eastAsia="宋体" w:cstheme="minorBidi"/>
          <w:b w:val="0"/>
          <w:bCs w:val="0"/>
          <w:sz w:val="22"/>
          <w:szCs w:val="22"/>
        </w:rPr>
        <w:t>4.2“智能工程建设”平台</w:t>
      </w:r>
    </w:p>
    <w:p>
      <w:pPr>
        <w:pStyle w:val="5"/>
        <w:spacing w:before="0" w:after="0" w:line="360" w:lineRule="exact"/>
        <w:ind w:firstLine="442" w:firstLineChars="200"/>
        <w:jc w:val="left"/>
        <w:rPr>
          <w:rFonts w:ascii="宋体" w:hAnsi="宋体" w:eastAsia="宋体"/>
          <w:b w:val="0"/>
          <w:bCs w:val="0"/>
          <w:kern w:val="0"/>
          <w:sz w:val="22"/>
          <w:szCs w:val="22"/>
        </w:rPr>
      </w:pPr>
      <w:r>
        <w:rPr>
          <w:rFonts w:hint="eastAsia" w:ascii="宋体" w:hAnsi="宋体" w:cstheme="minorBidi"/>
          <w:sz w:val="22"/>
        </w:rPr>
        <w:t>项目平台部署完成后，试运行期为</w:t>
      </w:r>
      <w:r>
        <w:rPr>
          <w:rFonts w:ascii="宋体" w:hAnsi="宋体" w:cstheme="minorBidi"/>
          <w:sz w:val="22"/>
        </w:rPr>
        <w:t>1个月，经</w:t>
      </w:r>
      <w:r>
        <w:rPr>
          <w:rFonts w:hint="eastAsia" w:ascii="宋体" w:hAnsi="宋体" w:cstheme="minorBidi"/>
          <w:b w:val="0"/>
          <w:bCs w:val="0"/>
          <w:sz w:val="22"/>
          <w:szCs w:val="22"/>
        </w:rPr>
        <w:t>甲</w:t>
      </w:r>
      <w:r>
        <w:rPr>
          <w:rFonts w:hint="eastAsia" w:ascii="宋体" w:hAnsi="宋体" w:cstheme="minorBidi"/>
          <w:sz w:val="22"/>
        </w:rPr>
        <w:t>方同意进行正式上线，系统稳定后可提交验收申请，进行项目验收。自验收日起开始至服务期结束需保证正常运作。</w:t>
      </w:r>
      <w:bookmarkStart w:id="56" w:name="_bookmark152"/>
      <w:bookmarkEnd w:id="56"/>
    </w:p>
    <w:p>
      <w:pPr>
        <w:pStyle w:val="5"/>
        <w:spacing w:before="160" w:after="160" w:line="360" w:lineRule="exact"/>
        <w:ind w:firstLine="281" w:firstLineChars="100"/>
        <w:jc w:val="left"/>
      </w:pPr>
      <w:r>
        <w:t>五、技术服务和质保期服务要求</w:t>
      </w:r>
    </w:p>
    <w:p>
      <w:pPr>
        <w:keepNext/>
        <w:keepLines/>
        <w:spacing w:line="360" w:lineRule="exact"/>
        <w:ind w:firstLine="330" w:firstLineChars="150"/>
        <w:outlineLvl w:val="2"/>
        <w:rPr>
          <w:rFonts w:ascii="宋体" w:hAnsi="宋体" w:cstheme="minorBidi"/>
          <w:sz w:val="22"/>
        </w:rPr>
      </w:pPr>
      <w:r>
        <w:rPr>
          <w:rFonts w:ascii="宋体" w:hAnsi="宋体" w:cstheme="minorBidi"/>
          <w:sz w:val="22"/>
        </w:rPr>
        <w:t>5.1</w:t>
      </w:r>
      <w:r>
        <w:rPr>
          <w:rFonts w:hint="eastAsia" w:ascii="宋体" w:hAnsi="宋体" w:cstheme="minorBidi"/>
          <w:sz w:val="22"/>
        </w:rPr>
        <w:t>本项目服务还应包括云平台使用服务、全托管的系统运维服务、提供定制化、长期的服务培训、项目实施全过程的项目进展信息收集服务。系统须制定完整的应急预案，如出现云平台故障、系统重大紧急故障或其它情况引起系统服务无法提供时，提供快速的服务响应，针对系统平台故障问题承诺</w:t>
      </w:r>
      <w:r>
        <w:rPr>
          <w:rFonts w:ascii="宋体" w:hAnsi="宋体" w:cstheme="minorBidi"/>
          <w:sz w:val="22"/>
        </w:rPr>
        <w:t>2小时内恢复。</w:t>
      </w:r>
    </w:p>
    <w:p>
      <w:pPr>
        <w:keepNext/>
        <w:keepLines/>
        <w:spacing w:line="360" w:lineRule="exact"/>
        <w:ind w:firstLine="330" w:firstLineChars="150"/>
        <w:outlineLvl w:val="2"/>
        <w:rPr>
          <w:rFonts w:ascii="宋体" w:hAnsi="宋体" w:cstheme="minorBidi"/>
          <w:sz w:val="22"/>
        </w:rPr>
      </w:pPr>
      <w:r>
        <w:rPr>
          <w:rFonts w:ascii="宋体" w:hAnsi="宋体" w:cstheme="minorBidi"/>
          <w:sz w:val="22"/>
        </w:rPr>
        <w:t>5.2</w:t>
      </w:r>
      <w:r>
        <w:rPr>
          <w:rFonts w:hint="eastAsia" w:ascii="宋体" w:hAnsi="宋体" w:cstheme="minorBidi"/>
          <w:sz w:val="22"/>
        </w:rPr>
        <w:t>需提供平台使用培训服务，培训工作应贯穿整个项目的实施过程，协助甲方进行使用和管理，乙方需编制并提供平台使用说明书、用户使用手册。</w:t>
      </w:r>
    </w:p>
    <w:p>
      <w:pPr>
        <w:spacing w:before="160" w:after="160" w:line="360" w:lineRule="exact"/>
        <w:ind w:firstLine="211" w:firstLineChars="100"/>
        <w:jc w:val="left"/>
        <w:rPr>
          <w:b/>
          <w:bCs/>
        </w:rPr>
        <w:sectPr>
          <w:pgSz w:w="12240" w:h="15840"/>
          <w:pgMar w:top="1500" w:right="1680" w:bottom="1120" w:left="1700" w:header="0" w:footer="921" w:gutter="0"/>
          <w:cols w:space="720" w:num="1"/>
        </w:sectPr>
      </w:pPr>
    </w:p>
    <w:p>
      <w:pPr>
        <w:pStyle w:val="2"/>
        <w:spacing w:line="564" w:lineRule="exact"/>
        <w:ind w:right="57"/>
        <w:jc w:val="center"/>
        <w:rPr>
          <w:b w:val="0"/>
          <w:bCs w:val="0"/>
        </w:rPr>
      </w:pPr>
      <w:bookmarkStart w:id="57" w:name="_Toc19698503"/>
      <w:r>
        <w:rPr>
          <w:rFonts w:hint="eastAsia"/>
          <w:b w:val="0"/>
          <w:bCs w:val="0"/>
        </w:rPr>
        <w:t>第六章</w:t>
      </w:r>
      <w:r>
        <w:rPr>
          <w:b w:val="0"/>
          <w:bCs w:val="0"/>
        </w:rPr>
        <w:t xml:space="preserve">  </w:t>
      </w:r>
      <w:r>
        <w:rPr>
          <w:rFonts w:hint="eastAsia"/>
          <w:b w:val="0"/>
          <w:bCs w:val="0"/>
        </w:rPr>
        <w:t>投标文件格式</w:t>
      </w:r>
      <w:bookmarkEnd w:id="57"/>
    </w:p>
    <w:p>
      <w:pPr>
        <w:pStyle w:val="2"/>
        <w:spacing w:line="564" w:lineRule="exact"/>
        <w:ind w:right="57"/>
        <w:jc w:val="center"/>
        <w:rPr>
          <w:b w:val="0"/>
          <w:bCs w:val="0"/>
        </w:rP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ind w:firstLine="0"/>
        <w:rPr>
          <w:rStyle w:val="1783"/>
          <w:sz w:val="22"/>
          <w:szCs w:val="22"/>
        </w:rPr>
      </w:pPr>
      <w:r>
        <w:rPr>
          <w:rStyle w:val="1783"/>
          <w:rFonts w:hint="eastAsia"/>
          <w:sz w:val="22"/>
          <w:szCs w:val="22"/>
        </w:rPr>
        <w:t>二、法定代表人身份证明</w:t>
      </w:r>
      <w:r>
        <w:rPr>
          <w:rStyle w:val="1783"/>
          <w:sz w:val="22"/>
          <w:szCs w:val="22"/>
        </w:rPr>
        <w:t xml:space="preserve"> </w:t>
      </w:r>
      <w:r>
        <w:rPr>
          <w:rStyle w:val="1783"/>
          <w:rFonts w:hint="eastAsia"/>
          <w:sz w:val="22"/>
          <w:szCs w:val="22"/>
        </w:rPr>
        <w:t xml:space="preserve">、授权委托书(适用于有委托代理人的情况, </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联</w:t>
      </w:r>
      <w:r>
        <w:rPr>
          <w:rFonts w:hint="eastAsia" w:ascii="微软雅黑" w:hAnsi="Times New Roman" w:cs="微软雅黑"/>
          <w:kern w:val="0"/>
          <w:sz w:val="22"/>
        </w:rPr>
        <w:t>合</w:t>
      </w:r>
      <w:r>
        <w:rPr>
          <w:rFonts w:hint="eastAsia" w:ascii="微软雅黑" w:hAnsi="Times New Roman" w:cs="微软雅黑"/>
          <w:spacing w:val="-2"/>
          <w:kern w:val="0"/>
          <w:sz w:val="22"/>
        </w:rPr>
        <w:t>体</w:t>
      </w:r>
      <w:r>
        <w:rPr>
          <w:rFonts w:hint="eastAsia" w:ascii="微软雅黑" w:hAnsi="Times New Roman" w:cs="微软雅黑"/>
          <w:kern w:val="0"/>
          <w:sz w:val="22"/>
        </w:rPr>
        <w:t>协</w:t>
      </w:r>
      <w:r>
        <w:rPr>
          <w:rFonts w:hint="eastAsia" w:ascii="微软雅黑" w:hAnsi="Times New Roman" w:cs="微软雅黑"/>
          <w:spacing w:val="-2"/>
          <w:kern w:val="0"/>
          <w:sz w:val="22"/>
        </w:rPr>
        <w:t>议</w:t>
      </w:r>
      <w:r>
        <w:rPr>
          <w:rFonts w:hint="eastAsia" w:ascii="微软雅黑" w:hAnsi="Times New Roman" w:cs="微软雅黑"/>
          <w:kern w:val="0"/>
          <w:sz w:val="22"/>
        </w:rPr>
        <w:t>书(如有)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投</w:t>
      </w:r>
      <w:r>
        <w:rPr>
          <w:rFonts w:hint="eastAsia" w:ascii="微软雅黑" w:hAnsi="Times New Roman" w:cs="微软雅黑"/>
          <w:kern w:val="0"/>
          <w:sz w:val="22"/>
        </w:rPr>
        <w:t>标</w:t>
      </w:r>
      <w:r>
        <w:rPr>
          <w:rFonts w:hint="eastAsia" w:ascii="微软雅黑" w:hAnsi="Times New Roman" w:cs="微软雅黑"/>
          <w:spacing w:val="-2"/>
          <w:kern w:val="0"/>
          <w:sz w:val="22"/>
        </w:rPr>
        <w:t>保</w:t>
      </w:r>
      <w:r>
        <w:rPr>
          <w:rFonts w:hint="eastAsia" w:ascii="微软雅黑" w:hAnsi="Times New Roman" w:cs="微软雅黑"/>
          <w:kern w:val="0"/>
          <w:sz w:val="22"/>
        </w:rPr>
        <w:t>证金</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技</w:t>
      </w:r>
      <w:r>
        <w:rPr>
          <w:rFonts w:hint="eastAsia" w:ascii="微软雅黑" w:hAnsi="Times New Roman" w:cs="微软雅黑"/>
          <w:kern w:val="0"/>
          <w:sz w:val="22"/>
        </w:rPr>
        <w:t>术</w:t>
      </w:r>
      <w:r>
        <w:rPr>
          <w:rFonts w:hint="eastAsia" w:ascii="微软雅黑" w:hAnsi="Times New Roman" w:cs="微软雅黑"/>
          <w:spacing w:val="-2"/>
          <w:kern w:val="0"/>
          <w:sz w:val="22"/>
        </w:rPr>
        <w:t>支</w:t>
      </w:r>
      <w:r>
        <w:rPr>
          <w:rFonts w:hint="eastAsia" w:ascii="微软雅黑" w:hAnsi="Times New Roman" w:cs="微软雅黑"/>
          <w:kern w:val="0"/>
          <w:sz w:val="22"/>
        </w:rPr>
        <w:t>持</w:t>
      </w:r>
      <w:r>
        <w:rPr>
          <w:rFonts w:hint="eastAsia" w:ascii="微软雅黑" w:hAnsi="Times New Roman" w:cs="微软雅黑"/>
          <w:spacing w:val="-2"/>
          <w:kern w:val="0"/>
          <w:sz w:val="22"/>
        </w:rPr>
        <w:t>资</w:t>
      </w:r>
      <w:r>
        <w:rPr>
          <w:rFonts w:hint="eastAsia" w:ascii="微软雅黑" w:hAnsi="Times New Roman" w:cs="微软雅黑"/>
          <w:kern w:val="0"/>
          <w:sz w:val="22"/>
        </w:rPr>
        <w:t>料</w:t>
      </w:r>
      <w:r>
        <w:rPr>
          <w:rFonts w:ascii="微软雅黑" w:hAnsi="Times New Roman" w:cs="微软雅黑"/>
          <w:kern w:val="0"/>
          <w:sz w:val="22"/>
        </w:rPr>
        <w:t xml:space="preserve"> </w:t>
      </w:r>
    </w:p>
    <w:p>
      <w:pPr>
        <w:tabs>
          <w:tab w:val="left" w:pos="3150"/>
        </w:tabs>
        <w:autoSpaceDE w:val="0"/>
        <w:autoSpaceDN w:val="0"/>
        <w:adjustRightInd w:val="0"/>
        <w:spacing w:line="360" w:lineRule="auto"/>
        <w:ind w:right="43"/>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line="360" w:lineRule="auto"/>
        <w:ind w:right="5071"/>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四、联合体协议书(本项目不适用)</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7"/>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本总则上列各条中提及的“投标人”在合同执行过程中应作为“卖方”（合同的乙方）。</w:t>
      </w:r>
    </w:p>
    <w:p>
      <w:pPr>
        <w:pStyle w:val="57"/>
        <w:spacing w:line="360" w:lineRule="auto"/>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p>
      <w:pPr>
        <w:adjustRightInd w:val="0"/>
        <w:snapToGrid w:val="0"/>
        <w:jc w:val="left"/>
        <w:rPr>
          <w:rFonts w:cs="Calibri"/>
          <w:b/>
          <w:szCs w:val="21"/>
        </w:rPr>
      </w:pPr>
      <w:bookmarkStart w:id="58" w:name="_Toc133214310"/>
      <w:bookmarkStart w:id="59" w:name="_Toc137373399"/>
      <w:bookmarkStart w:id="60" w:name="_Toc133470544"/>
      <w:bookmarkStart w:id="61" w:name="_Toc133214103"/>
    </w:p>
    <w:tbl>
      <w:tblPr>
        <w:tblStyle w:val="8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66"/>
        <w:gridCol w:w="1327"/>
        <w:gridCol w:w="158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846" w:type="dxa"/>
            <w:vAlign w:val="center"/>
          </w:tcPr>
          <w:p>
            <w:pPr>
              <w:spacing w:line="360" w:lineRule="exact"/>
              <w:jc w:val="left"/>
              <w:rPr>
                <w:rFonts w:ascii="宋体"/>
                <w:b/>
                <w:sz w:val="22"/>
              </w:rPr>
            </w:pPr>
            <w:r>
              <w:rPr>
                <w:rFonts w:hint="eastAsia" w:ascii="宋体" w:hAnsi="宋体"/>
                <w:b/>
                <w:sz w:val="22"/>
              </w:rPr>
              <w:t>序号</w:t>
            </w:r>
          </w:p>
        </w:tc>
        <w:tc>
          <w:tcPr>
            <w:tcW w:w="2766" w:type="dxa"/>
            <w:vAlign w:val="center"/>
          </w:tcPr>
          <w:p>
            <w:pPr>
              <w:spacing w:line="360" w:lineRule="exact"/>
              <w:jc w:val="left"/>
              <w:rPr>
                <w:rFonts w:ascii="宋体"/>
                <w:b/>
                <w:sz w:val="22"/>
              </w:rPr>
            </w:pPr>
            <w:r>
              <w:rPr>
                <w:rFonts w:hint="eastAsia" w:ascii="宋体" w:hAnsi="宋体"/>
                <w:b/>
                <w:sz w:val="22"/>
              </w:rPr>
              <w:t>内容</w:t>
            </w:r>
          </w:p>
        </w:tc>
        <w:tc>
          <w:tcPr>
            <w:tcW w:w="1327" w:type="dxa"/>
            <w:vAlign w:val="center"/>
          </w:tcPr>
          <w:p>
            <w:pPr>
              <w:spacing w:line="360" w:lineRule="exact"/>
              <w:jc w:val="left"/>
              <w:rPr>
                <w:rFonts w:ascii="宋体"/>
                <w:b/>
                <w:sz w:val="22"/>
              </w:rPr>
            </w:pPr>
            <w:r>
              <w:rPr>
                <w:rFonts w:hint="eastAsia" w:ascii="宋体" w:hAnsi="宋体"/>
                <w:b/>
                <w:sz w:val="22"/>
              </w:rPr>
              <w:t>服务期</w:t>
            </w:r>
          </w:p>
        </w:tc>
        <w:tc>
          <w:tcPr>
            <w:tcW w:w="1582" w:type="dxa"/>
            <w:vAlign w:val="center"/>
          </w:tcPr>
          <w:p>
            <w:pPr>
              <w:spacing w:line="360" w:lineRule="exact"/>
              <w:jc w:val="center"/>
              <w:rPr>
                <w:rFonts w:ascii="宋体"/>
                <w:b/>
                <w:sz w:val="22"/>
              </w:rPr>
            </w:pPr>
            <w:r>
              <w:rPr>
                <w:rFonts w:hint="eastAsia" w:ascii="宋体" w:hAnsi="宋体"/>
                <w:b/>
                <w:sz w:val="22"/>
              </w:rPr>
              <w:t>单价（元</w:t>
            </w:r>
            <w:r>
              <w:rPr>
                <w:rFonts w:ascii="宋体" w:hAnsi="宋体"/>
                <w:b/>
                <w:sz w:val="22"/>
              </w:rPr>
              <w:t>/</w:t>
            </w:r>
            <w:r>
              <w:rPr>
                <w:rFonts w:hint="eastAsia" w:ascii="宋体" w:hAnsi="宋体"/>
                <w:b/>
                <w:sz w:val="22"/>
              </w:rPr>
              <w:t>天，含税）</w:t>
            </w:r>
          </w:p>
        </w:tc>
        <w:tc>
          <w:tcPr>
            <w:tcW w:w="2268" w:type="dxa"/>
            <w:vAlign w:val="center"/>
          </w:tcPr>
          <w:p>
            <w:pPr>
              <w:spacing w:line="360" w:lineRule="exact"/>
              <w:jc w:val="center"/>
              <w:rPr>
                <w:rFonts w:ascii="宋体"/>
                <w:b/>
                <w:sz w:val="22"/>
              </w:rPr>
            </w:pPr>
            <w:r>
              <w:rPr>
                <w:rFonts w:hint="eastAsia" w:ascii="宋体" w:hAnsi="宋体"/>
                <w:b/>
                <w:sz w:val="22"/>
              </w:rPr>
              <w:t>年度合同暂定金额（元</w:t>
            </w:r>
            <w:r>
              <w:rPr>
                <w:rFonts w:ascii="宋体" w:hAnsi="宋体"/>
                <w:b/>
                <w:sz w:val="22"/>
              </w:rPr>
              <w:t>/</w:t>
            </w:r>
            <w:r>
              <w:rPr>
                <w:rFonts w:hint="eastAsia" w:ascii="宋体" w:hAnsi="宋体"/>
                <w:b/>
                <w:sz w:val="22"/>
              </w:rPr>
              <w:t>年（以</w:t>
            </w:r>
            <w:r>
              <w:rPr>
                <w:rFonts w:ascii="宋体" w:hAnsi="宋体"/>
                <w:b/>
                <w:sz w:val="22"/>
              </w:rPr>
              <w:t>365</w:t>
            </w:r>
            <w:r>
              <w:rPr>
                <w:rFonts w:hint="eastAsia" w:ascii="宋体" w:hAnsi="宋体"/>
                <w:b/>
                <w:sz w:val="22"/>
              </w:rPr>
              <w:t>天为准），含税）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46" w:type="dxa"/>
            <w:vAlign w:val="center"/>
          </w:tcPr>
          <w:p>
            <w:pPr>
              <w:spacing w:line="360" w:lineRule="exact"/>
              <w:ind w:firstLine="440" w:firstLineChars="200"/>
              <w:jc w:val="left"/>
              <w:rPr>
                <w:rFonts w:ascii="宋体"/>
                <w:sz w:val="22"/>
              </w:rPr>
            </w:pPr>
            <w:r>
              <w:rPr>
                <w:rFonts w:ascii="宋体" w:hAnsi="宋体"/>
                <w:sz w:val="22"/>
              </w:rPr>
              <w:t>1</w:t>
            </w:r>
          </w:p>
        </w:tc>
        <w:tc>
          <w:tcPr>
            <w:tcW w:w="2766" w:type="dxa"/>
            <w:vAlign w:val="center"/>
          </w:tcPr>
          <w:p>
            <w:pPr>
              <w:spacing w:line="360" w:lineRule="exact"/>
              <w:jc w:val="left"/>
              <w:rPr>
                <w:rFonts w:ascii="宋体"/>
                <w:sz w:val="22"/>
              </w:rPr>
            </w:pPr>
            <w:r>
              <w:rPr>
                <w:rFonts w:hint="eastAsia" w:ascii="宋体" w:hAnsi="宋体"/>
                <w:kern w:val="0"/>
                <w:sz w:val="22"/>
              </w:rPr>
              <w:t>智能建设工程服务</w:t>
            </w:r>
          </w:p>
        </w:tc>
        <w:tc>
          <w:tcPr>
            <w:tcW w:w="1327" w:type="dxa"/>
            <w:vAlign w:val="center"/>
          </w:tcPr>
          <w:p>
            <w:pPr>
              <w:spacing w:line="360" w:lineRule="exact"/>
              <w:jc w:val="left"/>
              <w:rPr>
                <w:rFonts w:ascii="宋体"/>
                <w:sz w:val="22"/>
              </w:rPr>
            </w:pPr>
            <w:r>
              <w:rPr>
                <w:rFonts w:hint="eastAsia" w:ascii="宋体" w:hAnsi="宋体"/>
                <w:sz w:val="22"/>
              </w:rPr>
              <w:t>预估</w:t>
            </w:r>
            <w:r>
              <w:rPr>
                <w:rFonts w:ascii="宋体" w:hAnsi="宋体"/>
                <w:sz w:val="22"/>
              </w:rPr>
              <w:t>730</w:t>
            </w:r>
            <w:r>
              <w:rPr>
                <w:rFonts w:hint="eastAsia" w:ascii="宋体" w:hAnsi="宋体"/>
                <w:sz w:val="22"/>
              </w:rPr>
              <w:t>天</w:t>
            </w:r>
          </w:p>
        </w:tc>
        <w:tc>
          <w:tcPr>
            <w:tcW w:w="1582" w:type="dxa"/>
            <w:vAlign w:val="center"/>
          </w:tcPr>
          <w:p>
            <w:pPr>
              <w:spacing w:line="360" w:lineRule="exact"/>
              <w:ind w:firstLine="440" w:firstLineChars="200"/>
              <w:jc w:val="left"/>
              <w:rPr>
                <w:rFonts w:ascii="宋体"/>
                <w:sz w:val="22"/>
              </w:rPr>
            </w:pPr>
          </w:p>
        </w:tc>
        <w:tc>
          <w:tcPr>
            <w:tcW w:w="2268" w:type="dxa"/>
            <w:vAlign w:val="center"/>
          </w:tcPr>
          <w:p>
            <w:pPr>
              <w:spacing w:line="360" w:lineRule="exact"/>
              <w:ind w:firstLine="440" w:firstLineChars="200"/>
              <w:jc w:val="lef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789" w:type="dxa"/>
            <w:gridSpan w:val="5"/>
            <w:vAlign w:val="center"/>
          </w:tcPr>
          <w:p>
            <w:pPr>
              <w:spacing w:line="360" w:lineRule="exact"/>
              <w:ind w:firstLine="440" w:firstLineChars="200"/>
              <w:jc w:val="left"/>
              <w:rPr>
                <w:rFonts w:ascii="宋体" w:hAnsi="宋体"/>
                <w:sz w:val="22"/>
              </w:rPr>
            </w:pPr>
            <w:r>
              <w:rPr>
                <w:rFonts w:hint="eastAsia" w:ascii="宋体" w:hAnsi="宋体"/>
                <w:sz w:val="22"/>
              </w:rPr>
              <w:t>合计：人民币大写</w:t>
            </w:r>
            <w:r>
              <w:rPr>
                <w:rFonts w:ascii="宋体" w:hAnsi="宋体"/>
                <w:sz w:val="22"/>
              </w:rPr>
              <w:t xml:space="preserve">     </w:t>
            </w:r>
            <w:r>
              <w:rPr>
                <w:rFonts w:hint="eastAsia" w:ascii="宋体" w:hAnsi="宋体"/>
                <w:sz w:val="22"/>
              </w:rPr>
              <w:t>元，</w:t>
            </w:r>
            <w:r>
              <w:rPr>
                <w:rFonts w:hint="eastAsia" w:ascii="宋体"/>
                <w:sz w:val="22"/>
              </w:rPr>
              <w:t>¥</w:t>
            </w:r>
            <w:r>
              <w:rPr>
                <w:rFonts w:ascii="宋体" w:hAnsi="宋体"/>
                <w:sz w:val="22"/>
              </w:rPr>
              <w:t xml:space="preserve">   .00</w:t>
            </w: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ascii="宋体" w:hAnsi="宋体"/>
          <w:kern w:val="0"/>
          <w:szCs w:val="21"/>
        </w:rPr>
      </w:pPr>
      <w:r>
        <w:rPr>
          <w:rFonts w:hint="eastAsia" w:cs="Calibri"/>
          <w:szCs w:val="21"/>
        </w:rPr>
        <w:t>1</w:t>
      </w:r>
      <w:r>
        <w:rPr>
          <w:rFonts w:cs="Calibri"/>
          <w:szCs w:val="21"/>
        </w:rPr>
        <w:t>.</w:t>
      </w:r>
      <w:r>
        <w:rPr>
          <w:rFonts w:hint="eastAsia" w:ascii="宋体" w:hAnsi="宋体"/>
          <w:kern w:val="0"/>
          <w:szCs w:val="21"/>
        </w:rPr>
        <w:t>“智能建设工程”投标报价的计算方式=天服务费*</w:t>
      </w:r>
      <w:r>
        <w:rPr>
          <w:rFonts w:ascii="宋体" w:hAnsi="宋体"/>
          <w:kern w:val="0"/>
          <w:szCs w:val="21"/>
        </w:rPr>
        <w:t>730</w:t>
      </w:r>
      <w:r>
        <w:rPr>
          <w:rFonts w:hint="eastAsia" w:ascii="宋体" w:hAnsi="宋体"/>
          <w:kern w:val="0"/>
          <w:szCs w:val="21"/>
        </w:rPr>
        <w:t>天，年度合同暂定金额=天服务费*</w:t>
      </w:r>
      <w:r>
        <w:rPr>
          <w:rFonts w:ascii="宋体" w:hAnsi="宋体"/>
          <w:kern w:val="0"/>
          <w:szCs w:val="21"/>
        </w:rPr>
        <w:t>365</w:t>
      </w:r>
      <w:r>
        <w:rPr>
          <w:rFonts w:hint="eastAsia" w:ascii="宋体" w:hAnsi="宋体"/>
          <w:kern w:val="0"/>
          <w:szCs w:val="21"/>
        </w:rPr>
        <w:t>天</w:t>
      </w:r>
    </w:p>
    <w:p>
      <w:pPr>
        <w:adjustRightInd w:val="0"/>
        <w:snapToGrid w:val="0"/>
        <w:jc w:val="left"/>
        <w:rPr>
          <w:rFonts w:ascii="宋体" w:hAnsi="宋体"/>
          <w:kern w:val="0"/>
          <w:szCs w:val="21"/>
        </w:rPr>
      </w:pPr>
    </w:p>
    <w:p>
      <w:pPr>
        <w:adjustRightInd w:val="0"/>
        <w:snapToGrid w:val="0"/>
        <w:jc w:val="left"/>
        <w:rPr>
          <w:rFonts w:cs="Calibri"/>
          <w:szCs w:val="21"/>
        </w:rPr>
      </w:pPr>
      <w:r>
        <w:rPr>
          <w:rFonts w:hint="eastAsia" w:cs="Calibri"/>
          <w:szCs w:val="21"/>
        </w:rPr>
        <w:t>2</w:t>
      </w:r>
      <w:r>
        <w:rPr>
          <w:rFonts w:cs="Calibri"/>
          <w:szCs w:val="21"/>
        </w:rPr>
        <w:t>.</w:t>
      </w:r>
      <w:r>
        <w:rPr>
          <w:rFonts w:hint="eastAsia" w:cs="Calibri"/>
          <w:szCs w:val="21"/>
        </w:rPr>
        <w:t>我方承诺服务期按照甲方要求执行。</w:t>
      </w:r>
    </w:p>
    <w:p>
      <w:pPr>
        <w:adjustRightInd w:val="0"/>
        <w:snapToGrid w:val="0"/>
        <w:jc w:val="left"/>
        <w:rPr>
          <w:rFonts w:cs="Calibri"/>
          <w:szCs w:val="21"/>
        </w:rPr>
      </w:pPr>
    </w:p>
    <w:p>
      <w:pPr>
        <w:adjustRightInd w:val="0"/>
        <w:snapToGrid w:val="0"/>
        <w:jc w:val="left"/>
        <w:rPr>
          <w:rFonts w:cs="Calibri"/>
          <w:szCs w:val="21"/>
        </w:rPr>
      </w:pPr>
      <w:r>
        <w:rPr>
          <w:rFonts w:hint="eastAsia" w:cs="Calibri"/>
          <w:szCs w:val="21"/>
        </w:rPr>
        <w:t>3</w:t>
      </w:r>
      <w:r>
        <w:rPr>
          <w:rFonts w:cs="Calibri"/>
          <w:szCs w:val="21"/>
        </w:rPr>
        <w:t>.</w:t>
      </w:r>
      <w:r>
        <w:rPr>
          <w:rFonts w:hint="eastAsia" w:cs="Calibri"/>
          <w:szCs w:val="21"/>
        </w:rPr>
        <w:t xml:space="preserve">我方提供的增值税专用发票税率为 </w:t>
      </w:r>
      <w:r>
        <w:rPr>
          <w:rFonts w:cs="Calibri"/>
          <w:szCs w:val="21"/>
        </w:rPr>
        <w:t xml:space="preserve"> </w:t>
      </w:r>
      <w:r>
        <w:rPr>
          <w:rFonts w:hint="eastAsia" w:cs="Calibri"/>
          <w:szCs w:val="21"/>
        </w:rPr>
        <w:t xml:space="preserve">【 </w:t>
      </w:r>
      <w:r>
        <w:rPr>
          <w:rFonts w:cs="Calibri"/>
          <w:szCs w:val="21"/>
        </w:rPr>
        <w:t xml:space="preserve">   </w:t>
      </w:r>
      <w:r>
        <w:rPr>
          <w:rFonts w:hint="eastAsia" w:cs="Calibri"/>
          <w:szCs w:val="21"/>
        </w:rPr>
        <w:t>%】</w:t>
      </w: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p>
    <w:p>
      <w:pPr>
        <w:snapToGrid w:val="0"/>
        <w:spacing w:line="440" w:lineRule="exact"/>
        <w:ind w:firstLine="3969" w:firstLineChars="1890"/>
        <w:rPr>
          <w:rFonts w:cs="Calibri"/>
          <w:color w:val="000000"/>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58"/>
    <w:bookmarkEnd w:id="59"/>
    <w:bookmarkEnd w:id="60"/>
    <w:bookmarkEnd w:id="61"/>
    <w:p>
      <w:pPr>
        <w:pStyle w:val="57"/>
        <w:tabs>
          <w:tab w:val="center" w:pos="4480"/>
        </w:tabs>
        <w:spacing w:line="360" w:lineRule="auto"/>
        <w:rPr>
          <w:rFonts w:ascii="宋体" w:hAnsi="宋体" w:cs="宋体"/>
          <w:b/>
          <w:sz w:val="32"/>
          <w:szCs w:val="32"/>
        </w:rPr>
      </w:pPr>
      <w:r>
        <w:rPr>
          <w:rFonts w:hint="eastAsia" w:ascii="宋体" w:hAnsi="宋体" w:cs="宋体"/>
          <w:sz w:val="22"/>
        </w:rPr>
        <w:t xml:space="preserve"> </w:t>
      </w:r>
      <w:r>
        <w:rPr>
          <w:rFonts w:ascii="宋体" w:hAnsi="宋体" w:cs="宋体"/>
          <w:sz w:val="22"/>
        </w:rPr>
        <w:tab/>
      </w: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4"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1000</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2017</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r>
        <w:rPr>
          <w:rFonts w:hint="eastAsia" w:ascii="宋体" w:hAnsi="宋体" w:cs="宋体"/>
          <w:sz w:val="22"/>
        </w:rPr>
        <w:t xml:space="preserve">                       </w:t>
      </w:r>
      <w:r>
        <w:rPr>
          <w:rFonts w:ascii="宋体" w:hAnsi="宋体" w:cs="宋体"/>
          <w:sz w:val="22"/>
        </w:rPr>
        <w:t xml:space="preserve">    </w:t>
      </w:r>
      <w:r>
        <w:rPr>
          <w:rFonts w:hint="eastAsia" w:ascii="宋体" w:hAnsi="宋体" w:cs="宋体"/>
          <w:sz w:val="22"/>
        </w:rPr>
        <w:t>供应商(盖章):</w:t>
      </w:r>
    </w:p>
    <w:p>
      <w:pPr>
        <w:spacing w:line="360" w:lineRule="exact"/>
        <w:ind w:firstLine="3300" w:firstLineChars="1500"/>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r>
        <w:rPr>
          <w:rFonts w:hint="eastAsia" w:ascii="宋体" w:hAnsi="宋体" w:cs="宋体"/>
          <w:sz w:val="22"/>
        </w:rPr>
        <w:t>电话/传真：</w:t>
      </w:r>
    </w:p>
    <w:p>
      <w:pPr>
        <w:spacing w:line="360" w:lineRule="exact"/>
        <w:ind w:firstLine="440" w:firstLineChars="200"/>
        <w:rPr>
          <w:rFonts w:ascii="宋体" w:hAnsi="宋体" w:cs="宋体"/>
          <w:sz w:val="22"/>
        </w:rPr>
      </w:pPr>
      <w:r>
        <w:rPr>
          <w:rFonts w:hint="eastAsia" w:ascii="宋体" w:hAnsi="宋体" w:cs="宋体"/>
          <w:sz w:val="22"/>
        </w:rPr>
        <w:t xml:space="preserve">                      </w:t>
      </w:r>
      <w:r>
        <w:rPr>
          <w:rFonts w:ascii="宋体" w:hAnsi="宋体" w:cs="宋体"/>
          <w:sz w:val="22"/>
        </w:rPr>
        <w:t xml:space="preserve">  </w:t>
      </w: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200" w:firstLineChars="1000"/>
        <w:rPr>
          <w:rFonts w:ascii="宋体" w:hAnsi="宋体" w:cs="宋体"/>
          <w:b/>
          <w:sz w:val="32"/>
          <w:szCs w:val="32"/>
        </w:rPr>
      </w:pPr>
      <w:r>
        <w:rPr>
          <w:rFonts w:hint="eastAsia" w:ascii="宋体" w:hAnsi="宋体" w:cs="宋体"/>
          <w:sz w:val="22"/>
        </w:rPr>
        <w:t xml:space="preserve">日 </w:t>
      </w:r>
      <w:r>
        <w:rPr>
          <w:rFonts w:ascii="宋体" w:hAnsi="宋体" w:cs="宋体"/>
          <w:sz w:val="22"/>
        </w:rPr>
        <w:t xml:space="preserve"> </w:t>
      </w:r>
      <w:r>
        <w:rPr>
          <w:rFonts w:hint="eastAsia" w:ascii="宋体" w:hAnsi="宋体" w:cs="宋体"/>
          <w:sz w:val="22"/>
        </w:rPr>
        <w:t>期：     年   月   日</w:t>
      </w: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39"/>
        </w:numPr>
        <w:spacing w:line="360" w:lineRule="auto"/>
        <w:rPr>
          <w:rFonts w:ascii="宋体" w:hAnsi="宋体" w:cs="宋体"/>
          <w:sz w:val="22"/>
        </w:rPr>
      </w:pPr>
      <w:r>
        <w:rPr>
          <w:rFonts w:hint="eastAsia" w:ascii="宋体" w:hAnsi="宋体" w:cs="宋体"/>
          <w:sz w:val="22"/>
        </w:rPr>
        <w:t>服务说明；</w:t>
      </w:r>
    </w:p>
    <w:p>
      <w:pPr>
        <w:numPr>
          <w:ilvl w:val="0"/>
          <w:numId w:val="39"/>
        </w:numPr>
        <w:spacing w:line="360" w:lineRule="auto"/>
        <w:rPr>
          <w:rFonts w:ascii="宋体" w:hAnsi="宋体" w:cs="宋体"/>
          <w:sz w:val="22"/>
        </w:rPr>
      </w:pPr>
      <w:r>
        <w:rPr>
          <w:rFonts w:hint="eastAsia" w:ascii="宋体" w:hAnsi="宋体" w:cs="宋体"/>
          <w:sz w:val="22"/>
        </w:rPr>
        <w:t>主要技术指标的详细描述；</w:t>
      </w:r>
    </w:p>
    <w:p>
      <w:pPr>
        <w:numPr>
          <w:ilvl w:val="0"/>
          <w:numId w:val="39"/>
        </w:numPr>
        <w:spacing w:line="360" w:lineRule="auto"/>
        <w:rPr>
          <w:rFonts w:ascii="宋体" w:hAnsi="宋体" w:cs="宋体"/>
          <w:sz w:val="22"/>
        </w:rPr>
      </w:pPr>
      <w:r>
        <w:rPr>
          <w:rFonts w:hint="eastAsia" w:ascii="宋体" w:hAnsi="宋体" w:cs="宋体"/>
          <w:sz w:val="22"/>
        </w:rPr>
        <w:t>相关检测、检验、测试报告；</w:t>
      </w:r>
    </w:p>
    <w:p>
      <w:pPr>
        <w:numPr>
          <w:ilvl w:val="0"/>
          <w:numId w:val="39"/>
        </w:numPr>
        <w:spacing w:line="360" w:lineRule="auto"/>
        <w:rPr>
          <w:rFonts w:ascii="宋体" w:hAnsi="宋体" w:cs="宋体"/>
          <w:sz w:val="22"/>
        </w:rPr>
      </w:pPr>
      <w:r>
        <w:rPr>
          <w:rFonts w:hint="eastAsia" w:ascii="宋体" w:hAnsi="宋体" w:cs="宋体"/>
          <w:sz w:val="22"/>
        </w:rPr>
        <w:t>主要服务流程；</w:t>
      </w:r>
    </w:p>
    <w:p>
      <w:pPr>
        <w:numPr>
          <w:ilvl w:val="0"/>
          <w:numId w:val="39"/>
        </w:numPr>
        <w:spacing w:line="360" w:lineRule="auto"/>
        <w:rPr>
          <w:rFonts w:ascii="宋体" w:hAnsi="宋体" w:cs="宋体"/>
          <w:sz w:val="22"/>
        </w:rPr>
      </w:pPr>
      <w:r>
        <w:rPr>
          <w:rFonts w:hint="eastAsia" w:ascii="宋体" w:hAnsi="宋体" w:cs="宋体"/>
          <w:sz w:val="22"/>
        </w:rPr>
        <w:t>项目实施进度控制计划；</w:t>
      </w:r>
    </w:p>
    <w:p>
      <w:pPr>
        <w:numPr>
          <w:ilvl w:val="0"/>
          <w:numId w:val="39"/>
        </w:numPr>
        <w:spacing w:line="360" w:lineRule="auto"/>
        <w:rPr>
          <w:rFonts w:ascii="宋体" w:hAnsi="宋体" w:cs="宋体"/>
          <w:sz w:val="22"/>
        </w:rPr>
      </w:pPr>
      <w:r>
        <w:rPr>
          <w:rFonts w:hint="eastAsia" w:ascii="宋体" w:hAnsi="宋体" w:cs="宋体"/>
          <w:sz w:val="22"/>
        </w:rPr>
        <w:t>相关服务实施方案；</w:t>
      </w:r>
    </w:p>
    <w:p>
      <w:pPr>
        <w:numPr>
          <w:ilvl w:val="0"/>
          <w:numId w:val="39"/>
        </w:numPr>
        <w:spacing w:line="360" w:lineRule="auto"/>
        <w:rPr>
          <w:rFonts w:ascii="宋体" w:hAnsi="宋体" w:cs="宋体"/>
          <w:sz w:val="22"/>
        </w:rPr>
      </w:pPr>
      <w:r>
        <w:rPr>
          <w:rFonts w:hint="eastAsia" w:ascii="宋体" w:hAnsi="宋体" w:cs="宋体"/>
          <w:sz w:val="22"/>
        </w:rPr>
        <w:t>技术支持及售后服务方案；</w:t>
      </w:r>
    </w:p>
    <w:p>
      <w:pPr>
        <w:numPr>
          <w:ilvl w:val="0"/>
          <w:numId w:val="39"/>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sz w:val="24"/>
          <w:szCs w:val="21"/>
        </w:rPr>
        <w:sectPr>
          <w:pgSz w:w="11907" w:h="16840"/>
          <w:pgMar w:top="1191" w:right="1191" w:bottom="1191" w:left="1191" w:header="567" w:footer="720" w:gutter="227"/>
          <w:pgNumType w:fmt="numberInDash"/>
          <w:cols w:space="720" w:num="1"/>
        </w:sectPr>
      </w:pPr>
      <w:r>
        <w:rPr>
          <w:rFonts w:ascii="宋体" w:hAnsi="宋体" w:cs="宋体"/>
          <w:sz w:val="24"/>
          <w:szCs w:val="21"/>
        </w:rPr>
        <w:br w:type="page"/>
      </w:r>
    </w:p>
    <w:p>
      <w:pPr>
        <w:spacing w:line="440" w:lineRule="exact"/>
        <w:jc w:val="center"/>
        <w:rPr>
          <w:rFonts w:eastAsia="黑体" w:cs="Calibri"/>
          <w:color w:val="000000"/>
          <w:sz w:val="32"/>
          <w:szCs w:val="32"/>
        </w:rPr>
      </w:pPr>
      <w:r>
        <w:rPr>
          <w:rFonts w:eastAsia="黑体" w:cs="Calibri"/>
          <w:color w:val="000000"/>
          <w:sz w:val="32"/>
          <w:szCs w:val="32"/>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539"/>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9"/>
        <w:jc w:val="center"/>
        <w:rPr>
          <w:rFonts w:ascii="宋体" w:hAnsi="宋体" w:cs="宋体"/>
          <w:b/>
          <w:sz w:val="28"/>
        </w:rPr>
      </w:pPr>
      <w:r>
        <w:rPr>
          <w:rFonts w:hint="eastAsia" w:ascii="宋体" w:hAnsi="宋体" w:cs="宋体"/>
          <w:b/>
          <w:sz w:val="28"/>
        </w:rPr>
        <w:t>服务内容</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服务体系情况</w:t>
            </w:r>
          </w:p>
        </w:tc>
        <w:tc>
          <w:tcPr>
            <w:tcW w:w="3335" w:type="dxa"/>
            <w:vAlign w:val="center"/>
          </w:tcPr>
          <w:p>
            <w:pPr>
              <w:pStyle w:val="539"/>
              <w:jc w:val="center"/>
              <w:rPr>
                <w:rFonts w:ascii="宋体" w:hAnsi="宋体" w:cs="宋体"/>
              </w:rPr>
            </w:pPr>
            <w:r>
              <w:rPr>
                <w:rFonts w:hint="eastAsia" w:ascii="宋体" w:hAnsi="宋体" w:cs="宋体"/>
              </w:rPr>
              <w:t>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57"/>
        <w:spacing w:line="360" w:lineRule="auto"/>
        <w:jc w:val="center"/>
        <w:rPr>
          <w:rFonts w:ascii="宋体" w:hAnsi="宋体" w:cs="宋体"/>
          <w:b/>
          <w:sz w:val="32"/>
          <w:szCs w:val="32"/>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00000000" w:usb1="00000000" w:usb2="00000000" w:usb3="00000000" w:csb0="00000093"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Segoe Print"/>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- 57 -</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- 67 -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- 67 -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4">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0">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2">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5">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6">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19">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C4BD6E"/>
    <w:multiLevelType w:val="singleLevel"/>
    <w:tmpl w:val="59C4BD6E"/>
    <w:lvl w:ilvl="0" w:tentative="0">
      <w:start w:val="1"/>
      <w:numFmt w:val="decimal"/>
      <w:suff w:val="nothing"/>
      <w:lvlText w:val="（%1）"/>
      <w:lvlJc w:val="left"/>
    </w:lvl>
  </w:abstractNum>
  <w:abstractNum w:abstractNumId="21">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2">
    <w:nsid w:val="5E5DBB3A"/>
    <w:multiLevelType w:val="singleLevel"/>
    <w:tmpl w:val="5E5DBB3A"/>
    <w:lvl w:ilvl="0" w:tentative="0">
      <w:start w:val="2"/>
      <w:numFmt w:val="decimal"/>
      <w:suff w:val="nothing"/>
      <w:lvlText w:val="%1."/>
      <w:lvlJc w:val="left"/>
    </w:lvl>
  </w:abstractNum>
  <w:abstractNum w:abstractNumId="23">
    <w:nsid w:val="5E7CAAC3"/>
    <w:multiLevelType w:val="singleLevel"/>
    <w:tmpl w:val="5E7CAAC3"/>
    <w:lvl w:ilvl="0" w:tentative="0">
      <w:start w:val="1"/>
      <w:numFmt w:val="decimal"/>
      <w:pStyle w:val="17"/>
      <w:lvlText w:val="%1."/>
      <w:lvlJc w:val="left"/>
      <w:pPr>
        <w:tabs>
          <w:tab w:val="left" w:pos="780"/>
        </w:tabs>
        <w:ind w:left="780" w:hanging="360"/>
      </w:pPr>
    </w:lvl>
  </w:abstractNum>
  <w:abstractNum w:abstractNumId="24">
    <w:nsid w:val="5E7CAAD9"/>
    <w:multiLevelType w:val="singleLevel"/>
    <w:tmpl w:val="5E7CAAD9"/>
    <w:lvl w:ilvl="0" w:tentative="0">
      <w:start w:val="1"/>
      <w:numFmt w:val="decimal"/>
      <w:pStyle w:val="22"/>
      <w:lvlText w:val="%1."/>
      <w:lvlJc w:val="left"/>
      <w:pPr>
        <w:tabs>
          <w:tab w:val="left" w:pos="360"/>
        </w:tabs>
        <w:ind w:left="360" w:hanging="360"/>
      </w:pPr>
    </w:lvl>
  </w:abstractNum>
  <w:abstractNum w:abstractNumId="25">
    <w:nsid w:val="5E7CAAE4"/>
    <w:multiLevelType w:val="singleLevel"/>
    <w:tmpl w:val="5E7CAAE4"/>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6">
    <w:nsid w:val="5E7CAAEF"/>
    <w:multiLevelType w:val="singleLevel"/>
    <w:tmpl w:val="5E7CAAEF"/>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7">
    <w:nsid w:val="5E7CAB05"/>
    <w:multiLevelType w:val="singleLevel"/>
    <w:tmpl w:val="5E7CAB05"/>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28">
    <w:nsid w:val="5E7CAB10"/>
    <w:multiLevelType w:val="singleLevel"/>
    <w:tmpl w:val="5E7CAB10"/>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29">
    <w:nsid w:val="5E7CAB1B"/>
    <w:multiLevelType w:val="singleLevel"/>
    <w:tmpl w:val="5E7CAB1B"/>
    <w:lvl w:ilvl="0" w:tentative="0">
      <w:start w:val="1"/>
      <w:numFmt w:val="decimal"/>
      <w:pStyle w:val="43"/>
      <w:lvlText w:val="%1."/>
      <w:lvlJc w:val="left"/>
      <w:pPr>
        <w:tabs>
          <w:tab w:val="left" w:pos="1620"/>
        </w:tabs>
        <w:ind w:left="1620" w:hanging="360"/>
      </w:pPr>
    </w:lvl>
  </w:abstractNum>
  <w:abstractNum w:abstractNumId="30">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7">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8">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3"/>
  </w:num>
  <w:num w:numId="2">
    <w:abstractNumId w:val="24"/>
  </w:num>
  <w:num w:numId="3">
    <w:abstractNumId w:val="25"/>
  </w:num>
  <w:num w:numId="4">
    <w:abstractNumId w:val="26"/>
  </w:num>
  <w:num w:numId="5">
    <w:abstractNumId w:val="27"/>
  </w:num>
  <w:num w:numId="6">
    <w:abstractNumId w:val="28"/>
  </w:num>
  <w:num w:numId="7">
    <w:abstractNumId w:val="29"/>
  </w:num>
  <w:num w:numId="8">
    <w:abstractNumId w:val="7"/>
  </w:num>
  <w:num w:numId="9">
    <w:abstractNumId w:val="34"/>
  </w:num>
  <w:num w:numId="10">
    <w:abstractNumId w:val="35"/>
  </w:num>
  <w:num w:numId="11">
    <w:abstractNumId w:val="1"/>
    <w:lvlOverride w:ilvl="0">
      <w:startOverride w:val="1"/>
    </w:lvlOverride>
  </w:num>
  <w:num w:numId="12">
    <w:abstractNumId w:val="0"/>
    <w:lvlOverride w:ilvl="0">
      <w:startOverride w:val="1"/>
    </w:lvlOverride>
  </w:num>
  <w:num w:numId="13">
    <w:abstractNumId w:val="12"/>
  </w:num>
  <w:num w:numId="14">
    <w:abstractNumId w:val="13"/>
  </w:num>
  <w:num w:numId="15">
    <w:abstractNumId w:val="18"/>
  </w:num>
  <w:num w:numId="16">
    <w:abstractNumId w:val="32"/>
  </w:num>
  <w:num w:numId="17">
    <w:abstractNumId w:val="33"/>
  </w:num>
  <w:num w:numId="18">
    <w:abstractNumId w:val="9"/>
  </w:num>
  <w:num w:numId="19">
    <w:abstractNumId w:val="8"/>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2"/>
  </w:num>
  <w:num w:numId="25">
    <w:abstractNumId w:val="6"/>
  </w:num>
  <w:num w:numId="26">
    <w:abstractNumId w:val="16"/>
  </w:num>
  <w:num w:numId="27">
    <w:abstractNumId w:val="10"/>
  </w:num>
  <w:num w:numId="28">
    <w:abstractNumId w:val="21"/>
  </w:num>
  <w:num w:numId="29">
    <w:abstractNumId w:val="31"/>
  </w:num>
  <w:num w:numId="30">
    <w:abstractNumId w:val="19"/>
  </w:num>
  <w:num w:numId="31">
    <w:abstractNumId w:val="38"/>
  </w:num>
  <w:num w:numId="32">
    <w:abstractNumId w:val="14"/>
  </w:num>
  <w:num w:numId="33">
    <w:abstractNumId w:val="15"/>
  </w:num>
  <w:num w:numId="34">
    <w:abstractNumId w:val="30"/>
  </w:num>
  <w:num w:numId="35">
    <w:abstractNumId w:val="20"/>
  </w:num>
  <w:num w:numId="36">
    <w:abstractNumId w:val="22"/>
  </w:num>
  <w:num w:numId="37">
    <w:abstractNumId w:val="36"/>
  </w:num>
  <w:num w:numId="38">
    <w:abstractNumId w:val="3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B30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uiPriority w:val="1"/>
  </w:style>
  <w:style w:type="table" w:default="1" w:styleId="89">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qFormat/>
    <w:uiPriority w:val="0"/>
    <w:rPr>
      <w:rFonts w:ascii="Calibri" w:hAnsi="Calibri" w:eastAsia="宋体" w:cs="Times New Roman"/>
      <w:sz w:val="21"/>
      <w:szCs w:val="21"/>
      <w:lang w:val="en-US" w:eastAsia="zh-CN" w:bidi="ar-SA"/>
    </w:rPr>
  </w:style>
  <w:style w:type="character" w:styleId="88">
    <w:name w:val="footnote reference"/>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Calibri" w:hAnsi="Calibri"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Calibri" w:hAnsi="Calibri"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0"/>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uiPriority w:val="0"/>
    <w:pPr>
      <w:widowControl/>
      <w:spacing w:line="280" w:lineRule="atLeast"/>
      <w:ind w:firstLine="420"/>
      <w:jc w:val="left"/>
    </w:pPr>
    <w:rPr>
      <w:rFonts w:ascii="宋体" w:hAnsi="宋体" w:cs="宋体"/>
      <w:kern w:val="0"/>
      <w:sz w:val="24"/>
    </w:rPr>
  </w:style>
  <w:style w:type="paragraph" w:customStyle="1" w:styleId="317">
    <w:name w:val="ca-25"/>
    <w:basedOn w:val="1"/>
    <w:uiPriority w:val="0"/>
    <w:pPr>
      <w:widowControl/>
      <w:jc w:val="left"/>
    </w:pPr>
    <w:rPr>
      <w:kern w:val="0"/>
      <w:szCs w:val="21"/>
    </w:rPr>
  </w:style>
  <w:style w:type="paragraph" w:customStyle="1" w:styleId="318">
    <w:name w:val="td-6"/>
    <w:basedOn w:val="1"/>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rPr>
      <w:rFonts w:ascii="Calibri" w:hAnsi="Calibri" w:eastAsia="宋体" w:cs="Times New Roman"/>
      <w:kern w:val="0"/>
      <w:sz w:val="20"/>
      <w:szCs w:val="20"/>
      <w:lang w:val="en-US" w:eastAsia="zh-CN" w:bidi="ar-SA"/>
    </w:rPr>
  </w:style>
  <w:style w:type="character" w:customStyle="1" w:styleId="592">
    <w:name w:val="标题3 Char"/>
    <w:basedOn w:val="79"/>
    <w:link w:val="593"/>
    <w:qFormat/>
    <w:locked/>
    <w:uiPriority w:val="0"/>
    <w:rPr>
      <w:rFonts w:ascii="Calibri" w:hAnsi="Calibri"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Calibri" w:hAnsi="Calibri"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99"/>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lang w:val="en-US" w:eastAsia="zh-CN" w:bidi="ar-SA"/>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qFormat/>
    <w:uiPriority w:val="99"/>
    <w:rPr>
      <w:rFonts w:ascii="Calibri" w:hAnsi="Calibri" w:eastAsia="宋体" w:cs="Times New Roman"/>
      <w:lang w:val="en-US" w:eastAsia="zh-CN" w:bidi="ar-SA"/>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Calibri" w:hAnsi="Calibri"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lang w:val="en-US" w:eastAsia="zh-CN" w:bidi="ar-SA"/>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lang w:val="en-US" w:eastAsia="zh-CN" w:bidi="ar-SA"/>
    </w:rPr>
  </w:style>
  <w:style w:type="character" w:customStyle="1" w:styleId="1805">
    <w:name w:val="正文文本缩进 字符"/>
    <w:qFormat/>
    <w:uiPriority w:val="0"/>
    <w:rPr>
      <w:rFonts w:ascii="Calibri" w:hAnsi="Calibri" w:eastAsia="宋体" w:cs="Times New Roman"/>
      <w:kern w:val="2"/>
      <w:sz w:val="24"/>
      <w:szCs w:val="24"/>
      <w:lang w:val="en-US" w:eastAsia="zh-CN" w:bidi="ar-SA"/>
    </w:rPr>
  </w:style>
  <w:style w:type="character" w:customStyle="1" w:styleId="1806">
    <w:name w:val="Char Char163"/>
    <w:qFormat/>
    <w:uiPriority w:val="0"/>
    <w:rPr>
      <w:rFonts w:ascii="Calibri" w:hAnsi="Calibri" w:eastAsia="宋体" w:cs="Times New Roman"/>
      <w:kern w:val="2"/>
      <w:sz w:val="18"/>
      <w:szCs w:val="18"/>
      <w:lang w:val="en-US" w:eastAsia="zh-CN" w:bidi="ar-SA"/>
    </w:rPr>
  </w:style>
  <w:style w:type="character" w:customStyle="1" w:styleId="1807">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qFormat/>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qFormat/>
    <w:uiPriority w:val="0"/>
    <w:rPr>
      <w:rFonts w:ascii="Calibri" w:hAnsi="Calibri" w:eastAsia="宋体" w:cs="Times New Roman"/>
      <w:bCs/>
      <w:kern w:val="2"/>
      <w:sz w:val="21"/>
      <w:szCs w:val="32"/>
      <w:lang w:val="en-US" w:eastAsia="zh-CN" w:bidi="ar-SA"/>
    </w:rPr>
  </w:style>
  <w:style w:type="character" w:customStyle="1" w:styleId="1818">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9">
    <w:name w:val="标题 7 字符"/>
    <w:qFormat/>
    <w:uiPriority w:val="0"/>
    <w:rPr>
      <w:rFonts w:ascii="宋体" w:hAnsi="Calibri" w:eastAsia="仿宋_GB2312" w:cs="Times New Roman"/>
      <w:b/>
      <w:sz w:val="24"/>
      <w:lang w:val="en-US" w:eastAsia="zh-CN" w:bidi="ar-SA"/>
    </w:rPr>
  </w:style>
  <w:style w:type="character" w:customStyle="1" w:styleId="1820">
    <w:name w:val="标题 6 字符"/>
    <w:qFormat/>
    <w:uiPriority w:val="0"/>
    <w:rPr>
      <w:rFonts w:ascii="Arial" w:hAnsi="Arial" w:eastAsia="黑体" w:cs="Times New Roman"/>
      <w:b/>
      <w:sz w:val="24"/>
      <w:lang w:val="en-US" w:eastAsia="zh-CN" w:bidi="ar-SA"/>
    </w:rPr>
  </w:style>
  <w:style w:type="character" w:customStyle="1" w:styleId="1821">
    <w:name w:val="正文文本缩进 2 字符"/>
    <w:qFormat/>
    <w:uiPriority w:val="0"/>
    <w:rPr>
      <w:rFonts w:ascii="宋体" w:hAnsi="Calibri" w:eastAsia="宋体" w:cs="Times New Roman"/>
      <w:i/>
      <w:kern w:val="2"/>
      <w:sz w:val="24"/>
      <w:lang w:val="en-US" w:eastAsia="zh-CN" w:bidi="ar-SA"/>
    </w:rPr>
  </w:style>
  <w:style w:type="character" w:customStyle="1" w:styleId="1822">
    <w:name w:val="标题 4 字符"/>
    <w:qFormat/>
    <w:uiPriority w:val="0"/>
    <w:rPr>
      <w:rFonts w:ascii="宋体" w:hAnsi="宋体" w:eastAsia="宋体" w:cs="Times New Roman"/>
      <w:b/>
      <w:bCs/>
      <w:kern w:val="2"/>
      <w:sz w:val="24"/>
      <w:szCs w:val="24"/>
      <w:lang w:val="en-US" w:eastAsia="zh-CN" w:bidi="ar-SA"/>
    </w:rPr>
  </w:style>
  <w:style w:type="character" w:customStyle="1" w:styleId="1823">
    <w:name w:val="尾注文本 字符"/>
    <w:qFormat/>
    <w:uiPriority w:val="0"/>
    <w:rPr>
      <w:rFonts w:ascii="Calibri" w:hAnsi="Calibri" w:eastAsia="宋体" w:cs="Times New Roman"/>
      <w:sz w:val="21"/>
      <w:szCs w:val="24"/>
      <w:lang w:val="en-US" w:eastAsia="zh-CN" w:bidi="ar-SA"/>
    </w:rPr>
  </w:style>
  <w:style w:type="character" w:customStyle="1" w:styleId="1824">
    <w:name w:val="日期 字符"/>
    <w:qFormat/>
    <w:uiPriority w:val="0"/>
    <w:rPr>
      <w:rFonts w:ascii="Calibri" w:hAnsi="Calibri" w:eastAsia="宋体" w:cs="Times New Roman"/>
      <w:kern w:val="2"/>
      <w:sz w:val="21"/>
      <w:lang w:val="en-US" w:eastAsia="zh-CN" w:bidi="ar-SA"/>
    </w:rPr>
  </w:style>
  <w:style w:type="character" w:customStyle="1" w:styleId="1825">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qFormat/>
    <w:uiPriority w:val="0"/>
    <w:rPr>
      <w:rFonts w:ascii="Calibri" w:hAnsi="Calibri" w:eastAsia="宋体" w:cs="Times New Roman"/>
      <w:kern w:val="2"/>
      <w:sz w:val="18"/>
      <w:szCs w:val="18"/>
      <w:lang w:val="en-US" w:eastAsia="zh-CN" w:bidi="ar-SA"/>
    </w:rPr>
  </w:style>
  <w:style w:type="character" w:customStyle="1" w:styleId="1827">
    <w:name w:val="Char Char53"/>
    <w:qFormat/>
    <w:uiPriority w:val="0"/>
    <w:rPr>
      <w:rFonts w:ascii="Calibri" w:hAnsi="Calibri"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Calibri" w:hAnsi="Calibri" w:eastAsia="宋体" w:cs="Times New Roman"/>
      <w:color w:val="605E5C"/>
      <w:shd w:val="clear" w:color="auto" w:fill="E1DFDD"/>
      <w:lang w:val="en-US" w:eastAsia="zh-CN" w:bidi="ar-SA"/>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 w:type="character" w:customStyle="1" w:styleId="1853">
    <w:name w:val="px1233"/>
    <w:qFormat/>
    <w:uiPriority w:val="0"/>
    <w:rPr>
      <w:rFonts w:ascii="Calibri" w:hAnsi="Calibri" w:eastAsia="宋体" w:cs="Times New Roman"/>
      <w:lang w:val="en-US" w:eastAsia="zh-CN" w:bidi="ar-SA"/>
    </w:rPr>
  </w:style>
  <w:style w:type="paragraph" w:customStyle="1" w:styleId="1854">
    <w:name w:val="小正文"/>
    <w:basedOn w:val="1"/>
    <w:qFormat/>
    <w:uiPriority w:val="0"/>
    <w:pPr>
      <w:spacing w:line="560" w:lineRule="exact"/>
      <w:ind w:firstLine="560" w:firstLineChars="200"/>
      <w:jc w:val="left"/>
    </w:pPr>
    <w:rPr>
      <w:rFonts w:ascii="仿宋_GB2312" w:hAnsi="宋体" w:eastAsia="仿宋_GB2312" w:cstheme="minorBidi"/>
      <w:sz w:val="28"/>
      <w:szCs w:val="28"/>
    </w:rPr>
  </w:style>
  <w:style w:type="paragraph" w:customStyle="1" w:styleId="1855">
    <w:name w:val="正文（小四+1.25倍行距）"/>
    <w:basedOn w:val="1"/>
    <w:qFormat/>
    <w:uiPriority w:val="0"/>
    <w:pPr>
      <w:spacing w:line="560" w:lineRule="exact"/>
      <w:ind w:firstLine="560" w:firstLineChars="200"/>
    </w:pPr>
    <w:rPr>
      <w:rFonts w:ascii="仿宋_GB2312" w:hAnsi="Times New Roman" w:eastAsia="仿宋_GB2312"/>
      <w:sz w:val="28"/>
      <w:szCs w:val="28"/>
    </w:rPr>
  </w:style>
  <w:style w:type="paragraph" w:customStyle="1" w:styleId="1856">
    <w:name w:val="一、"/>
    <w:basedOn w:val="1"/>
    <w:qFormat/>
    <w:uiPriority w:val="0"/>
    <w:pPr>
      <w:widowControl/>
      <w:tabs>
        <w:tab w:val="left" w:pos="720"/>
      </w:tabs>
      <w:spacing w:line="560" w:lineRule="exact"/>
      <w:ind w:firstLine="562" w:firstLineChars="200"/>
      <w:jc w:val="left"/>
      <w:outlineLvl w:val="1"/>
    </w:pPr>
    <w:rPr>
      <w:rFonts w:ascii="仿宋_GB2312" w:hAnsi="宋体" w:eastAsia="仿宋_GB2312" w:cstheme="minorBidi"/>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6927</Words>
  <Characters>39489</Characters>
  <Lines>329</Lines>
  <Paragraphs>92</Paragraphs>
  <TotalTime>0</TotalTime>
  <ScaleCrop>false</ScaleCrop>
  <LinksUpToDate>false</LinksUpToDate>
  <CharactersWithSpaces>46324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2020-03-03T04:11:00Z</dcterms:created>
  <dc:creator>招标中心</dc:creator>
  <cp:lastModifiedBy>贾思勰</cp:lastModifiedBy>
  <cp:lastPrinted>2019-07-29T07:57:00Z</cp:lastPrinted>
  <dcterms:modified xsi:type="dcterms:W3CDTF">2020-03-26T13:15:38Z</dcterms:modified>
  <dc:title>杭州萧山国际机场服务类项目招标文件示范文本</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