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Calibri"/>
          <w:kern w:val="0"/>
          <w:sz w:val="24"/>
          <w:szCs w:val="52"/>
        </w:rPr>
      </w:pPr>
      <w:bookmarkStart w:id="0" w:name="_Toc143421653"/>
      <w:bookmarkStart w:id="1" w:name="_Toc128451845"/>
      <w:bookmarkStart w:id="2" w:name="_Toc140045840"/>
      <w:bookmarkStart w:id="127" w:name="_GoBack"/>
      <w:bookmarkEnd w:id="127"/>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r>
        <w:rPr>
          <w:rFonts w:hint="eastAsia" w:ascii="宋体" w:hAnsi="宋体" w:cs="宋体"/>
          <w:b/>
          <w:color w:val="000000"/>
          <w:w w:val="90"/>
          <w:sz w:val="48"/>
          <w:szCs w:val="48"/>
        </w:rPr>
        <w:t>杭州萧山国际机场</w:t>
      </w:r>
      <w:r>
        <w:rPr>
          <w:rFonts w:hint="eastAsia" w:ascii="宋体" w:hAnsi="宋体" w:cs="宋体"/>
          <w:b/>
          <w:color w:val="000000"/>
          <w:w w:val="90"/>
          <w:sz w:val="48"/>
          <w:szCs w:val="48"/>
          <w:lang w:val="zh-CN"/>
        </w:rPr>
        <w:t>飞行区道面病害调查技术服务项目</w:t>
      </w:r>
    </w:p>
    <w:p>
      <w:pPr>
        <w:autoSpaceDE w:val="0"/>
        <w:autoSpaceDN w:val="0"/>
        <w:adjustRightInd w:val="0"/>
        <w:jc w:val="center"/>
        <w:rPr>
          <w:rFonts w:eastAsia="黑体" w:cs="Calibri"/>
          <w:b/>
          <w:bCs/>
          <w:spacing w:val="60"/>
          <w:sz w:val="82"/>
          <w:szCs w:val="82"/>
        </w:rPr>
      </w:pPr>
    </w:p>
    <w:p>
      <w:pPr>
        <w:autoSpaceDE w:val="0"/>
        <w:autoSpaceDN w:val="0"/>
        <w:adjustRightInd w:val="0"/>
        <w:jc w:val="center"/>
        <w:rPr>
          <w:rFonts w:eastAsia="黑体" w:cs="Calibri"/>
          <w:b/>
          <w:bCs/>
          <w:spacing w:val="60"/>
          <w:sz w:val="82"/>
          <w:szCs w:val="82"/>
        </w:rPr>
      </w:pPr>
      <w:r>
        <w:rPr>
          <w:rFonts w:eastAsia="黑体" w:cs="Calibri"/>
          <w:b/>
          <w:bCs/>
          <w:spacing w:val="60"/>
          <w:sz w:val="82"/>
          <w:szCs w:val="82"/>
        </w:rPr>
        <w:t>招标文件</w:t>
      </w:r>
    </w:p>
    <w:p>
      <w:pPr>
        <w:autoSpaceDE w:val="0"/>
        <w:autoSpaceDN w:val="0"/>
        <w:adjustRightInd w:val="0"/>
        <w:jc w:val="center"/>
        <w:rPr>
          <w:rFonts w:cs="Calibri"/>
          <w:b/>
          <w:kern w:val="0"/>
          <w:sz w:val="44"/>
          <w:szCs w:val="44"/>
        </w:rPr>
      </w:pPr>
    </w:p>
    <w:p>
      <w:pPr>
        <w:autoSpaceDE w:val="0"/>
        <w:autoSpaceDN w:val="0"/>
        <w:adjustRightInd w:val="0"/>
        <w:jc w:val="center"/>
        <w:rPr>
          <w:rFonts w:cs="Calibri"/>
          <w:b/>
          <w:kern w:val="0"/>
          <w:sz w:val="44"/>
          <w:szCs w:val="44"/>
        </w:rPr>
      </w:pPr>
    </w:p>
    <w:p>
      <w:pPr>
        <w:autoSpaceDE w:val="0"/>
        <w:autoSpaceDN w:val="0"/>
        <w:adjustRightInd w:val="0"/>
        <w:jc w:val="center"/>
        <w:rPr>
          <w:rFonts w:cs="Calibri"/>
          <w:kern w:val="0"/>
          <w:sz w:val="32"/>
          <w:szCs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rPr>
          <w:rFonts w:ascii="Calibri" w:hAnsi="Calibri" w:eastAsia="隶书" w:cs="Calibri"/>
          <w:sz w:val="32"/>
        </w:rPr>
      </w:pPr>
    </w:p>
    <w:p>
      <w:pPr>
        <w:pStyle w:val="21"/>
        <w:spacing w:line="480" w:lineRule="auto"/>
        <w:jc w:val="center"/>
        <w:rPr>
          <w:rFonts w:ascii="Calibri" w:hAnsi="Calibri" w:eastAsia="隶书" w:cs="Calibri"/>
          <w:sz w:val="32"/>
        </w:rPr>
      </w:pPr>
    </w:p>
    <w:p>
      <w:pPr>
        <w:snapToGrid w:val="0"/>
        <w:jc w:val="center"/>
        <w:rPr>
          <w:rFonts w:eastAsia="黑体" w:cs="Calibri"/>
          <w:sz w:val="32"/>
          <w:szCs w:val="32"/>
        </w:rPr>
      </w:pPr>
      <w:r>
        <w:rPr>
          <w:rFonts w:eastAsia="黑体" w:cs="Calibri"/>
          <w:sz w:val="32"/>
          <w:szCs w:val="32"/>
        </w:rPr>
        <w:t>杭州萧山国际机场有限公司</w:t>
      </w:r>
    </w:p>
    <w:p>
      <w:pPr>
        <w:rPr>
          <w:rFonts w:eastAsia="黑体" w:cs="Calibri"/>
          <w:sz w:val="32"/>
          <w:szCs w:val="32"/>
        </w:rPr>
      </w:pPr>
    </w:p>
    <w:p>
      <w:pPr>
        <w:pStyle w:val="21"/>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年</w:t>
      </w:r>
      <w:r>
        <w:rPr>
          <w:rFonts w:hint="eastAsia" w:ascii="Calibri" w:hAnsi="Calibri" w:eastAsia="黑体" w:cs="Calibri"/>
          <w:sz w:val="32"/>
          <w:szCs w:val="32"/>
          <w:lang w:eastAsia="zh-CN"/>
        </w:rPr>
        <w:t>三</w:t>
      </w:r>
      <w:r>
        <w:rPr>
          <w:rFonts w:ascii="Calibri" w:hAnsi="Calibri" w:eastAsia="黑体" w:cs="Calibri"/>
          <w:sz w:val="32"/>
          <w:szCs w:val="32"/>
        </w:rPr>
        <w:t>月</w:t>
      </w:r>
    </w:p>
    <w:p>
      <w:pPr>
        <w:snapToGrid w:val="0"/>
        <w:spacing w:line="360" w:lineRule="auto"/>
        <w:jc w:val="center"/>
        <w:rPr>
          <w:rFonts w:cs="Calibri"/>
          <w:color w:val="000000"/>
          <w:sz w:val="32"/>
          <w:szCs w:val="32"/>
        </w:rPr>
      </w:pPr>
    </w:p>
    <w:p>
      <w:pPr>
        <w:pStyle w:val="30"/>
        <w:rPr>
          <w:rFonts w:ascii="Calibri" w:cs="Calibri"/>
          <w:b/>
          <w:color w:val="000000"/>
          <w:sz w:val="44"/>
        </w:rPr>
      </w:pPr>
      <w:bookmarkStart w:id="3" w:name="_Toc349007685"/>
      <w:bookmarkStart w:id="4" w:name="_Toc349011855"/>
      <w:bookmarkStart w:id="5" w:name="_Toc386359390"/>
      <w:bookmarkStart w:id="6" w:name="_Toc386363314"/>
      <w:r>
        <w:rPr>
          <w:rFonts w:hint="eastAsia" w:ascii="Calibri" w:cs="Calibri"/>
          <w:b/>
          <w:color w:val="000000"/>
          <w:sz w:val="44"/>
        </w:rPr>
        <w:t xml:space="preserve"> </w:t>
      </w:r>
    </w:p>
    <w:p>
      <w:pPr>
        <w:pStyle w:val="30"/>
        <w:rPr>
          <w:rFonts w:ascii="Calibri" w:hAnsi="Calibri" w:cs="Calibri"/>
          <w:b/>
          <w:color w:val="000000"/>
          <w:sz w:val="44"/>
        </w:rPr>
      </w:pPr>
      <w:bookmarkStart w:id="7" w:name="_Toc400369182"/>
      <w:bookmarkStart w:id="8" w:name="_Toc444173456"/>
      <w:bookmarkStart w:id="9" w:name="_Toc444174976"/>
      <w:bookmarkStart w:id="10" w:name="_Toc444811406"/>
      <w:bookmarkStart w:id="11" w:name="_Toc448002981"/>
      <w:bookmarkStart w:id="12" w:name="_Toc535504366"/>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3"/>
      <w:bookmarkEnd w:id="4"/>
      <w:bookmarkEnd w:id="5"/>
      <w:bookmarkEnd w:id="6"/>
      <w:bookmarkEnd w:id="7"/>
      <w:bookmarkEnd w:id="8"/>
      <w:bookmarkEnd w:id="9"/>
      <w:bookmarkEnd w:id="10"/>
      <w:bookmarkEnd w:id="11"/>
      <w:bookmarkEnd w:id="12"/>
    </w:p>
    <w:p>
      <w:pPr>
        <w:pStyle w:val="30"/>
        <w:rPr>
          <w:rFonts w:ascii="Calibri" w:hAnsi="Calibri"/>
          <w:bCs w:val="0"/>
          <w:kern w:val="2"/>
          <w:sz w:val="24"/>
          <w:szCs w:val="24"/>
          <w:lang w:val="en-US" w:eastAsia="zh-CN"/>
        </w:rPr>
      </w:pPr>
      <w:r>
        <w:rPr>
          <w:rFonts w:hint="eastAsia" w:ascii="黑体" w:hAnsi="黑体" w:eastAsia="黑体" w:cs="Calibri"/>
          <w:color w:val="000000"/>
          <w:sz w:val="24"/>
          <w:szCs w:val="24"/>
        </w:rPr>
        <w:fldChar w:fldCharType="begin"/>
      </w:r>
      <w:r>
        <w:rPr>
          <w:rFonts w:ascii="黑体" w:hAnsi="黑体" w:eastAsia="黑体" w:cs="Calibri"/>
          <w:color w:val="000000"/>
          <w:sz w:val="24"/>
          <w:szCs w:val="24"/>
        </w:rPr>
        <w:instrText xml:space="preserve"> TOC \o "1-3" \h \z \u </w:instrText>
      </w:r>
      <w:r>
        <w:rPr>
          <w:rFonts w:hint="eastAsia" w:ascii="黑体" w:hAnsi="黑体" w:eastAsia="黑体" w:cs="Calibri"/>
          <w:color w:val="000000"/>
          <w:sz w:val="24"/>
          <w:szCs w:val="24"/>
        </w:rPr>
        <w:fldChar w:fldCharType="separate"/>
      </w:r>
      <w:r>
        <w:rPr>
          <w:sz w:val="24"/>
          <w:szCs w:val="24"/>
          <w:lang/>
        </w:rPr>
        <w:fldChar w:fldCharType="begin"/>
      </w:r>
      <w:r>
        <w:rPr>
          <w:rStyle w:val="51"/>
          <w:sz w:val="24"/>
          <w:szCs w:val="24"/>
          <w:lang/>
        </w:rPr>
        <w:instrText xml:space="preserve"> </w:instrText>
      </w:r>
      <w:r>
        <w:rPr>
          <w:sz w:val="24"/>
          <w:szCs w:val="24"/>
          <w:lang/>
        </w:rPr>
        <w:instrText xml:space="preserve">HYPERLINK \l "_Toc535504367"</w:instrText>
      </w:r>
      <w:r>
        <w:rPr>
          <w:rStyle w:val="51"/>
          <w:sz w:val="24"/>
          <w:szCs w:val="24"/>
          <w:lang/>
        </w:rPr>
        <w:instrText xml:space="preserve"> </w:instrText>
      </w:r>
      <w:r>
        <w:rPr>
          <w:sz w:val="24"/>
          <w:szCs w:val="24"/>
          <w:lang/>
        </w:rPr>
        <w:fldChar w:fldCharType="separate"/>
      </w:r>
      <w:r>
        <w:rPr>
          <w:rStyle w:val="51"/>
          <w:rFonts w:hint="eastAsia" w:ascii="Calibri" w:eastAsia="黑体" w:cs="Calibri"/>
          <w:kern w:val="0"/>
          <w:sz w:val="24"/>
          <w:szCs w:val="24"/>
          <w:lang/>
        </w:rPr>
        <w:t>第一章</w:t>
      </w:r>
      <w:r>
        <w:rPr>
          <w:rStyle w:val="51"/>
          <w:rFonts w:ascii="Calibri" w:hAnsi="Calibri" w:eastAsia="黑体" w:cs="Calibri"/>
          <w:kern w:val="0"/>
          <w:sz w:val="24"/>
          <w:szCs w:val="24"/>
          <w:lang/>
        </w:rPr>
        <w:t xml:space="preserve"> </w:t>
      </w:r>
      <w:r>
        <w:rPr>
          <w:rStyle w:val="51"/>
          <w:rFonts w:hint="eastAsia" w:ascii="Calibri" w:hAnsi="Calibri" w:eastAsia="黑体" w:cs="Calibri"/>
          <w:kern w:val="0"/>
          <w:sz w:val="24"/>
          <w:szCs w:val="24"/>
          <w:lang w:eastAsia="zh-CN"/>
        </w:rPr>
        <w:t xml:space="preserve"> </w:t>
      </w:r>
      <w:r>
        <w:rPr>
          <w:rStyle w:val="51"/>
          <w:rFonts w:hint="eastAsia" w:ascii="Calibri" w:eastAsia="黑体" w:cs="Calibri"/>
          <w:kern w:val="0"/>
          <w:sz w:val="24"/>
          <w:szCs w:val="24"/>
          <w:lang/>
        </w:rPr>
        <w:t>招标公告</w:t>
      </w:r>
      <w:r>
        <w:rPr>
          <w:sz w:val="24"/>
          <w:szCs w:val="24"/>
          <w:lang/>
        </w:rPr>
        <w:tab/>
      </w:r>
      <w:r>
        <w:rPr>
          <w:sz w:val="24"/>
          <w:szCs w:val="24"/>
          <w:lang/>
        </w:rPr>
        <w:fldChar w:fldCharType="begin"/>
      </w:r>
      <w:r>
        <w:rPr>
          <w:sz w:val="24"/>
          <w:szCs w:val="24"/>
          <w:lang/>
        </w:rPr>
        <w:instrText xml:space="preserve"> PAGEREF _Toc535504367 \h </w:instrText>
      </w:r>
      <w:r>
        <w:rPr>
          <w:sz w:val="24"/>
          <w:szCs w:val="24"/>
          <w:lang/>
        </w:rPr>
        <w:fldChar w:fldCharType="separate"/>
      </w:r>
      <w:r>
        <w:rPr>
          <w:sz w:val="24"/>
          <w:szCs w:val="24"/>
          <w:lang/>
        </w:rPr>
        <w:t>- 2 -</w:t>
      </w:r>
      <w:r>
        <w:rPr>
          <w:sz w:val="24"/>
          <w:szCs w:val="24"/>
          <w:lang/>
        </w:rPr>
        <w:fldChar w:fldCharType="end"/>
      </w:r>
      <w:r>
        <w:rPr>
          <w:sz w:val="24"/>
          <w:szCs w:val="24"/>
          <w:lang/>
        </w:rPr>
        <w:fldChar w:fldCharType="end"/>
      </w:r>
    </w:p>
    <w:p>
      <w:pPr>
        <w:pStyle w:val="30"/>
        <w:rPr>
          <w:rFonts w:ascii="Calibri" w:hAnsi="Calibri"/>
          <w:bCs w:val="0"/>
          <w:kern w:val="2"/>
          <w:sz w:val="24"/>
          <w:szCs w:val="24"/>
          <w:lang w:val="en-US" w:eastAsia="zh-CN"/>
        </w:rPr>
      </w:pPr>
      <w:r>
        <w:rPr>
          <w:sz w:val="24"/>
          <w:szCs w:val="24"/>
          <w:lang/>
        </w:rPr>
        <w:fldChar w:fldCharType="begin"/>
      </w:r>
      <w:r>
        <w:rPr>
          <w:rStyle w:val="51"/>
          <w:sz w:val="24"/>
          <w:szCs w:val="24"/>
          <w:lang/>
        </w:rPr>
        <w:instrText xml:space="preserve"> </w:instrText>
      </w:r>
      <w:r>
        <w:rPr>
          <w:sz w:val="24"/>
          <w:szCs w:val="24"/>
          <w:lang/>
        </w:rPr>
        <w:instrText xml:space="preserve">HYPERLINK \l "_Toc535504368"</w:instrText>
      </w:r>
      <w:r>
        <w:rPr>
          <w:rStyle w:val="51"/>
          <w:sz w:val="24"/>
          <w:szCs w:val="24"/>
          <w:lang/>
        </w:rPr>
        <w:instrText xml:space="preserve"> </w:instrText>
      </w:r>
      <w:r>
        <w:rPr>
          <w:sz w:val="24"/>
          <w:szCs w:val="24"/>
          <w:lang/>
        </w:rPr>
        <w:fldChar w:fldCharType="separate"/>
      </w:r>
      <w:r>
        <w:rPr>
          <w:rStyle w:val="51"/>
          <w:rFonts w:hint="eastAsia" w:ascii="Calibri" w:eastAsia="黑体" w:cs="Calibri"/>
          <w:kern w:val="0"/>
          <w:sz w:val="24"/>
          <w:szCs w:val="24"/>
          <w:lang/>
        </w:rPr>
        <w:t>第二章</w:t>
      </w:r>
      <w:r>
        <w:rPr>
          <w:rStyle w:val="51"/>
          <w:rFonts w:ascii="Calibri" w:hAnsi="Calibri" w:eastAsia="黑体" w:cs="Calibri"/>
          <w:kern w:val="0"/>
          <w:sz w:val="24"/>
          <w:szCs w:val="24"/>
          <w:lang/>
        </w:rPr>
        <w:t xml:space="preserve">  </w:t>
      </w:r>
      <w:r>
        <w:rPr>
          <w:rStyle w:val="51"/>
          <w:rFonts w:hint="eastAsia" w:ascii="Calibri" w:eastAsia="黑体" w:cs="Calibri"/>
          <w:kern w:val="0"/>
          <w:sz w:val="24"/>
          <w:szCs w:val="24"/>
          <w:lang/>
        </w:rPr>
        <w:t>投标人须知</w:t>
      </w:r>
      <w:r>
        <w:rPr>
          <w:sz w:val="24"/>
          <w:szCs w:val="24"/>
          <w:lang/>
        </w:rPr>
        <w:tab/>
      </w:r>
      <w:r>
        <w:rPr>
          <w:sz w:val="24"/>
          <w:szCs w:val="24"/>
          <w:lang/>
        </w:rPr>
        <w:fldChar w:fldCharType="begin"/>
      </w:r>
      <w:r>
        <w:rPr>
          <w:sz w:val="24"/>
          <w:szCs w:val="24"/>
          <w:lang/>
        </w:rPr>
        <w:instrText xml:space="preserve"> PAGEREF _Toc535504368 \h </w:instrText>
      </w:r>
      <w:r>
        <w:rPr>
          <w:sz w:val="24"/>
          <w:szCs w:val="24"/>
          <w:lang/>
        </w:rPr>
        <w:fldChar w:fldCharType="separate"/>
      </w:r>
      <w:r>
        <w:rPr>
          <w:sz w:val="24"/>
          <w:szCs w:val="24"/>
          <w:lang/>
        </w:rPr>
        <w:t>- 4 -</w:t>
      </w:r>
      <w:r>
        <w:rPr>
          <w:sz w:val="24"/>
          <w:szCs w:val="24"/>
          <w:lang/>
        </w:rPr>
        <w:fldChar w:fldCharType="end"/>
      </w:r>
      <w:r>
        <w:rPr>
          <w:sz w:val="24"/>
          <w:szCs w:val="24"/>
          <w:lang/>
        </w:rPr>
        <w:fldChar w:fldCharType="end"/>
      </w:r>
    </w:p>
    <w:p>
      <w:pPr>
        <w:pStyle w:val="30"/>
        <w:rPr>
          <w:rFonts w:ascii="Calibri" w:hAnsi="Calibri"/>
          <w:bCs w:val="0"/>
          <w:kern w:val="2"/>
          <w:sz w:val="24"/>
          <w:szCs w:val="24"/>
          <w:lang w:val="en-US" w:eastAsia="zh-CN"/>
        </w:rPr>
      </w:pPr>
      <w:r>
        <w:rPr>
          <w:sz w:val="24"/>
          <w:szCs w:val="24"/>
          <w:lang/>
        </w:rPr>
        <w:fldChar w:fldCharType="begin"/>
      </w:r>
      <w:r>
        <w:rPr>
          <w:rStyle w:val="51"/>
          <w:sz w:val="24"/>
          <w:szCs w:val="24"/>
          <w:lang/>
        </w:rPr>
        <w:instrText xml:space="preserve"> </w:instrText>
      </w:r>
      <w:r>
        <w:rPr>
          <w:sz w:val="24"/>
          <w:szCs w:val="24"/>
          <w:lang/>
        </w:rPr>
        <w:instrText xml:space="preserve">HYPERLINK \l "_Toc535504370"</w:instrText>
      </w:r>
      <w:r>
        <w:rPr>
          <w:rStyle w:val="51"/>
          <w:sz w:val="24"/>
          <w:szCs w:val="24"/>
          <w:lang/>
        </w:rPr>
        <w:instrText xml:space="preserve"> </w:instrText>
      </w:r>
      <w:r>
        <w:rPr>
          <w:sz w:val="24"/>
          <w:szCs w:val="24"/>
          <w:lang/>
        </w:rPr>
        <w:fldChar w:fldCharType="separate"/>
      </w:r>
      <w:r>
        <w:rPr>
          <w:rStyle w:val="51"/>
          <w:rFonts w:hint="eastAsia" w:ascii="Calibri" w:hAnsi="Calibri" w:eastAsia="黑体" w:cs="Calibri"/>
          <w:kern w:val="0"/>
          <w:sz w:val="24"/>
          <w:szCs w:val="24"/>
          <w:lang/>
        </w:rPr>
        <w:t>第三章</w:t>
      </w:r>
      <w:r>
        <w:rPr>
          <w:rStyle w:val="51"/>
          <w:rFonts w:ascii="Calibri" w:hAnsi="Calibri" w:eastAsia="黑体" w:cs="Calibri"/>
          <w:kern w:val="0"/>
          <w:sz w:val="24"/>
          <w:szCs w:val="24"/>
          <w:lang/>
        </w:rPr>
        <w:t xml:space="preserve">  </w:t>
      </w:r>
      <w:r>
        <w:rPr>
          <w:rStyle w:val="51"/>
          <w:rFonts w:hint="eastAsia" w:ascii="Calibri" w:hAnsi="Calibri" w:eastAsia="黑体" w:cs="Calibri"/>
          <w:kern w:val="0"/>
          <w:sz w:val="24"/>
          <w:szCs w:val="24"/>
          <w:lang/>
        </w:rPr>
        <w:t>勘察设计任务书</w:t>
      </w:r>
      <w:r>
        <w:rPr>
          <w:sz w:val="24"/>
          <w:szCs w:val="24"/>
          <w:lang/>
        </w:rPr>
        <w:tab/>
      </w:r>
      <w:r>
        <w:rPr>
          <w:sz w:val="24"/>
          <w:szCs w:val="24"/>
          <w:lang/>
        </w:rPr>
        <w:fldChar w:fldCharType="begin"/>
      </w:r>
      <w:r>
        <w:rPr>
          <w:sz w:val="24"/>
          <w:szCs w:val="24"/>
          <w:lang/>
        </w:rPr>
        <w:instrText xml:space="preserve"> PAGEREF _Toc535504370 \h </w:instrText>
      </w:r>
      <w:r>
        <w:rPr>
          <w:sz w:val="24"/>
          <w:szCs w:val="24"/>
          <w:lang/>
        </w:rPr>
        <w:fldChar w:fldCharType="separate"/>
      </w:r>
      <w:r>
        <w:rPr>
          <w:sz w:val="24"/>
          <w:szCs w:val="24"/>
          <w:lang/>
        </w:rPr>
        <w:t>- 12 -</w:t>
      </w:r>
      <w:r>
        <w:rPr>
          <w:sz w:val="24"/>
          <w:szCs w:val="24"/>
          <w:lang/>
        </w:rPr>
        <w:fldChar w:fldCharType="end"/>
      </w:r>
      <w:r>
        <w:rPr>
          <w:sz w:val="24"/>
          <w:szCs w:val="24"/>
          <w:lang/>
        </w:rPr>
        <w:fldChar w:fldCharType="end"/>
      </w:r>
    </w:p>
    <w:p>
      <w:pPr>
        <w:pStyle w:val="30"/>
        <w:rPr>
          <w:rFonts w:ascii="Calibri" w:hAnsi="Calibri"/>
          <w:bCs w:val="0"/>
          <w:kern w:val="2"/>
          <w:sz w:val="24"/>
          <w:szCs w:val="24"/>
          <w:lang w:val="en-US" w:eastAsia="zh-CN"/>
        </w:rPr>
      </w:pPr>
      <w:r>
        <w:rPr>
          <w:sz w:val="24"/>
          <w:szCs w:val="24"/>
          <w:lang/>
        </w:rPr>
        <w:fldChar w:fldCharType="begin"/>
      </w:r>
      <w:r>
        <w:rPr>
          <w:rStyle w:val="51"/>
          <w:sz w:val="24"/>
          <w:szCs w:val="24"/>
          <w:lang/>
        </w:rPr>
        <w:instrText xml:space="preserve"> </w:instrText>
      </w:r>
      <w:r>
        <w:rPr>
          <w:sz w:val="24"/>
          <w:szCs w:val="24"/>
          <w:lang/>
        </w:rPr>
        <w:instrText xml:space="preserve">HYPERLINK \l "_Toc535504375"</w:instrText>
      </w:r>
      <w:r>
        <w:rPr>
          <w:rStyle w:val="51"/>
          <w:sz w:val="24"/>
          <w:szCs w:val="24"/>
          <w:lang/>
        </w:rPr>
        <w:instrText xml:space="preserve"> </w:instrText>
      </w:r>
      <w:r>
        <w:rPr>
          <w:sz w:val="24"/>
          <w:szCs w:val="24"/>
          <w:lang/>
        </w:rPr>
        <w:fldChar w:fldCharType="separate"/>
      </w:r>
      <w:r>
        <w:rPr>
          <w:rStyle w:val="51"/>
          <w:rFonts w:hint="eastAsia" w:ascii="Calibri" w:hAnsi="Calibri" w:eastAsia="黑体" w:cs="Calibri"/>
          <w:kern w:val="0"/>
          <w:sz w:val="24"/>
          <w:szCs w:val="24"/>
          <w:lang/>
        </w:rPr>
        <w:t>第四章</w:t>
      </w:r>
      <w:r>
        <w:rPr>
          <w:rStyle w:val="51"/>
          <w:rFonts w:ascii="Calibri" w:hAnsi="Calibri" w:eastAsia="黑体" w:cs="Calibri"/>
          <w:kern w:val="0"/>
          <w:sz w:val="24"/>
          <w:szCs w:val="24"/>
          <w:lang/>
        </w:rPr>
        <w:t xml:space="preserve">  </w:t>
      </w:r>
      <w:r>
        <w:rPr>
          <w:rStyle w:val="51"/>
          <w:rFonts w:hint="eastAsia" w:ascii="Calibri" w:hAnsi="Calibri" w:eastAsia="黑体" w:cs="Calibri"/>
          <w:kern w:val="0"/>
          <w:sz w:val="24"/>
          <w:szCs w:val="24"/>
          <w:lang/>
        </w:rPr>
        <w:t>合同条款</w:t>
      </w:r>
      <w:r>
        <w:rPr>
          <w:sz w:val="24"/>
          <w:szCs w:val="24"/>
          <w:lang/>
        </w:rPr>
        <w:tab/>
      </w:r>
      <w:r>
        <w:rPr>
          <w:sz w:val="24"/>
          <w:szCs w:val="24"/>
          <w:lang/>
        </w:rPr>
        <w:fldChar w:fldCharType="begin"/>
      </w:r>
      <w:r>
        <w:rPr>
          <w:sz w:val="24"/>
          <w:szCs w:val="24"/>
          <w:lang/>
        </w:rPr>
        <w:instrText xml:space="preserve"> PAGEREF _Toc535504375 \h </w:instrText>
      </w:r>
      <w:r>
        <w:rPr>
          <w:sz w:val="24"/>
          <w:szCs w:val="24"/>
          <w:lang/>
        </w:rPr>
        <w:fldChar w:fldCharType="separate"/>
      </w:r>
      <w:r>
        <w:rPr>
          <w:sz w:val="24"/>
          <w:szCs w:val="24"/>
          <w:lang/>
        </w:rPr>
        <w:t>- 15 -</w:t>
      </w:r>
      <w:r>
        <w:rPr>
          <w:sz w:val="24"/>
          <w:szCs w:val="24"/>
          <w:lang/>
        </w:rPr>
        <w:fldChar w:fldCharType="end"/>
      </w:r>
      <w:r>
        <w:rPr>
          <w:sz w:val="24"/>
          <w:szCs w:val="24"/>
          <w:lang/>
        </w:rPr>
        <w:fldChar w:fldCharType="end"/>
      </w:r>
    </w:p>
    <w:p>
      <w:pPr>
        <w:pStyle w:val="30"/>
        <w:rPr>
          <w:rFonts w:ascii="Calibri" w:hAnsi="Calibri"/>
          <w:bCs w:val="0"/>
          <w:kern w:val="2"/>
          <w:sz w:val="24"/>
          <w:szCs w:val="24"/>
          <w:lang w:val="en-US" w:eastAsia="zh-CN"/>
        </w:rPr>
      </w:pPr>
      <w:r>
        <w:rPr>
          <w:sz w:val="24"/>
          <w:szCs w:val="24"/>
          <w:lang/>
        </w:rPr>
        <w:fldChar w:fldCharType="begin"/>
      </w:r>
      <w:r>
        <w:rPr>
          <w:rStyle w:val="51"/>
          <w:sz w:val="24"/>
          <w:szCs w:val="24"/>
          <w:lang/>
        </w:rPr>
        <w:instrText xml:space="preserve"> </w:instrText>
      </w:r>
      <w:r>
        <w:rPr>
          <w:sz w:val="24"/>
          <w:szCs w:val="24"/>
          <w:lang/>
        </w:rPr>
        <w:instrText xml:space="preserve">HYPERLINK \l "_Toc535504377"</w:instrText>
      </w:r>
      <w:r>
        <w:rPr>
          <w:rStyle w:val="51"/>
          <w:sz w:val="24"/>
          <w:szCs w:val="24"/>
          <w:lang/>
        </w:rPr>
        <w:instrText xml:space="preserve"> </w:instrText>
      </w:r>
      <w:r>
        <w:rPr>
          <w:sz w:val="24"/>
          <w:szCs w:val="24"/>
          <w:lang/>
        </w:rPr>
        <w:fldChar w:fldCharType="separate"/>
      </w:r>
      <w:r>
        <w:rPr>
          <w:rStyle w:val="51"/>
          <w:rFonts w:hint="eastAsia" w:ascii="Calibri" w:hAnsi="Calibri" w:eastAsia="黑体" w:cs="Calibri"/>
          <w:kern w:val="0"/>
          <w:sz w:val="24"/>
          <w:szCs w:val="24"/>
          <w:lang/>
        </w:rPr>
        <w:t>第五章</w:t>
      </w:r>
      <w:r>
        <w:rPr>
          <w:rStyle w:val="51"/>
          <w:rFonts w:ascii="Calibri" w:hAnsi="Calibri" w:eastAsia="黑体" w:cs="Calibri"/>
          <w:kern w:val="0"/>
          <w:sz w:val="24"/>
          <w:szCs w:val="24"/>
          <w:lang/>
        </w:rPr>
        <w:t xml:space="preserve">  </w:t>
      </w:r>
      <w:r>
        <w:rPr>
          <w:rStyle w:val="51"/>
          <w:rFonts w:hint="eastAsia" w:ascii="Calibri" w:hAnsi="Calibri" w:eastAsia="黑体" w:cs="Calibri"/>
          <w:kern w:val="0"/>
          <w:sz w:val="24"/>
          <w:szCs w:val="24"/>
          <w:lang/>
        </w:rPr>
        <w:t>评标方法及标准</w:t>
      </w:r>
      <w:r>
        <w:rPr>
          <w:sz w:val="24"/>
          <w:szCs w:val="24"/>
          <w:lang/>
        </w:rPr>
        <w:tab/>
      </w:r>
      <w:r>
        <w:rPr>
          <w:sz w:val="24"/>
          <w:szCs w:val="24"/>
          <w:lang/>
        </w:rPr>
        <w:fldChar w:fldCharType="begin"/>
      </w:r>
      <w:r>
        <w:rPr>
          <w:sz w:val="24"/>
          <w:szCs w:val="24"/>
          <w:lang/>
        </w:rPr>
        <w:instrText xml:space="preserve"> PAGEREF _Toc535504377 \h </w:instrText>
      </w:r>
      <w:r>
        <w:rPr>
          <w:sz w:val="24"/>
          <w:szCs w:val="24"/>
          <w:lang/>
        </w:rPr>
        <w:fldChar w:fldCharType="separate"/>
      </w:r>
      <w:r>
        <w:rPr>
          <w:sz w:val="24"/>
          <w:szCs w:val="24"/>
          <w:lang/>
        </w:rPr>
        <w:t>- 20 -</w:t>
      </w:r>
      <w:r>
        <w:rPr>
          <w:sz w:val="24"/>
          <w:szCs w:val="24"/>
          <w:lang/>
        </w:rPr>
        <w:fldChar w:fldCharType="end"/>
      </w:r>
      <w:r>
        <w:rPr>
          <w:sz w:val="24"/>
          <w:szCs w:val="24"/>
          <w:lang/>
        </w:rPr>
        <w:fldChar w:fldCharType="end"/>
      </w:r>
    </w:p>
    <w:p>
      <w:pPr>
        <w:pStyle w:val="30"/>
        <w:rPr>
          <w:rFonts w:ascii="Calibri" w:hAnsi="Calibri"/>
          <w:bCs w:val="0"/>
          <w:kern w:val="2"/>
          <w:sz w:val="24"/>
          <w:szCs w:val="24"/>
          <w:lang w:val="en-US" w:eastAsia="zh-CN"/>
        </w:rPr>
      </w:pPr>
      <w:r>
        <w:rPr>
          <w:sz w:val="24"/>
          <w:szCs w:val="24"/>
          <w:lang/>
        </w:rPr>
        <w:fldChar w:fldCharType="begin"/>
      </w:r>
      <w:r>
        <w:rPr>
          <w:rStyle w:val="51"/>
          <w:sz w:val="24"/>
          <w:szCs w:val="24"/>
          <w:lang/>
        </w:rPr>
        <w:instrText xml:space="preserve"> </w:instrText>
      </w:r>
      <w:r>
        <w:rPr>
          <w:sz w:val="24"/>
          <w:szCs w:val="24"/>
          <w:lang/>
        </w:rPr>
        <w:instrText xml:space="preserve">HYPERLINK \l "_Toc535504378"</w:instrText>
      </w:r>
      <w:r>
        <w:rPr>
          <w:rStyle w:val="51"/>
          <w:sz w:val="24"/>
          <w:szCs w:val="24"/>
          <w:lang/>
        </w:rPr>
        <w:instrText xml:space="preserve"> </w:instrText>
      </w:r>
      <w:r>
        <w:rPr>
          <w:sz w:val="24"/>
          <w:szCs w:val="24"/>
          <w:lang/>
        </w:rPr>
        <w:fldChar w:fldCharType="separate"/>
      </w:r>
      <w:r>
        <w:rPr>
          <w:rStyle w:val="51"/>
          <w:rFonts w:hint="eastAsia" w:ascii="Calibri" w:hAnsi="Calibri" w:eastAsia="黑体" w:cs="Calibri"/>
          <w:kern w:val="0"/>
          <w:sz w:val="24"/>
          <w:szCs w:val="24"/>
          <w:lang/>
        </w:rPr>
        <w:t>第</w:t>
      </w:r>
      <w:r>
        <w:rPr>
          <w:rStyle w:val="51"/>
          <w:rFonts w:hint="eastAsia" w:ascii="Calibri" w:hAnsi="Calibri" w:eastAsia="黑体" w:cs="Calibri"/>
          <w:kern w:val="0"/>
          <w:sz w:val="24"/>
          <w:szCs w:val="24"/>
          <w:lang w:eastAsia="zh-CN"/>
        </w:rPr>
        <w:t>六</w:t>
      </w:r>
      <w:r>
        <w:rPr>
          <w:rStyle w:val="51"/>
          <w:rFonts w:hint="eastAsia" w:ascii="Calibri" w:hAnsi="Calibri" w:eastAsia="黑体" w:cs="Calibri"/>
          <w:kern w:val="0"/>
          <w:sz w:val="24"/>
          <w:szCs w:val="24"/>
          <w:lang/>
        </w:rPr>
        <w:t>章</w:t>
      </w:r>
      <w:r>
        <w:rPr>
          <w:rStyle w:val="51"/>
          <w:rFonts w:ascii="Calibri" w:hAnsi="Calibri" w:eastAsia="黑体" w:cs="Calibri"/>
          <w:kern w:val="0"/>
          <w:sz w:val="24"/>
          <w:szCs w:val="24"/>
          <w:lang/>
        </w:rPr>
        <w:t xml:space="preserve">  </w:t>
      </w:r>
      <w:r>
        <w:rPr>
          <w:rStyle w:val="51"/>
          <w:rFonts w:hint="eastAsia" w:ascii="Calibri" w:hAnsi="Calibri" w:eastAsia="黑体" w:cs="Calibri"/>
          <w:kern w:val="0"/>
          <w:sz w:val="24"/>
          <w:szCs w:val="24"/>
          <w:lang/>
        </w:rPr>
        <w:t>投标文件格式</w:t>
      </w:r>
      <w:r>
        <w:rPr>
          <w:sz w:val="24"/>
          <w:szCs w:val="24"/>
          <w:lang/>
        </w:rPr>
        <w:tab/>
      </w:r>
      <w:r>
        <w:rPr>
          <w:sz w:val="24"/>
          <w:szCs w:val="24"/>
          <w:lang/>
        </w:rPr>
        <w:fldChar w:fldCharType="begin"/>
      </w:r>
      <w:r>
        <w:rPr>
          <w:sz w:val="24"/>
          <w:szCs w:val="24"/>
          <w:lang/>
        </w:rPr>
        <w:instrText xml:space="preserve"> PAGEREF _Toc535504378 \h </w:instrText>
      </w:r>
      <w:r>
        <w:rPr>
          <w:sz w:val="24"/>
          <w:szCs w:val="24"/>
          <w:lang/>
        </w:rPr>
        <w:fldChar w:fldCharType="separate"/>
      </w:r>
      <w:r>
        <w:rPr>
          <w:sz w:val="24"/>
          <w:szCs w:val="24"/>
          <w:lang/>
        </w:rPr>
        <w:t>- 23 -</w:t>
      </w:r>
      <w:r>
        <w:rPr>
          <w:sz w:val="24"/>
          <w:szCs w:val="24"/>
          <w:lang/>
        </w:rPr>
        <w:fldChar w:fldCharType="end"/>
      </w:r>
      <w:r>
        <w:rPr>
          <w:sz w:val="24"/>
          <w:szCs w:val="24"/>
          <w:lang/>
        </w:rPr>
        <w:fldChar w:fldCharType="end"/>
      </w:r>
    </w:p>
    <w:p>
      <w:pPr>
        <w:spacing w:line="480" w:lineRule="auto"/>
        <w:jc w:val="center"/>
        <w:rPr>
          <w:rFonts w:cs="Calibri"/>
          <w:color w:val="000000"/>
          <w:sz w:val="24"/>
        </w:rPr>
      </w:pPr>
      <w:r>
        <w:rPr>
          <w:rFonts w:hint="eastAsia" w:ascii="黑体" w:hAnsi="黑体" w:eastAsia="黑体" w:cs="Calibri"/>
          <w:color w:val="000000"/>
          <w:sz w:val="24"/>
          <w:szCs w:val="24"/>
        </w:rPr>
        <w:fldChar w:fldCharType="end"/>
      </w:r>
    </w:p>
    <w:p>
      <w:pPr>
        <w:spacing w:line="440" w:lineRule="exact"/>
        <w:ind w:right="480"/>
        <w:rPr>
          <w:rFonts w:cs="Calibri"/>
          <w:color w:val="000000"/>
          <w:sz w:val="24"/>
        </w:rPr>
      </w:pPr>
    </w:p>
    <w:p>
      <w:pPr>
        <w:pStyle w:val="4"/>
        <w:spacing w:before="0" w:after="0" w:line="360" w:lineRule="auto"/>
        <w:jc w:val="center"/>
        <w:rPr>
          <w:rFonts w:ascii="Calibri" w:eastAsia="黑体" w:cs="Calibri"/>
          <w:kern w:val="0"/>
          <w:sz w:val="32"/>
        </w:rPr>
      </w:pPr>
      <w:r>
        <w:rPr>
          <w:rFonts w:ascii="Calibri" w:hAnsi="Calibri" w:cs="Calibri"/>
          <w:color w:val="000000"/>
        </w:rPr>
        <w:br w:type="page"/>
      </w:r>
      <w:bookmarkStart w:id="13" w:name="_Toc24784"/>
      <w:bookmarkStart w:id="14" w:name="_Toc7641"/>
      <w:bookmarkStart w:id="15" w:name="_Toc6832"/>
      <w:bookmarkStart w:id="16" w:name="_Toc8110"/>
      <w:bookmarkStart w:id="17" w:name="_Toc6581"/>
      <w:bookmarkStart w:id="18" w:name="_Toc22293"/>
      <w:bookmarkStart w:id="19" w:name="_Toc24932"/>
      <w:bookmarkStart w:id="20" w:name="_Toc14628"/>
      <w:bookmarkStart w:id="21" w:name="_Toc18642"/>
      <w:bookmarkStart w:id="22" w:name="_Toc535504367"/>
      <w:bookmarkStart w:id="23" w:name="_Toc248766631"/>
      <w:bookmarkStart w:id="24" w:name="_Toc249322950"/>
      <w:r>
        <w:rPr>
          <w:rFonts w:ascii="Calibri" w:eastAsia="黑体" w:cs="Calibri"/>
          <w:kern w:val="0"/>
          <w:sz w:val="32"/>
        </w:rPr>
        <w:t>第一章</w:t>
      </w:r>
      <w:r>
        <w:rPr>
          <w:rFonts w:ascii="Calibri" w:hAnsi="Calibri" w:eastAsia="黑体" w:cs="Calibri"/>
          <w:kern w:val="0"/>
          <w:sz w:val="32"/>
        </w:rPr>
        <w:t xml:space="preserve"> </w:t>
      </w:r>
      <w:bookmarkEnd w:id="13"/>
      <w:bookmarkEnd w:id="14"/>
      <w:bookmarkEnd w:id="15"/>
      <w:bookmarkEnd w:id="16"/>
      <w:bookmarkEnd w:id="17"/>
      <w:bookmarkEnd w:id="18"/>
      <w:bookmarkEnd w:id="19"/>
      <w:bookmarkEnd w:id="20"/>
      <w:bookmarkEnd w:id="21"/>
      <w:r>
        <w:rPr>
          <w:rFonts w:hint="eastAsia" w:ascii="Calibri" w:eastAsia="黑体" w:cs="Calibri"/>
          <w:kern w:val="0"/>
          <w:sz w:val="32"/>
        </w:rPr>
        <w:t>招标公告</w:t>
      </w:r>
      <w:bookmarkEnd w:id="22"/>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一、招标范围及内容</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（1）杭州萧山国际机场</w:t>
      </w:r>
      <w:r>
        <w:rPr>
          <w:rFonts w:hint="eastAsia" w:ascii="宋体" w:hAnsi="宋体" w:cs="Arial"/>
          <w:kern w:val="0"/>
          <w:sz w:val="22"/>
          <w:lang w:val="zh-CN"/>
        </w:rPr>
        <w:t>飞行区道面病害调查技术服务项目</w:t>
      </w:r>
      <w:r>
        <w:rPr>
          <w:rFonts w:hint="eastAsia" w:ascii="宋体" w:hAnsi="宋体" w:cs="Arial"/>
          <w:kern w:val="0"/>
          <w:sz w:val="22"/>
        </w:rPr>
        <w:t>已批准建设，项目业主为杭州萧山国际机场有限公司，建设资金来源为自筹。项目已具备招标条件，现对本项目进行公开招标。</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（2）项目概况</w:t>
      </w:r>
    </w:p>
    <w:p>
      <w:pPr>
        <w:widowControl/>
        <w:shd w:val="clear" w:color="auto" w:fill="auto"/>
        <w:adjustRightInd w:val="0"/>
        <w:snapToGrid w:val="0"/>
        <w:spacing w:line="340" w:lineRule="exact"/>
        <w:ind w:firstLine="440" w:firstLineChars="200"/>
        <w:rPr>
          <w:rFonts w:hint="eastAsia" w:ascii="宋体" w:hAnsi="宋体" w:cs="Arial"/>
          <w:color w:val="000000"/>
          <w:kern w:val="0"/>
          <w:sz w:val="22"/>
          <w:lang w:val="zh-CN"/>
        </w:rPr>
      </w:pPr>
      <w:r>
        <w:rPr>
          <w:rFonts w:hint="eastAsia" w:ascii="宋体" w:hAnsi="宋体" w:cs="Arial"/>
          <w:color w:val="000000"/>
          <w:kern w:val="0"/>
          <w:sz w:val="22"/>
          <w:lang w:val="zh-CN"/>
        </w:rPr>
        <w:t>为全面掌握飞行区部分病害及潜在病害区域的道面表观及结构现状情况，对杭州萧山国际机场J4-J5道面沉降、水系改造顶管、机坪地铁盾构掘进、北跑道断板等区域进行道面检测，为后续处置工作提供技术依据。</w:t>
      </w:r>
    </w:p>
    <w:p>
      <w:pPr>
        <w:widowControl/>
        <w:shd w:val="clear" w:color="auto" w:fill="auto"/>
        <w:adjustRightInd w:val="0"/>
        <w:snapToGrid w:val="0"/>
        <w:spacing w:line="340" w:lineRule="exact"/>
        <w:ind w:firstLine="440" w:firstLineChars="200"/>
        <w:rPr>
          <w:rFonts w:hint="eastAsia" w:ascii="宋体" w:hAnsi="宋体" w:cs="Arial"/>
          <w:color w:val="000000"/>
          <w:kern w:val="0"/>
          <w:sz w:val="22"/>
          <w:lang w:val="zh-CN"/>
        </w:rPr>
      </w:pPr>
      <w:r>
        <w:rPr>
          <w:rFonts w:hint="eastAsia" w:ascii="宋体" w:hAnsi="宋体" w:cs="Arial"/>
          <w:color w:val="000000"/>
          <w:kern w:val="0"/>
          <w:sz w:val="22"/>
          <w:lang w:val="zh-CN"/>
        </w:rPr>
        <w:t>（3）招标内容</w:t>
      </w:r>
    </w:p>
    <w:p>
      <w:pPr>
        <w:widowControl/>
        <w:shd w:val="clear" w:color="auto" w:fill="auto"/>
        <w:adjustRightInd w:val="0"/>
        <w:snapToGrid w:val="0"/>
        <w:spacing w:line="340" w:lineRule="exact"/>
        <w:ind w:firstLine="440" w:firstLineChars="200"/>
        <w:rPr>
          <w:rFonts w:hint="eastAsia" w:ascii="宋体" w:hAnsi="宋体" w:cs="Arial"/>
          <w:color w:val="000000"/>
          <w:kern w:val="0"/>
          <w:sz w:val="22"/>
          <w:lang w:val="zh-CN"/>
        </w:rPr>
      </w:pPr>
      <w:r>
        <w:rPr>
          <w:rFonts w:hint="eastAsia" w:ascii="宋体" w:hAnsi="宋体" w:cs="Arial"/>
          <w:color w:val="000000"/>
          <w:kern w:val="0"/>
          <w:sz w:val="22"/>
          <w:lang w:val="zh-CN"/>
        </w:rPr>
        <w:t>本项目病害调查区域为杭州萧山国际机场飞行区内航空器活动区域，调查总面积9980平方米。须对该区域道面的表观及结构实施全面病害调查。指定区域内道面表观病害全覆盖检测，要求病害分辨率1mm，分类病害并统计尺寸，厘米级定位（经纬度及相对位置、精度10cm）病害，留存病害原始数据。结构病害全覆盖三维检测，要求检测2米深度范围内结构层脱空、疏松、富含水、沉降等内部病害，测线间隔不超过10cm，三维数据无间隙，分类病害并统计影响范围，厘米级定位（经纬度及相对位置、精度10cm）、定深病害，留存病害原始三维数据。并协助业主将病害数据录入杭州机场道面管理系统，并为业主提供咨询意见。</w:t>
      </w:r>
    </w:p>
    <w:p>
      <w:pPr>
        <w:widowControl/>
        <w:shd w:val="clear" w:color="auto" w:fill="auto"/>
        <w:adjustRightInd w:val="0"/>
        <w:snapToGrid w:val="0"/>
        <w:spacing w:line="340" w:lineRule="exact"/>
        <w:ind w:firstLine="440" w:firstLineChars="0"/>
        <w:rPr>
          <w:rFonts w:hint="eastAsia" w:ascii="宋体" w:hAnsi="宋体" w:cs="Arial"/>
          <w:color w:val="000000"/>
          <w:kern w:val="0"/>
          <w:sz w:val="22"/>
          <w:lang w:val="zh-CN"/>
        </w:rPr>
      </w:pPr>
      <w:r>
        <w:rPr>
          <w:rFonts w:hint="eastAsia" w:ascii="宋体" w:hAnsi="宋体" w:cs="Arial"/>
          <w:color w:val="000000"/>
          <w:kern w:val="0"/>
          <w:sz w:val="22"/>
          <w:lang w:val="zh-CN"/>
        </w:rPr>
        <w:t>服务期：</w:t>
      </w:r>
    </w:p>
    <w:p>
      <w:pPr>
        <w:widowControl/>
        <w:shd w:val="clear" w:color="auto" w:fill="auto"/>
        <w:adjustRightInd w:val="0"/>
        <w:snapToGrid w:val="0"/>
        <w:spacing w:line="340" w:lineRule="exact"/>
        <w:ind w:firstLine="440" w:firstLineChars="0"/>
        <w:rPr>
          <w:rFonts w:hint="eastAsia" w:ascii="宋体" w:hAnsi="宋体" w:cs="Arial"/>
          <w:kern w:val="0"/>
          <w:sz w:val="22"/>
          <w:lang w:val="zh-CN"/>
        </w:rPr>
      </w:pPr>
      <w:r>
        <w:rPr>
          <w:rFonts w:hint="eastAsia" w:ascii="宋体" w:hAnsi="宋体" w:cs="Arial"/>
          <w:color w:val="000000"/>
          <w:kern w:val="0"/>
          <w:sz w:val="22"/>
          <w:lang w:val="zh-CN"/>
        </w:rPr>
        <w:t>a.现场病害调查完成时间为得到发包人开工指令后20日历天内</w:t>
      </w:r>
      <w:r>
        <w:rPr>
          <w:rFonts w:hint="eastAsia" w:ascii="宋体" w:hAnsi="宋体" w:cs="Arial"/>
          <w:kern w:val="0"/>
          <w:sz w:val="22"/>
          <w:lang w:val="zh-CN"/>
        </w:rPr>
        <w:t>。</w:t>
      </w:r>
    </w:p>
    <w:p>
      <w:pPr>
        <w:widowControl/>
        <w:shd w:val="clear" w:color="auto" w:fill="auto"/>
        <w:adjustRightInd w:val="0"/>
        <w:snapToGrid w:val="0"/>
        <w:spacing w:line="340" w:lineRule="exact"/>
        <w:ind w:firstLine="440" w:firstLineChars="0"/>
        <w:rPr>
          <w:rFonts w:hint="eastAsia" w:ascii="宋体" w:hAnsi="宋体" w:cs="Arial"/>
          <w:color w:val="000000"/>
          <w:kern w:val="0"/>
          <w:sz w:val="22"/>
          <w:lang w:val="zh-CN"/>
        </w:rPr>
      </w:pPr>
      <w:r>
        <w:rPr>
          <w:rFonts w:hint="eastAsia" w:ascii="宋体" w:hAnsi="宋体" w:cs="Arial"/>
          <w:color w:val="000000"/>
          <w:kern w:val="0"/>
          <w:sz w:val="22"/>
          <w:lang w:val="zh-CN"/>
        </w:rPr>
        <w:t>b.现场病害调查完成后30日历天内提交《杭州萧山国际机场道面病害调查技术服务报告》，包含表观及内部隐性病害详细信息列表，统计分析病害分布情况。</w:t>
      </w:r>
    </w:p>
    <w:p>
      <w:pPr>
        <w:widowControl/>
        <w:shd w:val="clear" w:color="auto" w:fill="auto"/>
        <w:adjustRightInd w:val="0"/>
        <w:snapToGrid w:val="0"/>
        <w:spacing w:line="340" w:lineRule="exact"/>
        <w:ind w:firstLine="440" w:firstLineChars="0"/>
        <w:rPr>
          <w:rFonts w:hint="eastAsia" w:ascii="宋体" w:hAnsi="宋体" w:cs="Arial"/>
          <w:color w:val="000000"/>
          <w:kern w:val="0"/>
          <w:sz w:val="22"/>
          <w:lang w:val="zh-CN"/>
        </w:rPr>
      </w:pPr>
      <w:r>
        <w:rPr>
          <w:rFonts w:hint="eastAsia" w:ascii="宋体" w:hAnsi="宋体" w:cs="Arial"/>
          <w:color w:val="000000"/>
          <w:kern w:val="0"/>
          <w:sz w:val="22"/>
          <w:lang w:val="zh-CN"/>
        </w:rPr>
        <w:t>c.现场病害调查完成后30日历天内提供二维、三维可视化道面及病害信息交互查看服务，培训机场技术人员操作。</w:t>
      </w:r>
    </w:p>
    <w:p>
      <w:pPr>
        <w:widowControl/>
        <w:shd w:val="clear" w:color="auto" w:fill="auto"/>
        <w:adjustRightInd w:val="0"/>
        <w:snapToGrid w:val="0"/>
        <w:spacing w:line="340" w:lineRule="exact"/>
        <w:ind w:firstLine="440" w:firstLineChars="0"/>
        <w:rPr>
          <w:rFonts w:hint="eastAsia" w:ascii="宋体" w:hAnsi="宋体" w:cs="Arial"/>
          <w:color w:val="000000"/>
          <w:kern w:val="0"/>
          <w:sz w:val="22"/>
          <w:lang w:val="zh-CN"/>
        </w:rPr>
      </w:pPr>
      <w:r>
        <w:rPr>
          <w:rFonts w:hint="eastAsia" w:ascii="宋体" w:hAnsi="宋体" w:cs="Arial"/>
          <w:color w:val="000000"/>
          <w:kern w:val="0"/>
          <w:sz w:val="22"/>
          <w:lang w:val="zh-CN"/>
        </w:rPr>
        <w:t xml:space="preserve"> d.提交《杭州萧山国际机场跑道病害调查技术服务报告》后15天内提供检测原始电子数据，并</w:t>
      </w:r>
      <w:r>
        <w:rPr>
          <w:rFonts w:hint="eastAsia" w:ascii="宋体" w:hAnsi="宋体" w:cs="宋体"/>
          <w:color w:val="000000"/>
          <w:kern w:val="0"/>
          <w:sz w:val="24"/>
        </w:rPr>
        <w:t>协助业主</w:t>
      </w:r>
      <w:r>
        <w:rPr>
          <w:rFonts w:hint="eastAsia" w:ascii="宋体" w:hAnsi="宋体" w:cs="Arial"/>
          <w:color w:val="000000"/>
          <w:kern w:val="0"/>
          <w:sz w:val="22"/>
          <w:lang w:val="zh-CN"/>
        </w:rPr>
        <w:t>将病害数据录入杭州机场道面管理系统，并为业主提供咨询意见。</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二、投标人资格要求</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w:t>
      </w:r>
      <w:r>
        <w:rPr>
          <w:rFonts w:ascii="宋体" w:hAnsi="宋体" w:cs="Arial"/>
          <w:kern w:val="0"/>
          <w:sz w:val="22"/>
        </w:rPr>
        <w:t>具有独立法人资格，持有有效营业执照</w:t>
      </w:r>
      <w:r>
        <w:rPr>
          <w:rFonts w:hint="eastAsia" w:ascii="宋体" w:hAnsi="宋体" w:cs="Arial"/>
          <w:kern w:val="0"/>
          <w:sz w:val="22"/>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近年（2017年1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widowControl/>
        <w:adjustRightInd w:val="0"/>
        <w:snapToGrid w:val="0"/>
        <w:spacing w:line="340" w:lineRule="exact"/>
        <w:ind w:firstLine="440" w:firstLineChars="200"/>
      </w:pPr>
      <w:r>
        <w:rPr>
          <w:rFonts w:hint="eastAsia" w:ascii="宋体" w:hAnsi="宋体" w:cs="Arial"/>
          <w:kern w:val="0"/>
          <w:sz w:val="22"/>
        </w:rPr>
        <w:t>（4）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（5）本次招标不接受联合体投标。</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三、招标文件获取</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凡符合资格条件并有投标意向的潜在投标人，请通过杭州萧山机场有限公司主页</w:t>
      </w:r>
      <w:r>
        <w:fldChar w:fldCharType="begin"/>
      </w:r>
      <w:r>
        <w:instrText xml:space="preserve">HYPERLINK "http://www.hzairport.com/zbxx.aspx"</w:instrText>
      </w:r>
      <w:r>
        <w:fldChar w:fldCharType="separate"/>
      </w:r>
      <w:r>
        <w:rPr>
          <w:rFonts w:ascii="宋体" w:hAnsi="宋体" w:cs="Arial"/>
          <w:kern w:val="0"/>
          <w:sz w:val="22"/>
        </w:rPr>
        <w:t>http://www.hzairport.com/zbxx.aspx</w:t>
      </w:r>
      <w:r>
        <w:fldChar w:fldCharType="end"/>
      </w:r>
      <w:r>
        <w:rPr>
          <w:rFonts w:hint="eastAsia" w:ascii="宋体" w:hAnsi="宋体" w:cs="Arial"/>
          <w:kern w:val="0"/>
          <w:sz w:val="22"/>
        </w:rPr>
        <w:t>自行下载招标文件。</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招标文件下载</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四、投标文件的递交</w:t>
      </w:r>
    </w:p>
    <w:p>
      <w:pPr>
        <w:widowControl/>
        <w:adjustRightInd w:val="0"/>
        <w:snapToGrid w:val="0"/>
        <w:spacing w:line="340" w:lineRule="exact"/>
        <w:ind w:firstLine="440" w:firstLineChars="200"/>
        <w:rPr>
          <w:rFonts w:hint="eastAsia" w:ascii="宋体" w:hAnsi="宋体" w:cs="Arial"/>
          <w:kern w:val="0"/>
          <w:sz w:val="22"/>
        </w:rPr>
      </w:pPr>
      <w:r>
        <w:rPr>
          <w:rFonts w:hint="eastAsia" w:ascii="宋体" w:hAnsi="宋体" w:cs="Arial"/>
          <w:kern w:val="0"/>
          <w:sz w:val="22"/>
        </w:rPr>
        <w:t>（1）投标文件递交截止时间：</w:t>
      </w:r>
      <w:r>
        <w:rPr>
          <w:rFonts w:hint="eastAsia" w:ascii="宋体" w:hAnsi="宋体" w:eastAsia="宋体" w:cs="宋体"/>
          <w:i w:val="0"/>
          <w:caps w:val="0"/>
          <w:color w:val="000000"/>
          <w:spacing w:val="0"/>
          <w:sz w:val="22"/>
          <w:szCs w:val="22"/>
        </w:rPr>
        <w:t>2020年4月20日下午13时45分</w:t>
      </w:r>
      <w:r>
        <w:rPr>
          <w:rFonts w:hint="eastAsia" w:ascii="宋体" w:hAnsi="宋体" w:cs="Arial"/>
          <w:kern w:val="0"/>
          <w:sz w:val="22"/>
        </w:rPr>
        <w:t>（北京时间）。投标文件在封口处加盖公章，并派专人于</w:t>
      </w:r>
      <w:r>
        <w:rPr>
          <w:rFonts w:hint="eastAsia" w:ascii="宋体" w:hAnsi="宋体" w:eastAsia="宋体" w:cs="宋体"/>
          <w:i w:val="0"/>
          <w:caps w:val="0"/>
          <w:color w:val="000000"/>
          <w:spacing w:val="0"/>
          <w:sz w:val="22"/>
          <w:szCs w:val="22"/>
        </w:rPr>
        <w:t>2020年4月20日下午13时45分</w:t>
      </w:r>
      <w:r>
        <w:rPr>
          <w:rFonts w:hint="eastAsia" w:ascii="宋体" w:hAnsi="宋体" w:cs="Arial"/>
          <w:kern w:val="0"/>
          <w:sz w:val="22"/>
        </w:rPr>
        <w:t>（北京时间）前送至杭州萧山国际机场翔越路综合服务楼园区招标中心，逾期无效；若采用投递方式的，请于</w:t>
      </w:r>
      <w:r>
        <w:rPr>
          <w:rFonts w:hint="eastAsia" w:ascii="宋体" w:hAnsi="宋体" w:eastAsia="宋体" w:cs="宋体"/>
          <w:i w:val="0"/>
          <w:caps w:val="0"/>
          <w:color w:val="000000"/>
          <w:spacing w:val="0"/>
          <w:sz w:val="22"/>
          <w:szCs w:val="22"/>
        </w:rPr>
        <w:t>2020年4月20日下午13时45分</w:t>
      </w:r>
      <w:r>
        <w:rPr>
          <w:rFonts w:hint="eastAsia" w:ascii="宋体" w:hAnsi="宋体" w:cs="Arial"/>
          <w:kern w:val="0"/>
          <w:sz w:val="22"/>
        </w:rPr>
        <w:t>（北京时间）前投递至杭州萧山国际机场AOC楼813室，逾期无效。</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w:t>
      </w:r>
      <w:r>
        <w:rPr>
          <w:rFonts w:hint="eastAsia" w:ascii="宋体" w:hAnsi="宋体"/>
          <w:szCs w:val="21"/>
        </w:rPr>
        <w:t>逾期送达或者未送达指定地点的投标文件，招标人不予受理。</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五、发布公告的媒介</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本次招标公告在</w:t>
      </w:r>
      <w:r>
        <w:rPr>
          <w:rFonts w:hint="eastAsia" w:ascii="宋体" w:hAnsi="宋体" w:cs="Arial"/>
          <w:b/>
          <w:kern w:val="0"/>
          <w:sz w:val="22"/>
        </w:rPr>
        <w:t>中国采购与招标网和杭州萧山机场有限公司</w:t>
      </w:r>
      <w:r>
        <w:rPr>
          <w:rFonts w:hint="eastAsia" w:ascii="宋体" w:hAnsi="宋体" w:cs="Arial"/>
          <w:kern w:val="0"/>
          <w:sz w:val="22"/>
        </w:rPr>
        <w:t>主页上发布</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sz w:val="22"/>
        </w:rPr>
        <w:t>中国采购与招标网</w:t>
      </w:r>
      <w:r>
        <w:rPr>
          <w:rFonts w:ascii="宋体" w:hAnsi="宋体"/>
          <w:sz w:val="22"/>
        </w:rPr>
        <w:t xml:space="preserve">  </w:t>
      </w:r>
      <w:r>
        <w:fldChar w:fldCharType="begin"/>
      </w:r>
      <w:r>
        <w:instrText xml:space="preserve">HYPERLINK "http://www.chinabidding.com.cn"</w:instrText>
      </w:r>
      <w:r>
        <w:fldChar w:fldCharType="separate"/>
      </w:r>
      <w:r>
        <w:rPr>
          <w:rFonts w:ascii="宋体" w:hAnsi="宋体"/>
          <w:sz w:val="22"/>
        </w:rPr>
        <w:t>http://www.chinabidding.com.cn</w:t>
      </w:r>
      <w:r>
        <w:fldChar w:fldCharType="end"/>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杭州萧山机场有限公司主页http://www.hzairport.com</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六、联系方式</w:t>
      </w:r>
    </w:p>
    <w:p>
      <w:pPr>
        <w:widowControl/>
        <w:adjustRightInd w:val="0"/>
        <w:snapToGrid w:val="0"/>
        <w:spacing w:line="340" w:lineRule="exact"/>
        <w:ind w:firstLine="440" w:firstLineChars="200"/>
        <w:rPr>
          <w:rFonts w:ascii="宋体" w:hAnsi="宋体"/>
          <w:sz w:val="22"/>
        </w:rPr>
      </w:pPr>
      <w:r>
        <w:rPr>
          <w:rFonts w:hint="eastAsia" w:ascii="宋体" w:hAnsi="宋体"/>
          <w:sz w:val="22"/>
        </w:rPr>
        <w:t>投标联系人：朱芸           联系电话： 0571-83837787</w:t>
      </w:r>
    </w:p>
    <w:p>
      <w:pPr>
        <w:widowControl/>
        <w:adjustRightInd w:val="0"/>
        <w:snapToGrid w:val="0"/>
        <w:spacing w:line="340" w:lineRule="exact"/>
        <w:ind w:firstLine="440" w:firstLineChars="200"/>
        <w:rPr>
          <w:rFonts w:ascii="宋体" w:hAnsi="宋体"/>
          <w:sz w:val="22"/>
        </w:rPr>
      </w:pPr>
      <w:r>
        <w:rPr>
          <w:rFonts w:hint="eastAsia" w:ascii="宋体" w:hAnsi="宋体"/>
          <w:sz w:val="22"/>
        </w:rPr>
        <w:t>技术联系人：王之钧         联系电话： 0571-86662376</w:t>
      </w:r>
    </w:p>
    <w:p>
      <w:pPr>
        <w:widowControl/>
        <w:adjustRightInd w:val="0"/>
        <w:snapToGrid w:val="0"/>
        <w:spacing w:line="340" w:lineRule="exact"/>
        <w:ind w:firstLine="440" w:firstLineChars="200"/>
        <w:rPr>
          <w:rFonts w:hint="eastAsia" w:ascii="宋体" w:hAnsi="宋体"/>
          <w:sz w:val="22"/>
        </w:rPr>
      </w:pPr>
      <w:r>
        <w:rPr>
          <w:rFonts w:hint="eastAsia" w:ascii="宋体" w:hAnsi="宋体"/>
          <w:sz w:val="22"/>
        </w:rPr>
        <w:t>招标监督人：邓飞           联系电话： 0571-83837891</w:t>
      </w:r>
    </w:p>
    <w:p>
      <w:pPr>
        <w:pStyle w:val="4"/>
        <w:spacing w:before="0" w:after="0" w:line="360" w:lineRule="auto"/>
        <w:jc w:val="center"/>
        <w:rPr>
          <w:rFonts w:ascii="Calibri" w:hAnsi="Calibri" w:eastAsia="黑体" w:cs="Calibri"/>
          <w:kern w:val="0"/>
          <w:sz w:val="32"/>
        </w:rPr>
      </w:pPr>
      <w:r>
        <w:rPr>
          <w:rFonts w:ascii="宋体" w:hAnsi="宋体" w:cs="Calibri"/>
          <w:kern w:val="0"/>
          <w:highlight w:val="yellow"/>
        </w:rPr>
        <w:br w:type="page"/>
      </w:r>
      <w:bookmarkStart w:id="25" w:name="_Toc535504368"/>
      <w:r>
        <w:rPr>
          <w:rFonts w:ascii="Calibri" w:eastAsia="黑体" w:cs="Calibri"/>
          <w:kern w:val="0"/>
          <w:sz w:val="32"/>
        </w:rPr>
        <w:t>第二章</w:t>
      </w:r>
      <w:r>
        <w:rPr>
          <w:rFonts w:ascii="Calibri" w:hAnsi="Calibri" w:eastAsia="黑体" w:cs="Calibri"/>
          <w:kern w:val="0"/>
          <w:sz w:val="32"/>
        </w:rPr>
        <w:t xml:space="preserve">  </w:t>
      </w:r>
      <w:r>
        <w:rPr>
          <w:rFonts w:ascii="Calibri" w:eastAsia="黑体" w:cs="Calibri"/>
          <w:kern w:val="0"/>
          <w:sz w:val="32"/>
        </w:rPr>
        <w:t>投标人须知</w:t>
      </w:r>
      <w:bookmarkEnd w:id="0"/>
      <w:bookmarkEnd w:id="23"/>
      <w:bookmarkEnd w:id="24"/>
      <w:bookmarkEnd w:id="25"/>
      <w:bookmarkStart w:id="26" w:name="_Toc143421654"/>
    </w:p>
    <w:p>
      <w:pPr>
        <w:pStyle w:val="79"/>
        <w:jc w:val="center"/>
        <w:rPr>
          <w:rFonts w:ascii="Calibri" w:hAnsi="Calibri" w:eastAsia="黑体" w:cs="Calibri"/>
          <w:kern w:val="2"/>
          <w:sz w:val="28"/>
          <w:szCs w:val="32"/>
        </w:rPr>
      </w:pPr>
      <w:bookmarkStart w:id="27" w:name="_Toc386363317"/>
      <w:bookmarkStart w:id="28" w:name="_Toc400369185"/>
      <w:bookmarkStart w:id="29" w:name="_Toc527466127"/>
      <w:bookmarkStart w:id="30" w:name="_Toc535504369"/>
      <w:bookmarkStart w:id="31" w:name="_Toc444173459"/>
      <w:bookmarkStart w:id="32" w:name="_Toc444174979"/>
      <w:bookmarkStart w:id="33" w:name="_Toc444811409"/>
      <w:bookmarkStart w:id="34" w:name="_Toc448002984"/>
      <w:bookmarkStart w:id="35" w:name="_Toc11881"/>
      <w:bookmarkStart w:id="36" w:name="_Toc349007688"/>
      <w:bookmarkStart w:id="37" w:name="_Toc349011858"/>
      <w:bookmarkStart w:id="38" w:name="_Toc386359393"/>
      <w:r>
        <w:rPr>
          <w:rFonts w:ascii="Calibri" w:hAnsi="Arial" w:eastAsia="黑体" w:cs="Calibri"/>
          <w:kern w:val="2"/>
          <w:sz w:val="28"/>
          <w:szCs w:val="32"/>
        </w:rPr>
        <w:t>投标人须知前附表</w:t>
      </w:r>
      <w:bookmarkEnd w:id="26"/>
      <w:bookmarkEnd w:id="27"/>
      <w:bookmarkEnd w:id="28"/>
      <w:bookmarkEnd w:id="29"/>
      <w:bookmarkEnd w:id="30"/>
      <w:bookmarkEnd w:id="31"/>
      <w:bookmarkEnd w:id="32"/>
      <w:bookmarkEnd w:id="33"/>
      <w:bookmarkEnd w:id="34"/>
      <w:bookmarkEnd w:id="35"/>
      <w:bookmarkEnd w:id="36"/>
      <w:bookmarkEnd w:id="37"/>
      <w:bookmarkEnd w:id="38"/>
    </w:p>
    <w:tbl>
      <w:tblPr>
        <w:tblStyle w:val="55"/>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sz w:val="22"/>
              </w:rPr>
              <w:t>1.1</w:t>
            </w:r>
            <w:r>
              <w:rPr>
                <w:rFonts w:hint="eastAsia" w:ascii="宋体" w:hAnsi="宋体" w:cs="Calibri"/>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项目名称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杭州萧山国际机场</w:t>
            </w:r>
            <w:r>
              <w:rPr>
                <w:rFonts w:hint="eastAsia" w:ascii="宋体" w:hAnsi="宋体" w:cs="Calibri"/>
                <w:kern w:val="0"/>
                <w:sz w:val="22"/>
                <w:lang w:val="zh-CN"/>
              </w:rPr>
              <w:t>飞行区道面病害调查技术服务项目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1.1.2</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实施</w:t>
            </w:r>
            <w:r>
              <w:rPr>
                <w:rFonts w:ascii="宋体" w:hAnsi="宋体" w:cs="Calibri"/>
                <w:kern w:val="0"/>
                <w:sz w:val="22"/>
              </w:rPr>
              <w:t>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资金来源</w:t>
            </w:r>
          </w:p>
        </w:tc>
        <w:tc>
          <w:tcPr>
            <w:tcW w:w="6487" w:type="dxa"/>
            <w:vAlign w:val="center"/>
          </w:tcPr>
          <w:p>
            <w:pPr>
              <w:autoSpaceDE w:val="0"/>
              <w:autoSpaceDN w:val="0"/>
              <w:adjustRightInd w:val="0"/>
              <w:snapToGrid w:val="0"/>
              <w:rPr>
                <w:rFonts w:ascii="宋体" w:hAnsi="宋体" w:cs="Calibri"/>
                <w:kern w:val="0"/>
                <w:sz w:val="22"/>
              </w:rPr>
            </w:pPr>
            <w:r>
              <w:rPr>
                <w:rStyle w:val="142"/>
                <w:rFonts w:hint="eastAsia" w:ascii="宋体" w:hAnsi="宋体" w:cs="Calibri"/>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w:t>
            </w:r>
            <w:r>
              <w:rPr>
                <w:rFonts w:hint="eastAsia" w:ascii="宋体" w:hAnsi="宋体" w:cs="Calibri"/>
                <w:kern w:val="0"/>
                <w:sz w:val="22"/>
              </w:rPr>
              <w:t>内容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见招标公告，具体要求详见第</w:t>
            </w:r>
            <w:r>
              <w:rPr>
                <w:rFonts w:hint="eastAsia" w:ascii="宋体" w:hAnsi="宋体" w:cs="Calibri"/>
                <w:kern w:val="0"/>
                <w:sz w:val="22"/>
              </w:rPr>
              <w:t>三</w:t>
            </w:r>
            <w:r>
              <w:rPr>
                <w:rFonts w:ascii="宋体" w:hAnsi="宋体" w:cs="Calibri"/>
                <w:kern w:val="0"/>
                <w:sz w:val="22"/>
              </w:rPr>
              <w:t>章“</w:t>
            </w:r>
            <w:r>
              <w:rPr>
                <w:rFonts w:hint="eastAsia" w:ascii="宋体" w:hAnsi="宋体" w:cs="Calibri"/>
                <w:kern w:val="0"/>
                <w:sz w:val="22"/>
              </w:rPr>
              <w:t>服务技术标准及要求</w:t>
            </w:r>
            <w:r>
              <w:rPr>
                <w:rFonts w:ascii="宋体" w:hAnsi="宋体" w:cs="Calibri"/>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招标方式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资格审查</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6</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pPr>
              <w:autoSpaceDE w:val="0"/>
              <w:autoSpaceDN w:val="0"/>
              <w:adjustRightInd w:val="0"/>
              <w:snapToGrid w:val="0"/>
              <w:rPr>
                <w:rFonts w:ascii="宋体" w:hAnsi="宋体" w:cs="Calibri"/>
                <w:color w:val="FF0000"/>
                <w:kern w:val="0"/>
                <w:sz w:val="22"/>
              </w:rPr>
            </w:pPr>
            <w:r>
              <w:rPr>
                <w:rFonts w:ascii="宋体" w:hAnsi="宋体" w:cs="Calibri"/>
                <w:kern w:val="0"/>
                <w:sz w:val="22"/>
              </w:rPr>
              <w:t>详见招标公告</w:t>
            </w:r>
            <w:r>
              <w:rPr>
                <w:rFonts w:hint="eastAsia" w:ascii="宋体" w:hAnsi="宋体" w:cs="Calibri"/>
                <w:kern w:val="0"/>
                <w:sz w:val="22"/>
              </w:rPr>
              <w:t>“</w:t>
            </w:r>
            <w:r>
              <w:rPr>
                <w:rFonts w:hint="eastAsia" w:ascii="宋体" w:hAnsi="宋体" w:cs="黑体"/>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7</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服务期</w:t>
            </w:r>
          </w:p>
        </w:tc>
        <w:tc>
          <w:tcPr>
            <w:tcW w:w="6487" w:type="dxa"/>
            <w:vAlign w:val="center"/>
          </w:tcPr>
          <w:p>
            <w:pPr>
              <w:rPr>
                <w:rFonts w:ascii="宋体" w:hAnsi="宋体"/>
                <w:color w:val="000000"/>
                <w:sz w:val="22"/>
              </w:rPr>
            </w:pPr>
            <w:r>
              <w:rPr>
                <w:rFonts w:ascii="宋体" w:hAnsi="宋体" w:cs="Calibri"/>
                <w:kern w:val="0"/>
                <w:sz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1.8</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质量要求</w:t>
            </w:r>
          </w:p>
        </w:tc>
        <w:tc>
          <w:tcPr>
            <w:tcW w:w="6487" w:type="dxa"/>
            <w:vAlign w:val="center"/>
          </w:tcPr>
          <w:p>
            <w:pPr>
              <w:rPr>
                <w:rFonts w:ascii="宋体" w:hAnsi="宋体"/>
                <w:color w:val="000000"/>
                <w:sz w:val="22"/>
              </w:rPr>
            </w:pPr>
            <w:r>
              <w:rPr>
                <w:rFonts w:hint="eastAsia" w:ascii="宋体" w:hAnsi="宋体"/>
                <w:iCs/>
                <w:sz w:val="22"/>
              </w:rPr>
              <w:t>符</w:t>
            </w:r>
            <w:r>
              <w:rPr>
                <w:rFonts w:hint="eastAsia" w:ascii="宋体" w:hAnsi="宋体"/>
                <w:sz w:val="22"/>
              </w:rPr>
              <w:t>合</w:t>
            </w:r>
            <w:r>
              <w:rPr>
                <w:rFonts w:hint="eastAsia" w:ascii="宋体" w:hAnsi="宋体"/>
                <w:sz w:val="22"/>
              </w:rPr>
              <w:fldChar w:fldCharType="begin"/>
            </w:r>
            <w:r>
              <w:rPr>
                <w:rFonts w:hint="eastAsia" w:ascii="宋体" w:hAnsi="宋体"/>
                <w:sz w:val="22"/>
              </w:rPr>
              <w:instrText xml:space="preserve"> HYPERLINK "https://www.so.com/link?m=adMHsJAAYbbDZJ1GqnViTYUzTdIWe6ipBQRTcfNpet2z//38qcVv3BiXtCovgzBIFxOUqGgrJwpse0XJ5xRouCleV9j/j9yi+muD4SnIgbNqZtDMK+8FnRWCsMmxo+ZR19WLWNfLnRGOjWnWBiZQ89wWAa7+5flHUNk9rdXxj5sqPaCg+4aSXoffODqiF1khcrRcNHNv3unNhsdHIiMJ7naxfPKQTmaMocbSVGsYsXCk4zX7Vk2Z0M19Zn8840YBgGmtDE4CT0QnITgYGI8/GD+YiWaRrr2s1rz+6eA==" \t "https://www.so.com/_blank" </w:instrText>
            </w:r>
            <w:r>
              <w:rPr>
                <w:rFonts w:hint="eastAsia" w:ascii="宋体" w:hAnsi="宋体"/>
                <w:sz w:val="22"/>
              </w:rPr>
              <w:fldChar w:fldCharType="separate"/>
            </w:r>
            <w:r>
              <w:rPr>
                <w:rFonts w:hint="eastAsia" w:ascii="宋体" w:hAnsi="宋体"/>
                <w:sz w:val="22"/>
              </w:rPr>
              <w:t>MH/T 5024-2019《民用机场道面评价管理技术规范</w:t>
            </w:r>
            <w:r>
              <w:rPr>
                <w:rFonts w:hint="eastAsia" w:ascii="宋体" w:hAnsi="宋体"/>
                <w:sz w:val="22"/>
              </w:rPr>
              <w:fldChar w:fldCharType="end"/>
            </w:r>
            <w:r>
              <w:rPr>
                <w:rFonts w:hint="eastAsia" w:ascii="宋体" w:hAnsi="宋体"/>
                <w:sz w:val="22"/>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9</w:t>
            </w:r>
            <w:r>
              <w:rPr>
                <w:rFonts w:ascii="宋体" w:hAnsi="宋体" w:cs="Calibri"/>
                <w:kern w:val="0"/>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踏勘现场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不组织</w:t>
            </w:r>
          </w:p>
          <w:p>
            <w:pPr>
              <w:autoSpaceDE w:val="0"/>
              <w:autoSpaceDN w:val="0"/>
              <w:adjustRightInd w:val="0"/>
              <w:snapToGrid w:val="0"/>
              <w:rPr>
                <w:rFonts w:ascii="宋体" w:hAnsi="宋体" w:cs="Calibri"/>
                <w:kern w:val="0"/>
                <w:sz w:val="22"/>
              </w:rPr>
            </w:pPr>
            <w:r>
              <w:rPr>
                <w:rFonts w:ascii="宋体" w:hAnsi="宋体" w:cs="Calibri"/>
                <w:kern w:val="0"/>
                <w:sz w:val="22"/>
              </w:rPr>
              <w:t>□组织，踏勘时间：</w:t>
            </w:r>
          </w:p>
          <w:p>
            <w:pPr>
              <w:autoSpaceDE w:val="0"/>
              <w:autoSpaceDN w:val="0"/>
              <w:adjustRightInd w:val="0"/>
              <w:snapToGrid w:val="0"/>
              <w:rPr>
                <w:rFonts w:ascii="宋体" w:hAnsi="宋体" w:cs="Calibri"/>
                <w:kern w:val="0"/>
                <w:sz w:val="22"/>
              </w:rPr>
            </w:pPr>
            <w:r>
              <w:rPr>
                <w:rFonts w:ascii="宋体" w:hAnsi="宋体" w:cs="Calibri"/>
                <w:kern w:val="0"/>
                <w:sz w:val="22"/>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10</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投标预备会</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不召开</w:t>
            </w:r>
          </w:p>
          <w:p>
            <w:pPr>
              <w:autoSpaceDE w:val="0"/>
              <w:autoSpaceDN w:val="0"/>
              <w:adjustRightInd w:val="0"/>
              <w:snapToGrid w:val="0"/>
              <w:rPr>
                <w:rFonts w:ascii="宋体" w:hAnsi="宋体" w:cs="Calibri"/>
                <w:kern w:val="0"/>
                <w:sz w:val="22"/>
              </w:rPr>
            </w:pPr>
            <w:r>
              <w:rPr>
                <w:rFonts w:ascii="宋体" w:hAnsi="宋体" w:cs="Calibri"/>
                <w:kern w:val="0"/>
                <w:sz w:val="22"/>
              </w:rPr>
              <w:t>□召开，召开时间：</w:t>
            </w:r>
          </w:p>
          <w:p>
            <w:pPr>
              <w:autoSpaceDE w:val="0"/>
              <w:autoSpaceDN w:val="0"/>
              <w:adjustRightInd w:val="0"/>
              <w:snapToGrid w:val="0"/>
              <w:rPr>
                <w:rFonts w:ascii="宋体" w:hAnsi="宋体" w:cs="Calibri"/>
                <w:kern w:val="0"/>
                <w:sz w:val="22"/>
              </w:rPr>
            </w:pPr>
            <w:r>
              <w:rPr>
                <w:rFonts w:ascii="宋体" w:hAnsi="宋体" w:cs="Calibri"/>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投标人提出问题的截止时间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2020年</w:t>
            </w:r>
            <w:r>
              <w:rPr>
                <w:rFonts w:hint="eastAsia" w:ascii="宋体" w:hAnsi="宋体" w:cs="Calibri"/>
                <w:kern w:val="0"/>
                <w:sz w:val="22"/>
                <w:lang w:val="en-US" w:eastAsia="zh-CN"/>
              </w:rPr>
              <w:t>4</w:t>
            </w:r>
            <w:r>
              <w:rPr>
                <w:rFonts w:hint="eastAsia" w:ascii="宋体" w:hAnsi="宋体" w:cs="Calibri"/>
                <w:kern w:val="0"/>
                <w:sz w:val="22"/>
              </w:rPr>
              <w:t>月</w:t>
            </w:r>
            <w:r>
              <w:rPr>
                <w:rFonts w:hint="eastAsia" w:ascii="宋体" w:hAnsi="宋体" w:cs="Calibri"/>
                <w:kern w:val="0"/>
                <w:sz w:val="22"/>
                <w:lang w:val="en-US" w:eastAsia="zh-CN"/>
              </w:rPr>
              <w:t>13</w:t>
            </w:r>
            <w:r>
              <w:rPr>
                <w:rFonts w:hint="eastAsia" w:ascii="宋体" w:hAnsi="宋体" w:cs="Calibri"/>
                <w:kern w:val="0"/>
                <w:sz w:val="22"/>
              </w:rPr>
              <w:t>日11：30前，以E-mail及书面（传真）形式提交给招标人（技术联系人:王工，电话0571-86662376；电子邮箱：345344790@qq.com）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投标截止时间</w:t>
            </w:r>
          </w:p>
        </w:tc>
        <w:tc>
          <w:tcPr>
            <w:tcW w:w="6487" w:type="dxa"/>
            <w:vAlign w:val="center"/>
          </w:tcPr>
          <w:p>
            <w:pPr>
              <w:autoSpaceDE w:val="0"/>
              <w:autoSpaceDN w:val="0"/>
              <w:adjustRightInd w:val="0"/>
              <w:snapToGrid w:val="0"/>
              <w:rPr>
                <w:rFonts w:ascii="宋体" w:hAnsi="宋体" w:cs="Calibri"/>
                <w:b/>
                <w:kern w:val="0"/>
                <w:sz w:val="22"/>
              </w:rPr>
            </w:pPr>
            <w:r>
              <w:rPr>
                <w:rFonts w:hint="eastAsia" w:ascii="宋体" w:hAnsi="宋体" w:eastAsia="宋体" w:cs="宋体"/>
                <w:i w:val="0"/>
                <w:caps w:val="0"/>
                <w:color w:val="000000"/>
                <w:spacing w:val="0"/>
                <w:sz w:val="22"/>
                <w:szCs w:val="22"/>
              </w:rPr>
              <w:t>2020年4月20日下午13时45分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w:t>
            </w:r>
            <w:bookmarkStart w:id="39" w:name="_Toc226175287"/>
            <w:bookmarkStart w:id="40" w:name="_Toc236586447"/>
            <w:r>
              <w:rPr>
                <w:rFonts w:hint="eastAsia" w:ascii="宋体" w:hAnsi="宋体" w:cs="Calibri"/>
                <w:kern w:val="0"/>
                <w:sz w:val="22"/>
              </w:rPr>
              <w:t>对招标文件的修改将以补充公告的形式发布，所有获得招标文件的投标人应自行关注网站公告，招标人不再一一通知。投标人因自身贻误行为导致投标失败的，责任自负。</w:t>
            </w:r>
            <w:bookmarkEnd w:id="39"/>
            <w:bookmarkEnd w:id="4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2.3.2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3.4.1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投标有效期</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12</w:t>
            </w:r>
            <w:r>
              <w:rPr>
                <w:rFonts w:ascii="宋体" w:hAnsi="宋体" w:cs="Calibri"/>
                <w:kern w:val="0"/>
                <w:sz w:val="22"/>
              </w:rPr>
              <w:t>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签字或盖章要求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b/>
                <w:kern w:val="0"/>
                <w:sz w:val="22"/>
              </w:rPr>
              <w:t>投标文件封面（或扉页）、投标函以及各类报价表</w:t>
            </w:r>
            <w:r>
              <w:rPr>
                <w:rFonts w:ascii="宋体" w:hAnsi="宋体" w:cs="Calibri"/>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投标文件副本份数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装订要求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按照投标人须知3.2项约定的投标文件组成内容，投标文件应按以下要求装订：</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不分册装订</w:t>
            </w:r>
          </w:p>
          <w:p>
            <w:pPr>
              <w:autoSpaceDE w:val="0"/>
              <w:autoSpaceDN w:val="0"/>
              <w:adjustRightInd w:val="0"/>
              <w:snapToGrid w:val="0"/>
              <w:rPr>
                <w:rFonts w:ascii="宋体" w:hAnsi="宋体" w:cs="Calibri"/>
                <w:kern w:val="0"/>
                <w:sz w:val="22"/>
              </w:rPr>
            </w:pPr>
            <w:r>
              <w:rPr>
                <w:rFonts w:ascii="宋体" w:hAnsi="宋体" w:cs="Calibri"/>
                <w:kern w:val="0"/>
                <w:sz w:val="22"/>
              </w:rPr>
              <w:t>□分册装订</w:t>
            </w:r>
          </w:p>
          <w:p>
            <w:pPr>
              <w:autoSpaceDE w:val="0"/>
              <w:autoSpaceDN w:val="0"/>
              <w:adjustRightInd w:val="0"/>
              <w:snapToGrid w:val="0"/>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胶装 </w:t>
            </w:r>
            <w:r>
              <w:rPr>
                <w:rFonts w:ascii="宋体" w:hAnsi="宋体" w:cs="Calibri"/>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封套上写明</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招标人的地址：</w:t>
            </w:r>
            <w:r>
              <w:rPr>
                <w:rFonts w:hint="eastAsia" w:ascii="宋体" w:hAnsi="宋体"/>
                <w:sz w:val="22"/>
                <w:u w:val="single"/>
              </w:rPr>
              <w:t>杭州萧山国际机场内</w:t>
            </w:r>
          </w:p>
          <w:p>
            <w:pPr>
              <w:autoSpaceDE w:val="0"/>
              <w:autoSpaceDN w:val="0"/>
              <w:adjustRightInd w:val="0"/>
              <w:snapToGrid w:val="0"/>
              <w:rPr>
                <w:rFonts w:ascii="宋体" w:hAnsi="宋体" w:cs="Calibri"/>
                <w:kern w:val="0"/>
                <w:sz w:val="22"/>
              </w:rPr>
            </w:pPr>
            <w:r>
              <w:rPr>
                <w:rFonts w:ascii="宋体" w:hAnsi="宋体" w:cs="Calibri"/>
                <w:kern w:val="0"/>
                <w:sz w:val="22"/>
              </w:rPr>
              <w:t>招标人名称：</w:t>
            </w:r>
            <w:r>
              <w:rPr>
                <w:rFonts w:ascii="宋体" w:hAnsi="宋体" w:cs="Calibri"/>
                <w:kern w:val="0"/>
                <w:sz w:val="22"/>
                <w:u w:val="single"/>
              </w:rPr>
              <w:t>杭州萧山国际机场有限公司</w:t>
            </w:r>
          </w:p>
          <w:p>
            <w:pPr>
              <w:autoSpaceDE w:val="0"/>
              <w:autoSpaceDN w:val="0"/>
              <w:adjustRightInd w:val="0"/>
              <w:snapToGrid w:val="0"/>
              <w:rPr>
                <w:rFonts w:ascii="宋体" w:hAnsi="宋体" w:cs="Calibri"/>
                <w:kern w:val="0"/>
                <w:sz w:val="22"/>
              </w:rPr>
            </w:pPr>
            <w:r>
              <w:rPr>
                <w:rFonts w:hint="eastAsia" w:ascii="宋体" w:hAnsi="宋体" w:cs="宋体"/>
                <w:sz w:val="22"/>
              </w:rPr>
              <w:t>项目名称：</w:t>
            </w:r>
            <w:r>
              <w:rPr>
                <w:rFonts w:hint="eastAsia" w:ascii="宋体" w:hAnsi="宋体" w:cs="Calibri"/>
                <w:kern w:val="0"/>
                <w:sz w:val="22"/>
              </w:rPr>
              <w:t>杭州萧山国际机场</w:t>
            </w:r>
            <w:r>
              <w:rPr>
                <w:rFonts w:hint="eastAsia" w:ascii="宋体" w:hAnsi="宋体" w:cs="Calibri"/>
                <w:kern w:val="0"/>
                <w:sz w:val="22"/>
                <w:lang w:val="zh-CN"/>
              </w:rPr>
              <w:t>飞行区道面病害调查技术服务项目</w:t>
            </w:r>
            <w:r>
              <w:rPr>
                <w:rFonts w:hint="eastAsia" w:ascii="宋体" w:hAnsi="宋体" w:cs="宋体"/>
                <w:sz w:val="22"/>
              </w:rPr>
              <w:t>投标文件</w:t>
            </w:r>
          </w:p>
          <w:p>
            <w:pPr>
              <w:autoSpaceDE w:val="0"/>
              <w:autoSpaceDN w:val="0"/>
              <w:adjustRightInd w:val="0"/>
              <w:snapToGrid w:val="0"/>
              <w:rPr>
                <w:rFonts w:ascii="宋体" w:hAnsi="宋体" w:cs="Calibri"/>
                <w:kern w:val="0"/>
                <w:sz w:val="22"/>
              </w:rPr>
            </w:pPr>
            <w:r>
              <w:rPr>
                <w:rFonts w:ascii="宋体" w:hAnsi="宋体" w:cs="Calibri"/>
                <w:kern w:val="0"/>
                <w:sz w:val="22"/>
              </w:rPr>
              <w:t>在</w:t>
            </w:r>
            <w:r>
              <w:rPr>
                <w:rFonts w:hint="eastAsia" w:ascii="宋体" w:hAnsi="宋体" w:eastAsia="宋体" w:cs="宋体"/>
                <w:i w:val="0"/>
                <w:caps w:val="0"/>
                <w:color w:val="000000"/>
                <w:spacing w:val="0"/>
                <w:sz w:val="22"/>
                <w:szCs w:val="22"/>
              </w:rPr>
              <w:t>2020年4月20日下午13时45分</w:t>
            </w:r>
            <w:r>
              <w:rPr>
                <w:rFonts w:ascii="宋体" w:hAnsi="宋体" w:cs="Calibri"/>
                <w:kern w:val="0"/>
                <w:sz w:val="22"/>
              </w:rPr>
              <w:t>（即开标时间）前不得开启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递交投标文件地点</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Arial"/>
                <w:kern w:val="0"/>
                <w:sz w:val="22"/>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是否退还投标文件</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w:t>
            </w:r>
          </w:p>
          <w:p>
            <w:pPr>
              <w:autoSpaceDE w:val="0"/>
              <w:autoSpaceDN w:val="0"/>
              <w:adjustRightInd w:val="0"/>
              <w:snapToGrid w:val="0"/>
              <w:rPr>
                <w:rFonts w:ascii="宋体" w:hAnsi="宋体" w:cs="Calibri"/>
                <w:kern w:val="0"/>
                <w:sz w:val="22"/>
              </w:rPr>
            </w:pPr>
            <w:r>
              <w:rPr>
                <w:rFonts w:ascii="宋体" w:hAnsi="宋体" w:cs="Calibri"/>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开标时间和地点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开标时间：同投标截止时间</w:t>
            </w:r>
          </w:p>
          <w:p>
            <w:pPr>
              <w:autoSpaceDE w:val="0"/>
              <w:autoSpaceDN w:val="0"/>
              <w:adjustRightInd w:val="0"/>
              <w:snapToGrid w:val="0"/>
              <w:rPr>
                <w:rFonts w:ascii="宋体" w:hAnsi="宋体" w:cs="Calibri"/>
                <w:kern w:val="0"/>
                <w:sz w:val="22"/>
              </w:rPr>
            </w:pPr>
            <w:r>
              <w:rPr>
                <w:rFonts w:ascii="宋体" w:hAnsi="宋体" w:cs="Calibri"/>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开标程序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w:t>
            </w:r>
            <w:r>
              <w:rPr>
                <w:rFonts w:hint="eastAsia" w:ascii="宋体" w:hAnsi="宋体" w:cs="Calibri"/>
                <w:kern w:val="0"/>
                <w:sz w:val="22"/>
              </w:rPr>
              <w:t>1</w:t>
            </w:r>
            <w:r>
              <w:rPr>
                <w:rFonts w:ascii="宋体" w:hAnsi="宋体" w:cs="Calibri"/>
                <w:kern w:val="0"/>
                <w:sz w:val="22"/>
              </w:rPr>
              <w:t>）密封情况检查：由投标人或者其集体推选的代表检查投标文件的密封情况。</w:t>
            </w:r>
          </w:p>
          <w:p>
            <w:pPr>
              <w:autoSpaceDE w:val="0"/>
              <w:autoSpaceDN w:val="0"/>
              <w:adjustRightInd w:val="0"/>
              <w:snapToGrid w:val="0"/>
              <w:rPr>
                <w:rFonts w:ascii="宋体" w:hAnsi="宋体" w:cs="Calibri"/>
                <w:kern w:val="0"/>
                <w:sz w:val="22"/>
              </w:rPr>
            </w:pPr>
            <w:r>
              <w:rPr>
                <w:rFonts w:ascii="宋体" w:hAnsi="宋体" w:cs="Calibri"/>
                <w:kern w:val="0"/>
                <w:sz w:val="22"/>
              </w:rPr>
              <w:t>（</w:t>
            </w:r>
            <w:r>
              <w:rPr>
                <w:rFonts w:hint="eastAsia" w:ascii="宋体" w:hAnsi="宋体" w:cs="Calibri"/>
                <w:kern w:val="0"/>
                <w:sz w:val="22"/>
              </w:rPr>
              <w:t>2</w:t>
            </w:r>
            <w:r>
              <w:rPr>
                <w:rFonts w:ascii="宋体" w:hAnsi="宋体" w:cs="Calibri"/>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6.1.1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评标委员会的组建</w:t>
            </w:r>
          </w:p>
        </w:tc>
        <w:tc>
          <w:tcPr>
            <w:tcW w:w="6487" w:type="dxa"/>
            <w:vAlign w:val="center"/>
          </w:tcPr>
          <w:p>
            <w:pPr>
              <w:autoSpaceDE w:val="0"/>
              <w:autoSpaceDN w:val="0"/>
              <w:adjustRightInd w:val="0"/>
              <w:snapToGrid w:val="0"/>
              <w:jc w:val="left"/>
              <w:rPr>
                <w:rFonts w:ascii="宋体" w:hAnsi="宋体"/>
                <w:sz w:val="22"/>
              </w:rPr>
            </w:pPr>
            <w:r>
              <w:rPr>
                <w:rFonts w:hint="eastAsia" w:ascii="宋体" w:hAnsi="宋体"/>
                <w:sz w:val="22"/>
              </w:rPr>
              <w:t>评标委员会构成</w:t>
            </w:r>
            <w:r>
              <w:rPr>
                <w:rFonts w:hint="eastAsia" w:ascii="宋体" w:hAnsi="宋体" w:cs="Calibri"/>
                <w:kern w:val="0"/>
                <w:sz w:val="22"/>
              </w:rPr>
              <w:t>：3</w:t>
            </w:r>
            <w:r>
              <w:rPr>
                <w:rFonts w:hint="eastAsia" w:ascii="宋体" w:hAnsi="宋体"/>
                <w:sz w:val="22"/>
              </w:rPr>
              <w:t>人及以上单数</w:t>
            </w:r>
          </w:p>
          <w:p>
            <w:pPr>
              <w:autoSpaceDE w:val="0"/>
              <w:autoSpaceDN w:val="0"/>
              <w:adjustRightInd w:val="0"/>
              <w:snapToGrid w:val="0"/>
              <w:jc w:val="left"/>
              <w:rPr>
                <w:rFonts w:ascii="宋体" w:hAnsi="宋体"/>
                <w:sz w:val="22"/>
              </w:rPr>
            </w:pPr>
            <w:r>
              <w:rPr>
                <w:rFonts w:hint="eastAsia" w:ascii="宋体" w:hAnsi="宋体"/>
                <w:sz w:val="22"/>
              </w:rPr>
              <w:t>评标专家确定方式：评标委员会由招标人自行组建。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□是</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7.3.1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履约担保</w:t>
            </w:r>
          </w:p>
        </w:tc>
        <w:tc>
          <w:tcPr>
            <w:tcW w:w="6487" w:type="dxa"/>
            <w:vAlign w:val="center"/>
          </w:tcPr>
          <w:p>
            <w:pPr>
              <w:autoSpaceDE w:val="0"/>
              <w:autoSpaceDN w:val="0"/>
              <w:adjustRightInd w:val="0"/>
              <w:snapToGrid w:val="0"/>
              <w:jc w:val="left"/>
              <w:rPr>
                <w:rFonts w:ascii="宋体" w:hAnsi="宋体"/>
                <w:sz w:val="22"/>
              </w:rPr>
            </w:pPr>
            <w:r>
              <w:rPr>
                <w:rFonts w:ascii="宋体" w:hAnsi="宋体"/>
                <w:sz w:val="22"/>
              </w:rPr>
              <w:t>履约担保的形式：</w:t>
            </w:r>
            <w:r>
              <w:rPr>
                <w:rFonts w:hint="eastAsia" w:ascii="宋体" w:hAnsi="宋体"/>
                <w:sz w:val="22"/>
              </w:rPr>
              <w:t>银行转账</w:t>
            </w:r>
          </w:p>
          <w:p>
            <w:pPr>
              <w:autoSpaceDE w:val="0"/>
              <w:autoSpaceDN w:val="0"/>
              <w:adjustRightInd w:val="0"/>
              <w:snapToGrid w:val="0"/>
              <w:jc w:val="left"/>
              <w:rPr>
                <w:rFonts w:ascii="宋体" w:hAnsi="宋体"/>
                <w:sz w:val="22"/>
              </w:rPr>
            </w:pPr>
            <w:r>
              <w:rPr>
                <w:rFonts w:ascii="宋体" w:hAnsi="宋体"/>
                <w:sz w:val="22"/>
              </w:rPr>
              <w:t>履约担保的金额：</w:t>
            </w:r>
            <w:r>
              <w:rPr>
                <w:rFonts w:hint="eastAsia" w:ascii="宋体" w:hAnsi="宋体"/>
                <w:sz w:val="22"/>
              </w:rPr>
              <w:t>合同总价的</w:t>
            </w:r>
            <w:r>
              <w:rPr>
                <w:rFonts w:ascii="宋体" w:hAnsi="宋体"/>
                <w:sz w:val="22"/>
              </w:rPr>
              <w:t>10</w:t>
            </w:r>
            <w:r>
              <w:rPr>
                <w:rFonts w:hint="eastAsia" w:ascii="宋体" w:hAnsi="宋体"/>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10</w:t>
            </w:r>
          </w:p>
        </w:tc>
        <w:tc>
          <w:tcPr>
            <w:tcW w:w="8491" w:type="dxa"/>
            <w:gridSpan w:val="2"/>
            <w:vAlign w:val="center"/>
          </w:tcPr>
          <w:p>
            <w:pPr>
              <w:autoSpaceDE w:val="0"/>
              <w:autoSpaceDN w:val="0"/>
              <w:adjustRightInd w:val="0"/>
              <w:snapToGrid w:val="0"/>
              <w:jc w:val="center"/>
              <w:rPr>
                <w:rFonts w:ascii="宋体" w:hAnsi="宋体" w:cs="Calibri"/>
                <w:snapToGrid w:val="0"/>
                <w:sz w:val="22"/>
              </w:rPr>
            </w:pPr>
            <w:r>
              <w:rPr>
                <w:rFonts w:ascii="宋体" w:hAnsi="宋体" w:cs="Calibri"/>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10.</w:t>
            </w:r>
            <w:r>
              <w:rPr>
                <w:rFonts w:hint="eastAsia" w:ascii="宋体" w:hAnsi="宋体" w:cs="Calibri"/>
                <w:kern w:val="0"/>
                <w:sz w:val="22"/>
              </w:rPr>
              <w:t>2</w:t>
            </w:r>
          </w:p>
        </w:tc>
        <w:tc>
          <w:tcPr>
            <w:tcW w:w="2004" w:type="dxa"/>
            <w:shd w:val="clear" w:color="auto" w:fill="auto"/>
            <w:vAlign w:val="center"/>
          </w:tcPr>
          <w:p>
            <w:pPr>
              <w:pStyle w:val="43"/>
              <w:adjustRightInd w:val="0"/>
              <w:snapToGrid w:val="0"/>
              <w:spacing w:line="240" w:lineRule="auto"/>
              <w:jc w:val="center"/>
              <w:rPr>
                <w:rFonts w:ascii="宋体" w:hAnsi="宋体" w:cs="Calibri"/>
                <w:color w:val="auto"/>
                <w:sz w:val="22"/>
                <w:szCs w:val="22"/>
              </w:rPr>
            </w:pPr>
            <w:r>
              <w:rPr>
                <w:rFonts w:ascii="宋体" w:hAnsi="宋体" w:cs="Calibri"/>
                <w:color w:val="auto"/>
                <w:sz w:val="22"/>
                <w:szCs w:val="22"/>
              </w:rPr>
              <w:t>其他</w:t>
            </w:r>
          </w:p>
        </w:tc>
        <w:tc>
          <w:tcPr>
            <w:tcW w:w="6487" w:type="dxa"/>
            <w:shd w:val="clear" w:color="auto" w:fill="FFFFFF"/>
            <w:vAlign w:val="center"/>
          </w:tcPr>
          <w:p>
            <w:pPr>
              <w:adjustRightInd w:val="0"/>
              <w:snapToGrid w:val="0"/>
              <w:rPr>
                <w:rFonts w:ascii="宋体" w:hAnsi="宋体" w:cs="Calibri"/>
                <w:snapToGrid w:val="0"/>
                <w:kern w:val="0"/>
                <w:sz w:val="22"/>
              </w:rPr>
            </w:pPr>
            <w:r>
              <w:rPr>
                <w:rFonts w:ascii="宋体" w:hAnsi="宋体" w:cs="Calibri"/>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1、投标人如发现招标文件及其评标办法中存在含糊不清、相互矛盾、多种含义以及歧视性不公正条款或违法违规等内容时，请在投标截止十日前向招标人书面反映，逾期不得再对招标文件的条款提出质疑。</w:t>
            </w:r>
          </w:p>
          <w:p>
            <w:pPr>
              <w:adjustRightInd w:val="0"/>
              <w:snapToGrid w:val="0"/>
              <w:rPr>
                <w:rFonts w:ascii="宋体" w:hAnsi="宋体" w:cs="Calibri"/>
                <w:snapToGrid w:val="0"/>
                <w:kern w:val="0"/>
                <w:sz w:val="22"/>
              </w:rPr>
            </w:pPr>
            <w:r>
              <w:rPr>
                <w:rFonts w:ascii="宋体" w:hAnsi="宋体" w:cs="Calibri"/>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10.3</w:t>
            </w:r>
          </w:p>
        </w:tc>
        <w:tc>
          <w:tcPr>
            <w:tcW w:w="2004" w:type="dxa"/>
            <w:shd w:val="clear" w:color="auto" w:fill="auto"/>
            <w:vAlign w:val="center"/>
          </w:tcPr>
          <w:p>
            <w:pPr>
              <w:pStyle w:val="43"/>
              <w:spacing w:line="240" w:lineRule="auto"/>
              <w:jc w:val="center"/>
              <w:rPr>
                <w:rFonts w:ascii="宋体" w:hAnsi="宋体" w:cs="Calibri"/>
                <w:snapToGrid/>
                <w:color w:val="auto"/>
                <w:sz w:val="22"/>
                <w:szCs w:val="22"/>
              </w:rPr>
            </w:pPr>
            <w:r>
              <w:rPr>
                <w:rFonts w:hint="eastAsia" w:ascii="宋体" w:hAnsi="宋体" w:cs="Calibri"/>
                <w:snapToGrid/>
                <w:color w:val="auto"/>
                <w:sz w:val="22"/>
                <w:szCs w:val="22"/>
              </w:rPr>
              <w:t>备注</w:t>
            </w:r>
          </w:p>
        </w:tc>
        <w:tc>
          <w:tcPr>
            <w:tcW w:w="6487" w:type="dxa"/>
            <w:shd w:val="clear" w:color="auto" w:fill="FFFFFF"/>
            <w:vAlign w:val="center"/>
          </w:tcPr>
          <w:p>
            <w:pPr>
              <w:adjustRightInd w:val="0"/>
              <w:snapToGrid w:val="0"/>
              <w:rPr>
                <w:rFonts w:ascii="宋体" w:hAnsi="宋体" w:cs="Calibri"/>
                <w:kern w:val="0"/>
                <w:sz w:val="22"/>
              </w:rPr>
            </w:pPr>
            <w:r>
              <w:rPr>
                <w:rFonts w:ascii="宋体" w:hAnsi="宋体" w:cs="Calibri"/>
                <w:kern w:val="0"/>
                <w:sz w:val="22"/>
              </w:rPr>
              <w:t>本前附表内容与招标文件其他内容不一致之处，以本前附表为准。</w:t>
            </w:r>
          </w:p>
        </w:tc>
      </w:tr>
      <w:bookmarkEnd w:id="1"/>
      <w:bookmarkEnd w:id="2"/>
    </w:tbl>
    <w:p>
      <w:pPr>
        <w:autoSpaceDE w:val="0"/>
        <w:autoSpaceDN w:val="0"/>
        <w:adjustRightInd w:val="0"/>
        <w:spacing w:line="360" w:lineRule="exact"/>
        <w:ind w:firstLine="420" w:firstLineChars="200"/>
        <w:rPr>
          <w:rFonts w:eastAsia="黑体" w:cs="Calibri"/>
          <w:b/>
          <w:bCs/>
          <w:kern w:val="0"/>
          <w:szCs w:val="21"/>
        </w:rPr>
      </w:pPr>
      <w:bookmarkStart w:id="41" w:name="_Toc143421656"/>
      <w:bookmarkStart w:id="42" w:name="_Toc11067"/>
    </w:p>
    <w:p>
      <w:pPr>
        <w:autoSpaceDE w:val="0"/>
        <w:autoSpaceDN w:val="0"/>
        <w:adjustRightInd w:val="0"/>
        <w:snapToGrid w:val="0"/>
        <w:spacing w:line="360" w:lineRule="exact"/>
        <w:rPr>
          <w:rFonts w:ascii="宋体" w:hAnsi="宋体" w:cs="Calibri"/>
          <w:b/>
          <w:bCs/>
          <w:kern w:val="0"/>
          <w:sz w:val="22"/>
        </w:rPr>
      </w:pPr>
      <w:r>
        <w:rPr>
          <w:rFonts w:eastAsia="黑体" w:cs="Calibri"/>
          <w:b/>
          <w:bCs/>
          <w:kern w:val="0"/>
          <w:szCs w:val="21"/>
        </w:rPr>
        <w:br w:type="page"/>
      </w:r>
      <w:r>
        <w:rPr>
          <w:rFonts w:ascii="宋体" w:hAnsi="宋体" w:cs="Calibri"/>
          <w:b/>
          <w:bCs/>
          <w:kern w:val="0"/>
          <w:sz w:val="22"/>
        </w:rPr>
        <w:t>1.</w:t>
      </w:r>
      <w:r>
        <w:rPr>
          <w:rFonts w:hint="eastAsia" w:ascii="宋体" w:hAnsi="宋体" w:cs="Calibri"/>
          <w:b/>
          <w:bCs/>
          <w:kern w:val="0"/>
          <w:sz w:val="22"/>
        </w:rPr>
        <w:t xml:space="preserve"> </w:t>
      </w:r>
      <w:r>
        <w:rPr>
          <w:rFonts w:ascii="宋体" w:hAnsi="宋体" w:cs="Calibri"/>
          <w:b/>
          <w:bCs/>
          <w:kern w:val="0"/>
          <w:sz w:val="22"/>
        </w:rPr>
        <w:t>总则</w:t>
      </w:r>
      <w:bookmarkEnd w:id="41"/>
      <w:bookmarkEnd w:id="42"/>
    </w:p>
    <w:p>
      <w:pPr>
        <w:autoSpaceDE w:val="0"/>
        <w:autoSpaceDN w:val="0"/>
        <w:adjustRightInd w:val="0"/>
        <w:snapToGrid w:val="0"/>
        <w:spacing w:line="360" w:lineRule="exact"/>
        <w:rPr>
          <w:rFonts w:ascii="宋体" w:hAnsi="宋体" w:cs="Calibri"/>
          <w:b/>
          <w:bCs/>
          <w:kern w:val="0"/>
          <w:sz w:val="22"/>
        </w:rPr>
      </w:pPr>
      <w:bookmarkStart w:id="43" w:name="_Toc26216"/>
      <w:r>
        <w:rPr>
          <w:rFonts w:ascii="宋体" w:hAnsi="宋体" w:cs="Calibri"/>
          <w:b/>
          <w:bCs/>
          <w:kern w:val="0"/>
          <w:sz w:val="22"/>
        </w:rPr>
        <w:t>1.1 项目</w:t>
      </w:r>
      <w:bookmarkEnd w:id="43"/>
      <w:r>
        <w:rPr>
          <w:rFonts w:ascii="宋体" w:hAnsi="宋体" w:cs="Calibri"/>
          <w:b/>
          <w:bCs/>
          <w:kern w:val="0"/>
          <w:sz w:val="22"/>
        </w:rPr>
        <w:t>概况</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kern w:val="0"/>
          <w:sz w:val="22"/>
        </w:rPr>
        <w:t>1.1.2项目</w:t>
      </w:r>
      <w:r>
        <w:rPr>
          <w:rFonts w:hint="eastAsia" w:ascii="宋体" w:hAnsi="宋体" w:cs="Calibri"/>
          <w:color w:val="000000"/>
          <w:kern w:val="0"/>
          <w:sz w:val="22"/>
        </w:rPr>
        <w:t>实施</w:t>
      </w:r>
      <w:r>
        <w:rPr>
          <w:rFonts w:ascii="宋体" w:hAnsi="宋体" w:cs="Calibri"/>
          <w:color w:val="000000"/>
          <w:kern w:val="0"/>
          <w:sz w:val="22"/>
        </w:rPr>
        <w:t>地点见投标人须知前附表</w:t>
      </w:r>
      <w:r>
        <w:rPr>
          <w:rFonts w:ascii="宋体" w:hAnsi="宋体" w:cs="Calibri"/>
          <w:color w:val="000000"/>
          <w:sz w:val="22"/>
        </w:rPr>
        <w:t>。</w:t>
      </w:r>
    </w:p>
    <w:p>
      <w:pPr>
        <w:autoSpaceDE w:val="0"/>
        <w:autoSpaceDN w:val="0"/>
        <w:adjustRightInd w:val="0"/>
        <w:snapToGrid w:val="0"/>
        <w:spacing w:line="360" w:lineRule="exact"/>
        <w:rPr>
          <w:rFonts w:ascii="宋体" w:hAnsi="宋体" w:cs="Calibri"/>
          <w:b/>
          <w:bCs/>
          <w:kern w:val="0"/>
          <w:sz w:val="22"/>
        </w:rPr>
      </w:pPr>
      <w:bookmarkStart w:id="44" w:name="_Toc9136"/>
      <w:r>
        <w:rPr>
          <w:rFonts w:ascii="宋体" w:hAnsi="宋体" w:cs="Calibri"/>
          <w:b/>
          <w:bCs/>
          <w:kern w:val="0"/>
          <w:sz w:val="22"/>
        </w:rPr>
        <w:t>1.</w:t>
      </w:r>
      <w:r>
        <w:rPr>
          <w:rFonts w:hint="eastAsia" w:ascii="宋体" w:hAnsi="宋体" w:cs="Calibri"/>
          <w:b/>
          <w:bCs/>
          <w:kern w:val="0"/>
          <w:sz w:val="22"/>
        </w:rPr>
        <w:t>2</w:t>
      </w:r>
      <w:r>
        <w:rPr>
          <w:rFonts w:ascii="宋体" w:hAnsi="宋体" w:cs="Calibri"/>
          <w:b/>
          <w:bCs/>
          <w:kern w:val="0"/>
          <w:sz w:val="22"/>
        </w:rPr>
        <w:t xml:space="preserve"> 资金来源</w:t>
      </w:r>
      <w:bookmarkEnd w:id="44"/>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5" w:name="_Toc10673"/>
      <w:r>
        <w:rPr>
          <w:rFonts w:ascii="宋体" w:hAnsi="宋体" w:cs="Calibri"/>
          <w:b/>
          <w:bCs/>
          <w:kern w:val="0"/>
          <w:sz w:val="22"/>
        </w:rPr>
        <w:t>1.</w:t>
      </w:r>
      <w:r>
        <w:rPr>
          <w:rFonts w:hint="eastAsia" w:ascii="宋体" w:hAnsi="宋体" w:cs="Calibri"/>
          <w:b/>
          <w:bCs/>
          <w:kern w:val="0"/>
          <w:sz w:val="22"/>
        </w:rPr>
        <w:t>3</w:t>
      </w:r>
      <w:r>
        <w:rPr>
          <w:rFonts w:ascii="宋体" w:hAnsi="宋体" w:cs="Calibri"/>
          <w:b/>
          <w:bCs/>
          <w:kern w:val="0"/>
          <w:sz w:val="22"/>
        </w:rPr>
        <w:t xml:space="preserve"> 招标</w:t>
      </w:r>
      <w:bookmarkEnd w:id="45"/>
      <w:r>
        <w:rPr>
          <w:rFonts w:hint="eastAsia" w:ascii="宋体" w:hAnsi="宋体" w:cs="Calibri"/>
          <w:b/>
          <w:bCs/>
          <w:kern w:val="0"/>
          <w:sz w:val="22"/>
        </w:rPr>
        <w:t>内容</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6" w:name="_Toc718"/>
      <w:r>
        <w:rPr>
          <w:rFonts w:ascii="宋体" w:hAnsi="宋体" w:cs="Calibri"/>
          <w:b/>
          <w:bCs/>
          <w:kern w:val="0"/>
          <w:sz w:val="22"/>
        </w:rPr>
        <w:t>1.</w:t>
      </w:r>
      <w:r>
        <w:rPr>
          <w:rFonts w:hint="eastAsia" w:ascii="宋体" w:hAnsi="宋体" w:cs="Calibri"/>
          <w:b/>
          <w:bCs/>
          <w:kern w:val="0"/>
          <w:sz w:val="22"/>
        </w:rPr>
        <w:t>4</w:t>
      </w:r>
      <w:r>
        <w:rPr>
          <w:rFonts w:ascii="宋体" w:hAnsi="宋体" w:cs="Calibri"/>
          <w:b/>
          <w:bCs/>
          <w:kern w:val="0"/>
          <w:sz w:val="22"/>
        </w:rPr>
        <w:t xml:space="preserve"> 招标方式</w:t>
      </w:r>
      <w:bookmarkEnd w:id="46"/>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7" w:name="_Toc9161"/>
      <w:r>
        <w:rPr>
          <w:rFonts w:ascii="宋体" w:hAnsi="宋体" w:cs="Calibri"/>
          <w:b/>
          <w:bCs/>
          <w:kern w:val="0"/>
          <w:sz w:val="22"/>
        </w:rPr>
        <w:t>1.</w:t>
      </w:r>
      <w:r>
        <w:rPr>
          <w:rFonts w:hint="eastAsia" w:ascii="宋体" w:hAnsi="宋体" w:cs="Calibri"/>
          <w:b/>
          <w:bCs/>
          <w:kern w:val="0"/>
          <w:sz w:val="22"/>
        </w:rPr>
        <w:t xml:space="preserve">5 </w:t>
      </w:r>
      <w:r>
        <w:rPr>
          <w:rFonts w:ascii="宋体" w:hAnsi="宋体" w:cs="Calibri"/>
          <w:b/>
          <w:bCs/>
          <w:kern w:val="0"/>
          <w:sz w:val="22"/>
        </w:rPr>
        <w:t>资格审查</w:t>
      </w:r>
      <w:bookmarkEnd w:id="47"/>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8" w:name="_Toc13012"/>
      <w:r>
        <w:rPr>
          <w:rFonts w:ascii="宋体" w:hAnsi="宋体" w:cs="Calibri"/>
          <w:b/>
          <w:bCs/>
          <w:kern w:val="0"/>
          <w:sz w:val="22"/>
        </w:rPr>
        <w:t>1.</w:t>
      </w:r>
      <w:r>
        <w:rPr>
          <w:rFonts w:hint="eastAsia" w:ascii="宋体" w:hAnsi="宋体" w:cs="Calibri"/>
          <w:b/>
          <w:bCs/>
          <w:kern w:val="0"/>
          <w:sz w:val="22"/>
        </w:rPr>
        <w:t>6</w:t>
      </w:r>
      <w:r>
        <w:rPr>
          <w:rFonts w:ascii="宋体" w:hAnsi="宋体" w:cs="Calibri"/>
          <w:b/>
          <w:bCs/>
          <w:kern w:val="0"/>
          <w:sz w:val="22"/>
        </w:rPr>
        <w:t xml:space="preserve"> 投标人资质条件、能力和信誉</w:t>
      </w:r>
      <w:bookmarkEnd w:id="48"/>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9" w:name="_Toc2796"/>
      <w:r>
        <w:rPr>
          <w:rFonts w:ascii="宋体" w:hAnsi="宋体" w:cs="Calibri"/>
          <w:b/>
          <w:bCs/>
          <w:kern w:val="0"/>
          <w:sz w:val="22"/>
        </w:rPr>
        <w:t>1.</w:t>
      </w:r>
      <w:r>
        <w:rPr>
          <w:rFonts w:hint="eastAsia" w:ascii="宋体" w:hAnsi="宋体" w:cs="Calibri"/>
          <w:b/>
          <w:bCs/>
          <w:kern w:val="0"/>
          <w:sz w:val="22"/>
        </w:rPr>
        <w:t>7</w:t>
      </w:r>
      <w:r>
        <w:rPr>
          <w:rFonts w:ascii="宋体" w:hAnsi="宋体" w:cs="Calibri"/>
          <w:b/>
          <w:bCs/>
          <w:kern w:val="0"/>
          <w:sz w:val="22"/>
        </w:rPr>
        <w:t xml:space="preserve"> </w:t>
      </w:r>
      <w:r>
        <w:rPr>
          <w:rFonts w:hint="eastAsia" w:ascii="宋体" w:hAnsi="宋体" w:cs="Calibri"/>
          <w:b/>
          <w:bCs/>
          <w:kern w:val="0"/>
          <w:sz w:val="22"/>
        </w:rPr>
        <w:t>服务</w:t>
      </w:r>
      <w:r>
        <w:rPr>
          <w:rFonts w:ascii="宋体" w:hAnsi="宋体" w:cs="Calibri"/>
          <w:b/>
          <w:bCs/>
          <w:kern w:val="0"/>
          <w:sz w:val="22"/>
        </w:rPr>
        <w:t>期</w:t>
      </w:r>
      <w:bookmarkEnd w:id="49"/>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r>
        <w:rPr>
          <w:rFonts w:hint="eastAsia" w:ascii="宋体" w:hAnsi="宋体" w:cs="Calibri"/>
          <w:b/>
          <w:bCs/>
          <w:kern w:val="0"/>
          <w:sz w:val="22"/>
        </w:rPr>
        <w:t>1.8 质量要求</w:t>
      </w:r>
    </w:p>
    <w:p>
      <w:pPr>
        <w:adjustRightInd w:val="0"/>
        <w:snapToGrid w:val="0"/>
        <w:spacing w:line="360" w:lineRule="exact"/>
        <w:ind w:firstLine="440" w:firstLineChars="200"/>
        <w:rPr>
          <w:rFonts w:ascii="宋体" w:hAnsi="宋体" w:cs="Calibri"/>
          <w:color w:val="000000"/>
          <w:sz w:val="22"/>
        </w:rPr>
      </w:pPr>
      <w:bookmarkStart w:id="50" w:name="_Toc13907"/>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w:t>
      </w:r>
      <w:r>
        <w:rPr>
          <w:rFonts w:hint="eastAsia" w:ascii="宋体" w:hAnsi="宋体" w:cs="Calibri"/>
          <w:b/>
          <w:bCs/>
          <w:kern w:val="0"/>
          <w:sz w:val="22"/>
        </w:rPr>
        <w:t>9</w:t>
      </w:r>
      <w:r>
        <w:rPr>
          <w:rFonts w:ascii="宋体" w:hAnsi="宋体" w:cs="Calibri"/>
          <w:b/>
          <w:bCs/>
          <w:kern w:val="0"/>
          <w:sz w:val="22"/>
        </w:rPr>
        <w:t xml:space="preserve"> 踏勘现场</w:t>
      </w:r>
      <w:bookmarkEnd w:id="50"/>
    </w:p>
    <w:p>
      <w:pPr>
        <w:adjustRightInd w:val="0"/>
        <w:snapToGrid w:val="0"/>
        <w:spacing w:line="360" w:lineRule="exact"/>
        <w:ind w:firstLine="440" w:firstLineChars="200"/>
        <w:rPr>
          <w:rFonts w:ascii="宋体" w:hAnsi="宋体" w:cs="Calibri"/>
          <w:color w:val="000000"/>
          <w:sz w:val="22"/>
        </w:rPr>
      </w:pPr>
      <w:r>
        <w:rPr>
          <w:rFonts w:ascii="宋体" w:hAnsi="宋体" w:cs="Calibri"/>
          <w:sz w:val="22"/>
        </w:rPr>
        <w:t>1.</w:t>
      </w:r>
      <w:r>
        <w:rPr>
          <w:rFonts w:hint="eastAsia" w:ascii="宋体" w:hAnsi="宋体" w:cs="Calibri"/>
          <w:sz w:val="22"/>
        </w:rPr>
        <w:t>9</w:t>
      </w:r>
      <w:r>
        <w:rPr>
          <w:rFonts w:ascii="宋体" w:hAnsi="宋体" w:cs="Calibri"/>
          <w:sz w:val="22"/>
        </w:rPr>
        <w:t>.1</w:t>
      </w:r>
      <w:r>
        <w:rPr>
          <w:rFonts w:ascii="宋体" w:hAnsi="宋体" w:cs="Calibri"/>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1.</w:t>
      </w:r>
      <w:r>
        <w:rPr>
          <w:rFonts w:hint="eastAsia" w:ascii="宋体" w:hAnsi="宋体" w:cs="Calibri"/>
          <w:color w:val="000000"/>
          <w:sz w:val="22"/>
        </w:rPr>
        <w:t>9</w:t>
      </w:r>
      <w:r>
        <w:rPr>
          <w:rFonts w:ascii="宋体" w:hAnsi="宋体" w:cs="Calibri"/>
          <w:color w:val="000000"/>
          <w:sz w:val="22"/>
        </w:rPr>
        <w:t>.2 投标人踏勘现场发生的费用自理。</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1.</w:t>
      </w:r>
      <w:r>
        <w:rPr>
          <w:rFonts w:hint="eastAsia" w:ascii="宋体" w:hAnsi="宋体" w:cs="Calibri"/>
          <w:color w:val="000000"/>
          <w:sz w:val="22"/>
        </w:rPr>
        <w:t>9</w:t>
      </w:r>
      <w:r>
        <w:rPr>
          <w:rFonts w:ascii="宋体" w:hAnsi="宋体" w:cs="Calibri"/>
          <w:color w:val="000000"/>
          <w:sz w:val="22"/>
        </w:rPr>
        <w:t>.3 投标人自行负责在踏勘现场中所发生的人员伤亡和财产损失。</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1.</w:t>
      </w:r>
      <w:r>
        <w:rPr>
          <w:rFonts w:hint="eastAsia" w:ascii="宋体" w:hAnsi="宋体" w:cs="Calibri"/>
          <w:color w:val="000000"/>
          <w:sz w:val="22"/>
        </w:rPr>
        <w:t>9</w:t>
      </w:r>
      <w:r>
        <w:rPr>
          <w:rFonts w:ascii="宋体" w:hAnsi="宋体" w:cs="Calibri"/>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ascii="宋体" w:hAnsi="宋体" w:cs="Calibri"/>
          <w:b/>
          <w:bCs/>
          <w:kern w:val="0"/>
          <w:sz w:val="22"/>
        </w:rPr>
      </w:pPr>
      <w:bookmarkStart w:id="51" w:name="_Toc4199"/>
      <w:r>
        <w:rPr>
          <w:rFonts w:ascii="宋体" w:hAnsi="宋体" w:cs="Calibri"/>
          <w:b/>
          <w:bCs/>
          <w:kern w:val="0"/>
          <w:sz w:val="22"/>
        </w:rPr>
        <w:t>1.</w:t>
      </w:r>
      <w:r>
        <w:rPr>
          <w:rFonts w:hint="eastAsia" w:ascii="宋体" w:hAnsi="宋体" w:cs="Calibri"/>
          <w:b/>
          <w:bCs/>
          <w:kern w:val="0"/>
          <w:sz w:val="22"/>
        </w:rPr>
        <w:t>10</w:t>
      </w:r>
      <w:r>
        <w:rPr>
          <w:rFonts w:ascii="宋体" w:hAnsi="宋体" w:cs="Calibri"/>
          <w:b/>
          <w:bCs/>
          <w:kern w:val="0"/>
          <w:sz w:val="22"/>
        </w:rPr>
        <w:t xml:space="preserve"> 投标预备会</w:t>
      </w:r>
      <w:bookmarkEnd w:id="51"/>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52" w:name="_Toc4584"/>
      <w:r>
        <w:rPr>
          <w:rFonts w:ascii="宋体" w:hAnsi="宋体" w:cs="Calibri"/>
          <w:b/>
          <w:bCs/>
          <w:kern w:val="0"/>
          <w:sz w:val="22"/>
        </w:rPr>
        <w:t>1.1</w:t>
      </w:r>
      <w:r>
        <w:rPr>
          <w:rFonts w:hint="eastAsia" w:ascii="宋体" w:hAnsi="宋体" w:cs="Calibri"/>
          <w:b/>
          <w:bCs/>
          <w:kern w:val="0"/>
          <w:sz w:val="22"/>
        </w:rPr>
        <w:t>1</w:t>
      </w:r>
      <w:r>
        <w:rPr>
          <w:rFonts w:ascii="宋体" w:hAnsi="宋体" w:cs="Calibri"/>
          <w:b/>
          <w:bCs/>
          <w:kern w:val="0"/>
          <w:sz w:val="22"/>
        </w:rPr>
        <w:t xml:space="preserve"> 分包</w:t>
      </w:r>
      <w:bookmarkEnd w:id="52"/>
    </w:p>
    <w:p>
      <w:pPr>
        <w:adjustRightInd w:val="0"/>
        <w:snapToGrid w:val="0"/>
        <w:spacing w:line="360" w:lineRule="exact"/>
        <w:ind w:firstLine="420" w:firstLineChars="200"/>
        <w:rPr>
          <w:rFonts w:cs="Calibri"/>
          <w:color w:val="000000"/>
          <w:szCs w:val="21"/>
        </w:rPr>
      </w:pPr>
      <w:bookmarkStart w:id="53" w:name="_Toc3996"/>
      <w:r>
        <w:rPr>
          <w:rFonts w:cs="Calibri"/>
          <w:color w:val="000000"/>
          <w:szCs w:val="21"/>
        </w:rPr>
        <w:t>本项目不允许分包。</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1.1</w:t>
      </w:r>
      <w:r>
        <w:rPr>
          <w:rFonts w:hint="eastAsia" w:ascii="宋体" w:hAnsi="宋体" w:cs="Calibri"/>
          <w:b/>
          <w:bCs/>
          <w:kern w:val="0"/>
          <w:sz w:val="22"/>
        </w:rPr>
        <w:t>2</w:t>
      </w:r>
      <w:r>
        <w:rPr>
          <w:rFonts w:ascii="宋体" w:hAnsi="宋体" w:cs="Calibri"/>
          <w:b/>
          <w:bCs/>
          <w:kern w:val="0"/>
          <w:sz w:val="22"/>
        </w:rPr>
        <w:t xml:space="preserve"> 投标费用</w:t>
      </w:r>
      <w:bookmarkEnd w:id="53"/>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投标人在投标过程中的一切费用，不论中标与否，均由投标人自理。</w:t>
      </w:r>
    </w:p>
    <w:p>
      <w:pPr>
        <w:autoSpaceDE w:val="0"/>
        <w:autoSpaceDN w:val="0"/>
        <w:adjustRightInd w:val="0"/>
        <w:snapToGrid w:val="0"/>
        <w:spacing w:line="360" w:lineRule="exact"/>
        <w:rPr>
          <w:rFonts w:ascii="宋体" w:hAnsi="宋体" w:cs="Calibri"/>
          <w:b/>
          <w:bCs/>
          <w:kern w:val="0"/>
          <w:sz w:val="22"/>
        </w:rPr>
      </w:pPr>
      <w:bookmarkStart w:id="54" w:name="_Toc143421657"/>
      <w:bookmarkStart w:id="55" w:name="_Toc15241"/>
      <w:r>
        <w:rPr>
          <w:rFonts w:ascii="宋体" w:hAnsi="宋体" w:cs="Calibri"/>
          <w:b/>
          <w:bCs/>
          <w:kern w:val="0"/>
          <w:sz w:val="22"/>
        </w:rPr>
        <w:t>2.招标文件</w:t>
      </w:r>
      <w:bookmarkEnd w:id="54"/>
      <w:bookmarkEnd w:id="55"/>
    </w:p>
    <w:p>
      <w:pPr>
        <w:autoSpaceDE w:val="0"/>
        <w:autoSpaceDN w:val="0"/>
        <w:adjustRightInd w:val="0"/>
        <w:snapToGrid w:val="0"/>
        <w:spacing w:line="360" w:lineRule="exact"/>
        <w:rPr>
          <w:rFonts w:ascii="宋体" w:hAnsi="宋体" w:cs="Calibri"/>
          <w:b/>
          <w:bCs/>
          <w:kern w:val="0"/>
          <w:sz w:val="22"/>
        </w:rPr>
      </w:pPr>
      <w:bookmarkStart w:id="56" w:name="_Toc1426"/>
      <w:r>
        <w:rPr>
          <w:rFonts w:ascii="宋体" w:hAnsi="宋体" w:cs="Calibri"/>
          <w:b/>
          <w:bCs/>
          <w:kern w:val="0"/>
          <w:sz w:val="22"/>
        </w:rPr>
        <w:t>2.1 招标文件的组成</w:t>
      </w:r>
      <w:bookmarkEnd w:id="56"/>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本招标文件包括：</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（1）招标公告</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（2）投标人须知</w:t>
      </w:r>
    </w:p>
    <w:p>
      <w:pPr>
        <w:adjustRightInd w:val="0"/>
        <w:snapToGrid w:val="0"/>
        <w:spacing w:line="360" w:lineRule="exact"/>
        <w:ind w:firstLine="440" w:firstLineChars="200"/>
        <w:rPr>
          <w:rFonts w:ascii="宋体" w:hAnsi="宋体" w:cs="Calibri"/>
          <w:kern w:val="0"/>
          <w:sz w:val="22"/>
        </w:rPr>
      </w:pPr>
      <w:r>
        <w:rPr>
          <w:rFonts w:ascii="宋体" w:hAnsi="宋体" w:cs="Calibri"/>
          <w:color w:val="000000"/>
          <w:kern w:val="0"/>
          <w:sz w:val="22"/>
        </w:rPr>
        <w:t>（3）</w:t>
      </w:r>
      <w:r>
        <w:rPr>
          <w:rFonts w:hint="eastAsia" w:ascii="宋体" w:hAnsi="宋体" w:cs="宋体"/>
          <w:color w:val="000000"/>
          <w:szCs w:val="21"/>
        </w:rPr>
        <w:t>勘察设计任务书</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w:t>
      </w:r>
      <w:r>
        <w:rPr>
          <w:rFonts w:hint="eastAsia" w:ascii="宋体" w:hAnsi="宋体" w:cs="Calibri"/>
          <w:color w:val="000000"/>
          <w:kern w:val="0"/>
          <w:sz w:val="22"/>
        </w:rPr>
        <w:t>4</w:t>
      </w:r>
      <w:r>
        <w:rPr>
          <w:rFonts w:ascii="宋体" w:hAnsi="宋体" w:cs="Calibri"/>
          <w:color w:val="000000"/>
          <w:kern w:val="0"/>
          <w:sz w:val="22"/>
        </w:rPr>
        <w:t>）合同条款</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w:t>
      </w:r>
      <w:r>
        <w:rPr>
          <w:rFonts w:hint="eastAsia" w:ascii="宋体" w:hAnsi="宋体" w:cs="Calibri"/>
          <w:color w:val="000000"/>
          <w:kern w:val="0"/>
          <w:sz w:val="22"/>
        </w:rPr>
        <w:t>5</w:t>
      </w:r>
      <w:r>
        <w:rPr>
          <w:rFonts w:ascii="宋体" w:hAnsi="宋体" w:cs="Calibri"/>
          <w:color w:val="000000"/>
          <w:kern w:val="0"/>
          <w:sz w:val="22"/>
        </w:rPr>
        <w:t>）评标办法及标准</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w:t>
      </w:r>
      <w:r>
        <w:rPr>
          <w:rFonts w:hint="eastAsia" w:ascii="宋体" w:hAnsi="宋体" w:cs="Calibri"/>
          <w:color w:val="000000"/>
          <w:kern w:val="0"/>
          <w:sz w:val="22"/>
        </w:rPr>
        <w:t>6</w:t>
      </w:r>
      <w:r>
        <w:rPr>
          <w:rFonts w:ascii="宋体" w:hAnsi="宋体" w:cs="Calibri"/>
          <w:color w:val="000000"/>
          <w:kern w:val="0"/>
          <w:sz w:val="22"/>
        </w:rPr>
        <w:t>）投标文件格式</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sz w:val="22"/>
        </w:rPr>
        <w:t>根据本须知第2.2款和2.3款对招标文件做出的澄清、修改，构成招标文件的组成部分。</w:t>
      </w:r>
    </w:p>
    <w:p>
      <w:pPr>
        <w:autoSpaceDE w:val="0"/>
        <w:autoSpaceDN w:val="0"/>
        <w:adjustRightInd w:val="0"/>
        <w:snapToGrid w:val="0"/>
        <w:spacing w:line="360" w:lineRule="exact"/>
        <w:rPr>
          <w:rFonts w:ascii="宋体" w:hAnsi="宋体" w:cs="Calibri"/>
          <w:b/>
          <w:bCs/>
          <w:kern w:val="0"/>
          <w:sz w:val="22"/>
        </w:rPr>
      </w:pPr>
      <w:bookmarkStart w:id="57" w:name="_Toc18230"/>
      <w:r>
        <w:rPr>
          <w:rFonts w:ascii="宋体" w:hAnsi="宋体" w:cs="Calibri"/>
          <w:b/>
          <w:bCs/>
          <w:kern w:val="0"/>
          <w:sz w:val="22"/>
        </w:rPr>
        <w:t>2.2 招标文件的澄清</w:t>
      </w:r>
      <w:bookmarkEnd w:id="57"/>
    </w:p>
    <w:p>
      <w:pPr>
        <w:adjustRightInd w:val="0"/>
        <w:snapToGrid w:val="0"/>
        <w:spacing w:line="360" w:lineRule="exact"/>
        <w:ind w:firstLine="440"/>
        <w:rPr>
          <w:rFonts w:ascii="宋体" w:hAnsi="宋体" w:cs="Calibri"/>
          <w:color w:val="000000"/>
          <w:sz w:val="22"/>
        </w:rPr>
      </w:pPr>
      <w:bookmarkStart w:id="58" w:name="_Toc18303"/>
      <w:r>
        <w:rPr>
          <w:rFonts w:ascii="宋体" w:hAnsi="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2.2.2</w:t>
      </w:r>
      <w:r>
        <w:rPr>
          <w:rFonts w:hint="eastAsia" w:ascii="宋体" w:hAnsi="宋体" w:cs="Calibri"/>
          <w:kern w:val="0"/>
          <w:sz w:val="22"/>
        </w:rPr>
        <w:t>招标人将视情况采用补充公告的方式予以澄清。</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2.3 招标文件的修改</w:t>
      </w:r>
      <w:bookmarkEnd w:id="58"/>
    </w:p>
    <w:p>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2.3.1</w:t>
      </w: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2.3.2</w:t>
      </w:r>
      <w:r>
        <w:rPr>
          <w:rFonts w:hint="eastAsia" w:ascii="宋体" w:hAnsi="宋体" w:cs="Calibri"/>
          <w:color w:val="000000"/>
          <w:sz w:val="22"/>
        </w:rPr>
        <w:t>招标文件的修改为招标文件的组成部分，对投标人有约束力。</w:t>
      </w:r>
    </w:p>
    <w:p>
      <w:pPr>
        <w:autoSpaceDE w:val="0"/>
        <w:autoSpaceDN w:val="0"/>
        <w:adjustRightInd w:val="0"/>
        <w:snapToGrid w:val="0"/>
        <w:spacing w:line="360" w:lineRule="exact"/>
        <w:rPr>
          <w:rFonts w:ascii="宋体" w:hAnsi="宋体" w:cs="Calibri"/>
          <w:b/>
          <w:bCs/>
          <w:kern w:val="0"/>
          <w:sz w:val="22"/>
        </w:rPr>
      </w:pPr>
      <w:bookmarkStart w:id="59" w:name="_Toc143421658"/>
      <w:bookmarkStart w:id="60" w:name="_Toc18870"/>
      <w:r>
        <w:rPr>
          <w:rFonts w:ascii="宋体" w:hAnsi="宋体" w:cs="Calibri"/>
          <w:b/>
          <w:bCs/>
          <w:kern w:val="0"/>
          <w:sz w:val="22"/>
        </w:rPr>
        <w:t>3.投标文件</w:t>
      </w:r>
      <w:bookmarkEnd w:id="59"/>
      <w:bookmarkEnd w:id="60"/>
    </w:p>
    <w:p>
      <w:pPr>
        <w:autoSpaceDE w:val="0"/>
        <w:autoSpaceDN w:val="0"/>
        <w:adjustRightInd w:val="0"/>
        <w:snapToGrid w:val="0"/>
        <w:spacing w:line="360" w:lineRule="exact"/>
        <w:rPr>
          <w:rFonts w:ascii="宋体" w:hAnsi="宋体" w:cs="Calibri"/>
          <w:b/>
          <w:bCs/>
          <w:kern w:val="0"/>
          <w:sz w:val="22"/>
        </w:rPr>
      </w:pPr>
      <w:bookmarkStart w:id="61" w:name="_Toc461"/>
      <w:r>
        <w:rPr>
          <w:rFonts w:ascii="宋体" w:hAnsi="宋体" w:cs="Calibri"/>
          <w:b/>
          <w:bCs/>
          <w:kern w:val="0"/>
          <w:sz w:val="22"/>
        </w:rPr>
        <w:t>3.1 投标文件的语言和计量单位</w:t>
      </w:r>
      <w:bookmarkEnd w:id="61"/>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sz w:val="22"/>
        </w:rPr>
        <w:t>3.1.1投标文件与投标有关的所有文件均应使用中文。</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3.1.2除规范另有规定外，投标文件使用的度量衡单位，均采用中华人民共和国法定计量单位。</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3.1.3招标文件中的“天”除特别说明外，均为日历天。</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3.1.4招标文件中所指的“合同”除特别说明外，指 “</w:t>
      </w:r>
      <w:r>
        <w:rPr>
          <w:rFonts w:hint="eastAsia" w:ascii="宋体" w:hAnsi="宋体" w:cs="Calibri"/>
          <w:color w:val="000000"/>
          <w:kern w:val="0"/>
          <w:sz w:val="22"/>
        </w:rPr>
        <w:t>服务</w:t>
      </w:r>
      <w:r>
        <w:rPr>
          <w:rFonts w:ascii="宋体" w:hAnsi="宋体" w:cs="Calibri"/>
          <w:color w:val="000000"/>
          <w:kern w:val="0"/>
          <w:sz w:val="22"/>
        </w:rPr>
        <w:t>合同”。</w:t>
      </w:r>
    </w:p>
    <w:p>
      <w:pPr>
        <w:autoSpaceDE w:val="0"/>
        <w:autoSpaceDN w:val="0"/>
        <w:adjustRightInd w:val="0"/>
        <w:snapToGrid w:val="0"/>
        <w:spacing w:line="360" w:lineRule="exact"/>
        <w:rPr>
          <w:rFonts w:ascii="宋体" w:hAnsi="宋体" w:cs="Calibri"/>
          <w:b/>
          <w:bCs/>
          <w:kern w:val="0"/>
          <w:sz w:val="22"/>
        </w:rPr>
      </w:pPr>
      <w:bookmarkStart w:id="62" w:name="_Toc1411"/>
      <w:r>
        <w:rPr>
          <w:rFonts w:ascii="宋体" w:hAnsi="宋体" w:cs="Calibri"/>
          <w:b/>
          <w:bCs/>
          <w:kern w:val="0"/>
          <w:sz w:val="22"/>
        </w:rPr>
        <w:t>3.2 投标文件的组成</w:t>
      </w:r>
      <w:bookmarkEnd w:id="62"/>
    </w:p>
    <w:p>
      <w:pPr>
        <w:adjustRightInd w:val="0"/>
        <w:snapToGrid w:val="0"/>
        <w:spacing w:line="360" w:lineRule="exact"/>
        <w:ind w:firstLine="440" w:firstLineChars="200"/>
        <w:rPr>
          <w:rFonts w:ascii="宋体" w:hAnsi="宋体" w:cs="Calibri"/>
          <w:color w:val="000000"/>
          <w:sz w:val="22"/>
        </w:rPr>
      </w:pPr>
      <w:bookmarkStart w:id="63" w:name="_Toc32225"/>
      <w:r>
        <w:rPr>
          <w:rFonts w:ascii="宋体" w:hAnsi="宋体" w:cs="Calibri"/>
          <w:color w:val="000000"/>
          <w:sz w:val="22"/>
        </w:rPr>
        <w:t>3.2.1投标函；</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2</w:t>
      </w:r>
      <w:r>
        <w:rPr>
          <w:rFonts w:ascii="宋体" w:hAnsi="宋体" w:cs="Calibri"/>
          <w:color w:val="000000"/>
          <w:sz w:val="22"/>
        </w:rPr>
        <w:t>法定代表人资格证明书；</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3</w:t>
      </w:r>
      <w:r>
        <w:rPr>
          <w:rFonts w:ascii="宋体" w:hAnsi="宋体" w:cs="Calibri"/>
          <w:color w:val="000000"/>
          <w:sz w:val="22"/>
        </w:rPr>
        <w:t>授权委托书；</w:t>
      </w:r>
    </w:p>
    <w:p>
      <w:pPr>
        <w:adjustRightInd w:val="0"/>
        <w:snapToGrid w:val="0"/>
        <w:spacing w:line="360" w:lineRule="exact"/>
        <w:ind w:firstLine="440" w:firstLineChars="200"/>
        <w:rPr>
          <w:rFonts w:hint="eastAsia" w:ascii="宋体" w:hAnsi="宋体" w:cs="Calibri"/>
          <w:color w:val="000000"/>
          <w:sz w:val="22"/>
        </w:rPr>
      </w:pPr>
      <w:r>
        <w:rPr>
          <w:rFonts w:ascii="宋体" w:hAnsi="宋体" w:cs="Calibri"/>
          <w:color w:val="000000"/>
          <w:sz w:val="22"/>
        </w:rPr>
        <w:t>3.2.</w:t>
      </w:r>
      <w:r>
        <w:rPr>
          <w:rFonts w:hint="eastAsia" w:ascii="宋体" w:hAnsi="宋体" w:cs="Calibri"/>
          <w:color w:val="000000"/>
          <w:sz w:val="22"/>
        </w:rPr>
        <w:t>4</w:t>
      </w:r>
      <w:r>
        <w:rPr>
          <w:rFonts w:ascii="宋体" w:hAnsi="宋体" w:cs="Calibri"/>
          <w:color w:val="000000"/>
          <w:sz w:val="22"/>
        </w:rPr>
        <w:t xml:space="preserve"> 投标报价表；</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5</w:t>
      </w:r>
      <w:r>
        <w:rPr>
          <w:rFonts w:ascii="宋体" w:hAnsi="宋体" w:cs="Calibri"/>
          <w:color w:val="000000"/>
          <w:sz w:val="22"/>
        </w:rPr>
        <w:t>投标人资格证明文件：</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（1）投标人一般情况</w:t>
      </w:r>
      <w:r>
        <w:rPr>
          <w:rFonts w:hint="eastAsia" w:ascii="宋体" w:hAnsi="宋体" w:cs="Calibri"/>
          <w:color w:val="000000"/>
          <w:sz w:val="22"/>
        </w:rPr>
        <w:t>及</w:t>
      </w:r>
      <w:r>
        <w:rPr>
          <w:rFonts w:ascii="宋体" w:hAnsi="宋体" w:cs="Calibri"/>
          <w:color w:val="000000"/>
          <w:sz w:val="22"/>
        </w:rPr>
        <w:t>有关证明投标人法律地位的文件（包括营业执照</w:t>
      </w:r>
      <w:r>
        <w:rPr>
          <w:rFonts w:hint="eastAsia" w:ascii="宋体" w:hAnsi="宋体" w:cs="Calibri"/>
          <w:color w:val="000000"/>
          <w:sz w:val="22"/>
        </w:rPr>
        <w:t>、</w:t>
      </w:r>
      <w:r>
        <w:rPr>
          <w:rFonts w:hint="eastAsia" w:ascii="宋体" w:hAnsi="宋体" w:cs="Calibri"/>
          <w:sz w:val="22"/>
        </w:rPr>
        <w:t>税务登记证、</w:t>
      </w:r>
      <w:r>
        <w:rPr>
          <w:rFonts w:ascii="宋体" w:hAnsi="宋体" w:cs="Calibri"/>
          <w:sz w:val="22"/>
        </w:rPr>
        <w:t>一般纳税人证明材料</w:t>
      </w:r>
      <w:r>
        <w:rPr>
          <w:rFonts w:hint="eastAsia" w:ascii="宋体" w:hAnsi="宋体" w:cs="Calibri"/>
          <w:sz w:val="22"/>
        </w:rPr>
        <w:t>、</w:t>
      </w:r>
      <w:r>
        <w:rPr>
          <w:rFonts w:ascii="宋体" w:hAnsi="宋体" w:cs="Calibri"/>
          <w:color w:val="000000"/>
          <w:sz w:val="22"/>
        </w:rPr>
        <w:t>资质</w:t>
      </w:r>
      <w:r>
        <w:rPr>
          <w:rFonts w:hint="eastAsia" w:ascii="宋体" w:hAnsi="宋体" w:cs="Calibri"/>
          <w:color w:val="000000"/>
          <w:sz w:val="22"/>
        </w:rPr>
        <w:t>证书</w:t>
      </w:r>
      <w:r>
        <w:rPr>
          <w:rFonts w:ascii="宋体" w:hAnsi="宋体" w:cs="Calibri"/>
          <w:color w:val="000000"/>
          <w:sz w:val="22"/>
        </w:rPr>
        <w:t>等），说明投标人的注册地点和主要经营范围；</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（2）有关证明投标人的企业信誉及获得各种奖励等资料；</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（3）投标人经济实力：包括企业注册资金、财务报告与报表中反映的财务状况</w:t>
      </w:r>
      <w:r>
        <w:rPr>
          <w:rFonts w:hint="eastAsia" w:ascii="宋体" w:hAnsi="宋体" w:cs="Calibri"/>
          <w:color w:val="000000"/>
          <w:sz w:val="22"/>
        </w:rPr>
        <w:t>；</w:t>
      </w:r>
    </w:p>
    <w:p>
      <w:pPr>
        <w:adjustRightInd w:val="0"/>
        <w:snapToGrid w:val="0"/>
        <w:spacing w:line="360" w:lineRule="exact"/>
        <w:ind w:firstLine="440" w:firstLineChars="200"/>
        <w:rPr>
          <w:rFonts w:ascii="宋体" w:hAnsi="宋体" w:cs="Calibri"/>
          <w:color w:val="000000"/>
          <w:sz w:val="22"/>
        </w:rPr>
      </w:pPr>
      <w:r>
        <w:rPr>
          <w:rFonts w:hint="eastAsia" w:ascii="宋体" w:hAnsi="宋体" w:cs="Calibri"/>
          <w:color w:val="000000"/>
          <w:sz w:val="22"/>
        </w:rPr>
        <w:t>（4）</w:t>
      </w:r>
      <w:r>
        <w:rPr>
          <w:rFonts w:ascii="宋体" w:hAnsi="宋体" w:cs="Calibri"/>
          <w:color w:val="000000"/>
          <w:sz w:val="22"/>
        </w:rPr>
        <w:t>近三年</w:t>
      </w:r>
      <w:r>
        <w:rPr>
          <w:rFonts w:hint="eastAsia"/>
          <w:szCs w:val="21"/>
        </w:rPr>
        <w:t>（</w:t>
      </w:r>
      <w:r>
        <w:rPr>
          <w:szCs w:val="21"/>
        </w:rPr>
        <w:t>201</w:t>
      </w:r>
      <w:r>
        <w:rPr>
          <w:rFonts w:hint="eastAsia"/>
          <w:szCs w:val="21"/>
        </w:rPr>
        <w:t>7年1月1日至今）</w:t>
      </w:r>
      <w:r>
        <w:rPr>
          <w:rFonts w:ascii="宋体" w:hAnsi="宋体" w:cs="Calibri"/>
          <w:color w:val="000000"/>
          <w:sz w:val="22"/>
        </w:rPr>
        <w:t>完成类似项目业绩情况</w:t>
      </w:r>
      <w:r>
        <w:rPr>
          <w:rFonts w:hint="eastAsia" w:ascii="宋体" w:hAnsi="宋体" w:cs="Calibri"/>
          <w:color w:val="000000"/>
          <w:sz w:val="22"/>
        </w:rPr>
        <w:t>。</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 xml:space="preserve">6 </w:t>
      </w:r>
      <w:r>
        <w:rPr>
          <w:rFonts w:ascii="宋体" w:hAnsi="宋体" w:cs="Calibri"/>
          <w:color w:val="000000"/>
          <w:sz w:val="22"/>
        </w:rPr>
        <w:t>服务大纲</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（1）本项目概况；</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（2）工作内容和依据；</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（3）服务管理班子的组织结构形式；</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（4）服务人员的作业安排和进场计划；</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（5）服务人员工作守则；</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（6）对本项目的实施意见及重点</w:t>
      </w:r>
      <w:r>
        <w:rPr>
          <w:rFonts w:hint="eastAsia" w:ascii="宋体" w:hAnsi="宋体" w:cs="Calibri"/>
          <w:color w:val="000000"/>
          <w:sz w:val="22"/>
        </w:rPr>
        <w:t>、</w:t>
      </w:r>
      <w:r>
        <w:rPr>
          <w:rFonts w:ascii="宋体" w:hAnsi="宋体" w:cs="Calibri"/>
          <w:color w:val="000000"/>
          <w:sz w:val="22"/>
        </w:rPr>
        <w:t>难点控制；</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（7）投入到本项目的项目负责人、其他人员的情况汇总表及业绩、经历、能力介绍、资格证明材料及人员到位率的承诺；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（8）投入本项目服务的仪器、仪表、设备及交通工具汇总表</w:t>
      </w:r>
      <w:r>
        <w:rPr>
          <w:rFonts w:hint="eastAsia" w:ascii="宋体" w:hAnsi="宋体" w:cs="Calibri"/>
          <w:color w:val="000000"/>
          <w:sz w:val="22"/>
        </w:rPr>
        <w:t>。</w:t>
      </w:r>
    </w:p>
    <w:p>
      <w:pPr>
        <w:adjustRightInd w:val="0"/>
        <w:snapToGrid w:val="0"/>
        <w:spacing w:line="360" w:lineRule="exact"/>
        <w:ind w:firstLine="440" w:firstLineChars="200"/>
        <w:rPr>
          <w:rFonts w:ascii="宋体" w:hAnsi="宋体"/>
          <w:sz w:val="22"/>
        </w:rPr>
      </w:pPr>
      <w:r>
        <w:rPr>
          <w:rFonts w:ascii="宋体" w:hAnsi="宋体" w:cs="Calibri"/>
          <w:color w:val="000000"/>
          <w:sz w:val="22"/>
        </w:rPr>
        <w:t>3.2.</w:t>
      </w:r>
      <w:r>
        <w:rPr>
          <w:rFonts w:hint="eastAsia" w:ascii="宋体" w:hAnsi="宋体" w:cs="Calibri"/>
          <w:color w:val="000000"/>
          <w:sz w:val="22"/>
        </w:rPr>
        <w:t>7</w:t>
      </w:r>
      <w:r>
        <w:rPr>
          <w:rFonts w:hint="eastAsia" w:ascii="宋体" w:hAnsi="宋体" w:cs="Arial"/>
          <w:color w:val="000000"/>
          <w:sz w:val="22"/>
        </w:rPr>
        <w:t>投标人认为</w:t>
      </w:r>
      <w:r>
        <w:rPr>
          <w:rFonts w:ascii="宋体" w:hAnsi="宋体" w:cs="Arial"/>
          <w:color w:val="000000"/>
          <w:sz w:val="22"/>
        </w:rPr>
        <w:t>应该提供的其他材料</w:t>
      </w:r>
      <w:r>
        <w:rPr>
          <w:rFonts w:hint="eastAsia" w:ascii="宋体" w:hAnsi="宋体" w:cs="Arial"/>
          <w:color w:val="000000"/>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3.3 投标报价</w:t>
      </w:r>
      <w:bookmarkEnd w:id="63"/>
    </w:p>
    <w:p>
      <w:pPr>
        <w:adjustRightInd w:val="0"/>
        <w:snapToGrid w:val="0"/>
        <w:spacing w:line="360" w:lineRule="exact"/>
        <w:ind w:firstLine="440" w:firstLineChars="200"/>
        <w:rPr>
          <w:rFonts w:ascii="宋体" w:hAnsi="宋体" w:cs="Calibri"/>
          <w:color w:val="000000"/>
          <w:kern w:val="0"/>
          <w:sz w:val="22"/>
        </w:rPr>
      </w:pPr>
      <w:bookmarkStart w:id="64" w:name="_Toc13307"/>
      <w:r>
        <w:rPr>
          <w:rFonts w:ascii="宋体" w:hAnsi="宋体" w:cs="Calibri"/>
          <w:color w:val="000000"/>
          <w:kern w:val="0"/>
          <w:sz w:val="22"/>
        </w:rPr>
        <w:t>3.</w:t>
      </w:r>
      <w:r>
        <w:rPr>
          <w:rFonts w:hint="eastAsia" w:ascii="宋体" w:hAnsi="宋体" w:cs="Calibri"/>
          <w:color w:val="000000"/>
          <w:kern w:val="0"/>
          <w:sz w:val="22"/>
        </w:rPr>
        <w:t>3</w:t>
      </w:r>
      <w:r>
        <w:rPr>
          <w:rFonts w:ascii="宋体" w:hAnsi="宋体" w:cs="Calibri"/>
          <w:color w:val="000000"/>
          <w:kern w:val="0"/>
          <w:sz w:val="22"/>
        </w:rPr>
        <w:t>.1 投标人应按本招标文件中“投标文件格式”的要求填写相应表格。</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w:t>
      </w:r>
      <w:r>
        <w:rPr>
          <w:rFonts w:hint="eastAsia" w:ascii="宋体" w:hAnsi="宋体" w:cs="Calibri"/>
          <w:color w:val="000000"/>
          <w:kern w:val="0"/>
          <w:sz w:val="22"/>
        </w:rPr>
        <w:t>3</w:t>
      </w:r>
      <w:r>
        <w:rPr>
          <w:rFonts w:ascii="宋体" w:hAnsi="宋体" w:cs="Calibri"/>
          <w:color w:val="000000"/>
          <w:kern w:val="0"/>
          <w:sz w:val="22"/>
        </w:rPr>
        <w:t>.2 投标人在投标截止时间前修改投标函中的投标总报价，应同时修改本招标文件中“投标文件格式”中的相应报价。此修改须符合本章第4.3款的有关要求。</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w:t>
      </w:r>
      <w:r>
        <w:rPr>
          <w:rFonts w:hint="eastAsia" w:ascii="宋体" w:hAnsi="宋体" w:cs="Calibri"/>
          <w:color w:val="000000"/>
          <w:kern w:val="0"/>
          <w:sz w:val="22"/>
        </w:rPr>
        <w:t>3</w:t>
      </w:r>
      <w:r>
        <w:rPr>
          <w:rFonts w:ascii="宋体" w:hAnsi="宋体" w:cs="Calibri"/>
          <w:color w:val="000000"/>
          <w:kern w:val="0"/>
          <w:sz w:val="22"/>
        </w:rPr>
        <w:t>.3招标人设有最高投标限价的，投标人的投标报价不得超过最高投标限价，最高投标限价详见投标人须知前附表。</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w:t>
      </w:r>
      <w:r>
        <w:rPr>
          <w:rFonts w:hint="eastAsia" w:ascii="宋体" w:hAnsi="宋体" w:cs="Calibri"/>
          <w:color w:val="000000"/>
          <w:kern w:val="0"/>
          <w:sz w:val="22"/>
        </w:rPr>
        <w:t>3</w:t>
      </w:r>
      <w:r>
        <w:rPr>
          <w:rFonts w:ascii="宋体" w:hAnsi="宋体" w:cs="Calibri"/>
          <w:color w:val="000000"/>
          <w:kern w:val="0"/>
          <w:sz w:val="22"/>
        </w:rPr>
        <w:t>.4投标报价的其他要求</w:t>
      </w:r>
      <w:r>
        <w:rPr>
          <w:rFonts w:hint="eastAsia" w:ascii="宋体" w:hAnsi="宋体" w:cs="Calibri"/>
          <w:color w:val="000000"/>
          <w:kern w:val="0"/>
          <w:sz w:val="22"/>
        </w:rPr>
        <w:t>：</w:t>
      </w:r>
      <w:r>
        <w:rPr>
          <w:rFonts w:hint="eastAsia" w:ascii="宋体" w:hAnsi="宋体" w:cs="Calibri"/>
          <w:b/>
          <w:color w:val="000000"/>
          <w:kern w:val="0"/>
          <w:sz w:val="22"/>
          <w:u w:val="single"/>
        </w:rPr>
        <w:t>本项目采用固定总价报价方式，一次性包干。</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3.4 投标有效期</w:t>
      </w:r>
      <w:bookmarkEnd w:id="64"/>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3.4.1在投标人须知前附表规定的投标有效期内，投标人不得要求撤销和修改其投标文件。</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ascii="宋体" w:hAnsi="宋体" w:cs="Calibri"/>
          <w:b/>
          <w:bCs/>
          <w:kern w:val="0"/>
          <w:sz w:val="22"/>
        </w:rPr>
      </w:pPr>
      <w:bookmarkStart w:id="65" w:name="_Toc30464"/>
      <w:r>
        <w:rPr>
          <w:rFonts w:ascii="宋体" w:hAnsi="宋体" w:cs="Calibri"/>
          <w:b/>
          <w:bCs/>
          <w:kern w:val="0"/>
          <w:sz w:val="22"/>
        </w:rPr>
        <w:t>3.5 投标保证金</w:t>
      </w:r>
      <w:bookmarkEnd w:id="65"/>
      <w:r>
        <w:rPr>
          <w:rFonts w:hint="eastAsia" w:ascii="宋体" w:hAnsi="宋体" w:cs="Calibri"/>
          <w:b/>
          <w:bCs/>
          <w:kern w:val="0"/>
          <w:sz w:val="22"/>
        </w:rPr>
        <w:t>（如有）</w:t>
      </w:r>
    </w:p>
    <w:p>
      <w:pPr>
        <w:adjustRightInd w:val="0"/>
        <w:snapToGrid w:val="0"/>
        <w:spacing w:line="360" w:lineRule="exact"/>
        <w:ind w:firstLine="440"/>
        <w:rPr>
          <w:rFonts w:ascii="宋体" w:hAnsi="宋体" w:cs="Calibri"/>
          <w:kern w:val="0"/>
          <w:sz w:val="22"/>
        </w:rPr>
      </w:pPr>
      <w:bookmarkStart w:id="66" w:name="_Toc29989"/>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hint="eastAsia" w:ascii="宋体" w:hAnsi="宋体" w:cs="Calibri"/>
          <w:kern w:val="0"/>
          <w:sz w:val="22"/>
        </w:rPr>
        <w:t>中标人的投标保证金，将在与招标人签订合同后10个工作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ascii="宋体" w:hAnsi="宋体" w:cs="Calibri"/>
          <w:color w:val="000000"/>
          <w:kern w:val="0"/>
          <w:sz w:val="22"/>
        </w:rPr>
        <w:t>中标人在收到中标通知书后，</w:t>
      </w:r>
      <w:r>
        <w:rPr>
          <w:rFonts w:ascii="宋体" w:hAnsi="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3.6 投标文件的编制</w:t>
      </w:r>
      <w:bookmarkEnd w:id="66"/>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3.6.1 投标文件应按本须知第3.2款规定的内容和第</w:t>
      </w:r>
      <w:r>
        <w:rPr>
          <w:rFonts w:hint="eastAsia" w:ascii="宋体" w:hAnsi="宋体" w:cs="Calibri"/>
          <w:color w:val="000000"/>
          <w:sz w:val="22"/>
        </w:rPr>
        <w:t>六</w:t>
      </w:r>
      <w:r>
        <w:rPr>
          <w:rFonts w:ascii="宋体" w:hAnsi="宋体" w:cs="Calibri"/>
          <w:color w:val="000000"/>
          <w:sz w:val="22"/>
        </w:rPr>
        <w:t>章“投标文件格式”进行编写，如有必要，可以增加附页，作为投标文件的组成部分，“投标文件格式”中没有规定的可自行编制格式。其中，</w:t>
      </w:r>
      <w:r>
        <w:rPr>
          <w:rFonts w:hint="eastAsia" w:ascii="宋体" w:hAnsi="宋体" w:cs="Calibri"/>
          <w:sz w:val="22"/>
        </w:rPr>
        <w:t>服务期</w:t>
      </w:r>
      <w:r>
        <w:rPr>
          <w:rFonts w:ascii="宋体" w:hAnsi="宋体" w:cs="Calibri"/>
          <w:sz w:val="22"/>
        </w:rPr>
        <w:t>在满足招标文件实质性要求的基础上，可以提出比招标文件要求更有利于招标人的承诺。</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sz w:val="22"/>
        </w:rPr>
        <w:t xml:space="preserve">3.6.2 </w:t>
      </w:r>
      <w:r>
        <w:rPr>
          <w:rFonts w:ascii="宋体" w:hAnsi="宋体" w:cs="Calibri"/>
          <w:color w:val="000000"/>
          <w:kern w:val="0"/>
          <w:sz w:val="22"/>
        </w:rPr>
        <w:t>投标文件应对招标文件有关</w:t>
      </w:r>
      <w:r>
        <w:rPr>
          <w:rFonts w:hint="eastAsia" w:ascii="宋体" w:hAnsi="宋体" w:cs="Calibri"/>
          <w:color w:val="000000"/>
          <w:kern w:val="0"/>
          <w:sz w:val="22"/>
        </w:rPr>
        <w:t>服务</w:t>
      </w:r>
      <w:r>
        <w:rPr>
          <w:rFonts w:ascii="宋体" w:hAnsi="宋体" w:cs="Calibri"/>
          <w:color w:val="000000"/>
          <w:kern w:val="0"/>
          <w:sz w:val="22"/>
        </w:rPr>
        <w:t>期、投标有效期、招标</w:t>
      </w:r>
      <w:r>
        <w:rPr>
          <w:rFonts w:hint="eastAsia" w:ascii="宋体" w:hAnsi="宋体" w:cs="Calibri"/>
          <w:color w:val="000000"/>
          <w:kern w:val="0"/>
          <w:sz w:val="22"/>
        </w:rPr>
        <w:t>内容</w:t>
      </w:r>
      <w:r>
        <w:rPr>
          <w:rFonts w:ascii="宋体" w:hAnsi="宋体" w:cs="Calibri"/>
          <w:color w:val="000000"/>
          <w:kern w:val="0"/>
          <w:sz w:val="22"/>
        </w:rPr>
        <w:t>等实质性内容作出响应。</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ascii="宋体" w:hAnsi="宋体" w:cs="Calibri"/>
          <w:color w:val="000000"/>
          <w:kern w:val="0"/>
          <w:sz w:val="22"/>
        </w:rPr>
        <w:t>签字或盖章的具体要求见投标人须知前附表。</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3.6.4投标文件正本一份， 副本份数见投标人须知前附表。正本、副本的封面上应清楚地标记</w:t>
      </w:r>
      <w:r>
        <w:rPr>
          <w:rFonts w:ascii="宋体" w:hAnsi="宋体" w:cs="Calibri"/>
          <w:b/>
          <w:bCs/>
          <w:color w:val="000000"/>
          <w:sz w:val="22"/>
        </w:rPr>
        <w:t>“正本</w:t>
      </w:r>
      <w:r>
        <w:rPr>
          <w:rFonts w:ascii="宋体" w:hAnsi="宋体" w:cs="Calibri"/>
          <w:color w:val="000000"/>
          <w:sz w:val="22"/>
        </w:rPr>
        <w:t>”或“</w:t>
      </w:r>
      <w:r>
        <w:rPr>
          <w:rFonts w:ascii="宋体" w:hAnsi="宋体" w:cs="Calibri"/>
          <w:b/>
          <w:bCs/>
          <w:color w:val="000000"/>
          <w:sz w:val="22"/>
        </w:rPr>
        <w:t>副本</w:t>
      </w:r>
      <w:r>
        <w:rPr>
          <w:rFonts w:ascii="宋体" w:hAnsi="宋体" w:cs="Calibri"/>
          <w:color w:val="000000"/>
          <w:sz w:val="22"/>
        </w:rPr>
        <w:t>”的字样。当副本和正本不一致时，以正本为准。</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3.6.5投标文件的正本与副本应分别按A4规格装订成册，具体装订要求见投标人须知前附表规定。</w:t>
      </w:r>
      <w:bookmarkStart w:id="67" w:name="_Toc143421659"/>
    </w:p>
    <w:p>
      <w:pPr>
        <w:autoSpaceDE w:val="0"/>
        <w:autoSpaceDN w:val="0"/>
        <w:adjustRightInd w:val="0"/>
        <w:snapToGrid w:val="0"/>
        <w:spacing w:line="360" w:lineRule="exact"/>
        <w:rPr>
          <w:rFonts w:ascii="宋体" w:hAnsi="宋体" w:cs="Calibri"/>
          <w:b/>
          <w:bCs/>
          <w:kern w:val="0"/>
          <w:sz w:val="22"/>
        </w:rPr>
      </w:pPr>
      <w:bookmarkStart w:id="68" w:name="_Toc32652"/>
      <w:r>
        <w:rPr>
          <w:rFonts w:ascii="宋体" w:hAnsi="宋体" w:cs="Calibri"/>
          <w:b/>
          <w:bCs/>
          <w:kern w:val="0"/>
          <w:sz w:val="22"/>
        </w:rPr>
        <w:t>4.投标</w:t>
      </w:r>
      <w:bookmarkEnd w:id="67"/>
      <w:bookmarkEnd w:id="68"/>
    </w:p>
    <w:p>
      <w:pPr>
        <w:autoSpaceDE w:val="0"/>
        <w:autoSpaceDN w:val="0"/>
        <w:adjustRightInd w:val="0"/>
        <w:snapToGrid w:val="0"/>
        <w:spacing w:line="360" w:lineRule="exact"/>
        <w:rPr>
          <w:rFonts w:ascii="宋体" w:hAnsi="宋体" w:cs="Calibri"/>
          <w:b/>
          <w:bCs/>
          <w:kern w:val="0"/>
          <w:sz w:val="22"/>
        </w:rPr>
      </w:pPr>
      <w:bookmarkStart w:id="69" w:name="_Toc649"/>
      <w:r>
        <w:rPr>
          <w:rFonts w:ascii="宋体" w:hAnsi="宋体" w:cs="Calibri"/>
          <w:b/>
          <w:bCs/>
          <w:kern w:val="0"/>
          <w:sz w:val="22"/>
        </w:rPr>
        <w:t>4.1 投标文件的密封和标识</w:t>
      </w:r>
      <w:bookmarkEnd w:id="69"/>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sz w:val="22"/>
        </w:rPr>
        <w:t>4.1.1</w:t>
      </w:r>
      <w:r>
        <w:rPr>
          <w:rFonts w:ascii="宋体" w:hAnsi="宋体" w:cs="Calibri"/>
          <w:color w:val="000000"/>
          <w:kern w:val="0"/>
          <w:sz w:val="22"/>
        </w:rPr>
        <w:t>投标文件的正本、副本可一同</w:t>
      </w:r>
      <w:r>
        <w:rPr>
          <w:rFonts w:hint="eastAsia" w:ascii="宋体" w:hAnsi="宋体" w:cs="Calibri"/>
          <w:color w:val="000000"/>
          <w:kern w:val="0"/>
          <w:sz w:val="22"/>
        </w:rPr>
        <w:t>密封</w:t>
      </w:r>
      <w:r>
        <w:rPr>
          <w:rFonts w:ascii="宋体" w:hAnsi="宋体" w:cs="Calibri"/>
          <w:color w:val="000000"/>
          <w:kern w:val="0"/>
          <w:sz w:val="22"/>
        </w:rPr>
        <w:t>包装，并在封口处加盖投标人单位章或法定代表人盖章（或签字）或委托代理人盖章（或签字）。</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4.1.2 投标文件的封套上应清楚地标记“投标文件”字样，封套上应写明的其他内容见投标人须知前附表。</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4.1.3 未按本章第4.1.1项或第4.1.2项要求密封和加写标记的投标文件，招标人不予受理。</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4.1.</w:t>
      </w:r>
      <w:r>
        <w:rPr>
          <w:rFonts w:hint="eastAsia" w:ascii="宋体" w:hAnsi="宋体" w:cs="Calibri"/>
          <w:color w:val="000000"/>
          <w:kern w:val="0"/>
          <w:sz w:val="22"/>
        </w:rPr>
        <w:t>4</w:t>
      </w:r>
      <w:r>
        <w:rPr>
          <w:rFonts w:ascii="宋体" w:hAnsi="宋体" w:cs="Calibri"/>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ascii="宋体" w:hAnsi="宋体" w:cs="Calibri"/>
          <w:b/>
          <w:bCs/>
          <w:kern w:val="0"/>
          <w:sz w:val="22"/>
        </w:rPr>
      </w:pPr>
      <w:bookmarkStart w:id="70" w:name="_Toc16616"/>
      <w:r>
        <w:rPr>
          <w:rFonts w:ascii="宋体" w:hAnsi="宋体" w:cs="Calibri"/>
          <w:b/>
          <w:bCs/>
          <w:kern w:val="0"/>
          <w:sz w:val="22"/>
        </w:rPr>
        <w:t xml:space="preserve">4.2 投标文件的递交 </w:t>
      </w:r>
      <w:bookmarkEnd w:id="70"/>
    </w:p>
    <w:p>
      <w:pPr>
        <w:autoSpaceDE w:val="0"/>
        <w:autoSpaceDN w:val="0"/>
        <w:adjustRightInd w:val="0"/>
        <w:snapToGrid w:val="0"/>
        <w:spacing w:line="360" w:lineRule="exact"/>
        <w:ind w:firstLine="440" w:firstLineChars="200"/>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4.2.2投标人送达投标文件的地点：见投标人须知前附表。</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4.2.3除投标人须知前附表另有规定外，投标人所递交的投标文件不予退还。</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4.2.</w:t>
      </w:r>
      <w:r>
        <w:rPr>
          <w:rFonts w:hint="eastAsia" w:ascii="宋体" w:hAnsi="宋体" w:cs="Calibri"/>
          <w:color w:val="000000"/>
          <w:sz w:val="22"/>
        </w:rPr>
        <w:t>4</w:t>
      </w:r>
      <w:r>
        <w:rPr>
          <w:rFonts w:ascii="宋体" w:hAnsi="宋体" w:cs="Calibri"/>
          <w:color w:val="000000"/>
          <w:sz w:val="22"/>
        </w:rPr>
        <w:t>逾期送达的或者未送达指定地点的投标文件，招标人不予受理。</w:t>
      </w:r>
    </w:p>
    <w:p>
      <w:pPr>
        <w:autoSpaceDE w:val="0"/>
        <w:autoSpaceDN w:val="0"/>
        <w:adjustRightInd w:val="0"/>
        <w:snapToGrid w:val="0"/>
        <w:spacing w:line="360" w:lineRule="exact"/>
        <w:rPr>
          <w:rFonts w:ascii="宋体" w:hAnsi="宋体" w:cs="Calibri"/>
          <w:b/>
          <w:bCs/>
          <w:kern w:val="0"/>
          <w:sz w:val="22"/>
        </w:rPr>
      </w:pPr>
      <w:bookmarkStart w:id="71" w:name="_Toc26099"/>
      <w:r>
        <w:rPr>
          <w:rFonts w:ascii="宋体" w:hAnsi="宋体" w:cs="Calibri"/>
          <w:b/>
          <w:bCs/>
          <w:kern w:val="0"/>
          <w:sz w:val="22"/>
        </w:rPr>
        <w:t>4.3 投标文件的修改和撤回</w:t>
      </w:r>
      <w:bookmarkEnd w:id="71"/>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4.3.1在规定的投标截止时间前，投标人可以修改或撤回已递交的投标文件，但应以书面形式通知招标人。</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ascii="宋体" w:hAnsi="宋体" w:cs="Calibri"/>
          <w:b/>
          <w:bCs/>
          <w:kern w:val="0"/>
          <w:sz w:val="22"/>
        </w:rPr>
      </w:pPr>
      <w:bookmarkStart w:id="72" w:name="_Toc29641"/>
      <w:r>
        <w:rPr>
          <w:rFonts w:ascii="宋体" w:hAnsi="宋体" w:cs="Calibri"/>
          <w:b/>
          <w:bCs/>
          <w:kern w:val="0"/>
          <w:sz w:val="22"/>
        </w:rPr>
        <w:t>5.开标</w:t>
      </w:r>
      <w:bookmarkEnd w:id="72"/>
    </w:p>
    <w:p>
      <w:pPr>
        <w:autoSpaceDE w:val="0"/>
        <w:autoSpaceDN w:val="0"/>
        <w:adjustRightInd w:val="0"/>
        <w:snapToGrid w:val="0"/>
        <w:spacing w:line="360" w:lineRule="exact"/>
        <w:rPr>
          <w:rFonts w:ascii="宋体" w:hAnsi="宋体" w:cs="Calibri"/>
          <w:b/>
          <w:bCs/>
          <w:kern w:val="0"/>
          <w:sz w:val="22"/>
        </w:rPr>
      </w:pPr>
      <w:bookmarkStart w:id="73" w:name="_Toc15123"/>
      <w:r>
        <w:rPr>
          <w:rFonts w:ascii="宋体" w:hAnsi="宋体" w:cs="Calibri"/>
          <w:b/>
          <w:bCs/>
          <w:kern w:val="0"/>
          <w:sz w:val="22"/>
        </w:rPr>
        <w:t>5.1 开标时间和地点</w:t>
      </w:r>
      <w:bookmarkEnd w:id="73"/>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5.1.1</w:t>
      </w:r>
      <w:r>
        <w:rPr>
          <w:rFonts w:ascii="宋体" w:hAnsi="宋体" w:cs="Calibri"/>
          <w:sz w:val="22"/>
        </w:rPr>
        <w:t>招标人在投标人须知规定的投标截止时间（开标时间）和地点公开开标，并邀请所有投标人的法定代表人或其委托代理人准时参加</w:t>
      </w:r>
      <w:r>
        <w:rPr>
          <w:rFonts w:hint="eastAsia" w:ascii="宋体" w:hAnsi="宋体" w:cs="Calibri"/>
          <w:sz w:val="22"/>
        </w:rPr>
        <w:t>，参加开标的代表应签名报到以证明其出席，未参加开标的投标人视作默认开标结果。</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5.1.2投标人在投标时应随身携带下列资料提交招标人</w:t>
      </w:r>
    </w:p>
    <w:p>
      <w:pPr>
        <w:adjustRightInd w:val="0"/>
        <w:snapToGrid w:val="0"/>
        <w:spacing w:line="360" w:lineRule="exact"/>
        <w:ind w:firstLine="440" w:firstLineChars="200"/>
        <w:rPr>
          <w:rFonts w:ascii="宋体" w:hAnsi="宋体" w:cs="Calibri"/>
          <w:sz w:val="22"/>
        </w:rPr>
      </w:pPr>
      <w:bookmarkStart w:id="74" w:name="_Toc7101"/>
      <w:r>
        <w:rPr>
          <w:rFonts w:ascii="宋体" w:hAnsi="宋体" w:cs="Calibri"/>
          <w:sz w:val="22"/>
        </w:rPr>
        <w:t>（1）委托代理人的身份证、法定代表人授权委托书</w:t>
      </w:r>
      <w:r>
        <w:rPr>
          <w:rFonts w:hint="eastAsia" w:ascii="宋体" w:hAnsi="宋体" w:cs="Calibri"/>
          <w:sz w:val="22"/>
        </w:rPr>
        <w:t>（装订在投标文件内亦可）</w:t>
      </w:r>
      <w:r>
        <w:rPr>
          <w:rFonts w:ascii="宋体" w:hAnsi="宋体" w:cs="Calibri"/>
          <w:sz w:val="22"/>
        </w:rPr>
        <w:t>；</w:t>
      </w:r>
    </w:p>
    <w:p>
      <w:pPr>
        <w:adjustRightInd w:val="0"/>
        <w:snapToGrid w:val="0"/>
        <w:spacing w:line="360" w:lineRule="exact"/>
        <w:ind w:firstLine="440" w:firstLineChars="200"/>
        <w:rPr>
          <w:rFonts w:ascii="宋体" w:hAnsi="宋体" w:cs="Calibri"/>
          <w:sz w:val="22"/>
        </w:rPr>
      </w:pPr>
      <w:r>
        <w:rPr>
          <w:rFonts w:ascii="宋体" w:hAnsi="宋体" w:cs="Calibri"/>
          <w:sz w:val="22"/>
        </w:rPr>
        <w:t>（2）投标保证金收执证明或汇款凭证或银行回单</w:t>
      </w:r>
      <w:r>
        <w:rPr>
          <w:rFonts w:hint="eastAsia" w:ascii="宋体" w:hAnsi="宋体" w:cs="Calibri"/>
          <w:sz w:val="22"/>
        </w:rPr>
        <w:t>（装订在投标文件内亦可）</w:t>
      </w:r>
      <w:r>
        <w:rPr>
          <w:rFonts w:ascii="宋体" w:hAnsi="宋体" w:cs="Calibri"/>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5.2 开标程序</w:t>
      </w:r>
      <w:bookmarkEnd w:id="74"/>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主持人按下列程序进行开标：</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（1）宣布开标纪律；</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（2）公布在投标截止时间前递交投标文件的投标人名称，并点名确认投标人是否派人到场；</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（3）宣布开标人、唱标人、记录人、监标人等有关人员姓名；</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（4）按照投标人须知前附表规定检查投标文件的密封情况；</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（5）按照投标人须知前附表的规定确定并宣布投标文件开标顺序；</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（6）</w:t>
      </w:r>
      <w:r>
        <w:rPr>
          <w:rFonts w:ascii="宋体" w:hAnsi="宋体" w:cs="Calibri"/>
          <w:color w:val="000000"/>
          <w:sz w:val="22"/>
        </w:rPr>
        <w:t>按照宣布的开标顺序当众开标，公布投标人名称、投标保证金的递交情况、投标报价、</w:t>
      </w:r>
      <w:r>
        <w:rPr>
          <w:rFonts w:hint="eastAsia" w:ascii="宋体" w:hAnsi="宋体" w:cs="Calibri"/>
          <w:color w:val="000000"/>
          <w:sz w:val="22"/>
        </w:rPr>
        <w:t>服务期</w:t>
      </w:r>
      <w:r>
        <w:rPr>
          <w:rFonts w:ascii="宋体" w:hAnsi="宋体" w:cs="Calibri"/>
          <w:color w:val="000000"/>
          <w:sz w:val="22"/>
        </w:rPr>
        <w:t>及其他内容，并记录在案；</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（7）投标人代表、招标人代表、监标人、记录人等有关人员在开标记录上签字确认；</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（8）开标结束。</w:t>
      </w:r>
    </w:p>
    <w:p>
      <w:pPr>
        <w:autoSpaceDE w:val="0"/>
        <w:autoSpaceDN w:val="0"/>
        <w:adjustRightInd w:val="0"/>
        <w:snapToGrid w:val="0"/>
        <w:spacing w:line="360" w:lineRule="exact"/>
        <w:rPr>
          <w:rFonts w:ascii="宋体" w:hAnsi="宋体" w:cs="Calibri"/>
          <w:b/>
          <w:bCs/>
          <w:kern w:val="0"/>
          <w:sz w:val="22"/>
        </w:rPr>
      </w:pPr>
      <w:bookmarkStart w:id="75" w:name="_Toc31578"/>
      <w:r>
        <w:rPr>
          <w:rFonts w:ascii="宋体" w:hAnsi="宋体" w:cs="Calibri"/>
          <w:b/>
          <w:bCs/>
          <w:kern w:val="0"/>
          <w:sz w:val="22"/>
        </w:rPr>
        <w:t>6.评标</w:t>
      </w:r>
      <w:bookmarkEnd w:id="75"/>
    </w:p>
    <w:p>
      <w:pPr>
        <w:autoSpaceDE w:val="0"/>
        <w:autoSpaceDN w:val="0"/>
        <w:adjustRightInd w:val="0"/>
        <w:snapToGrid w:val="0"/>
        <w:spacing w:line="360" w:lineRule="exact"/>
        <w:rPr>
          <w:rFonts w:ascii="宋体" w:hAnsi="宋体" w:cs="Calibri"/>
          <w:b/>
          <w:bCs/>
          <w:kern w:val="0"/>
          <w:sz w:val="22"/>
        </w:rPr>
      </w:pPr>
      <w:bookmarkStart w:id="76" w:name="_Toc10279"/>
      <w:r>
        <w:rPr>
          <w:rFonts w:ascii="宋体" w:hAnsi="宋体" w:cs="Calibri"/>
          <w:b/>
          <w:bCs/>
          <w:kern w:val="0"/>
          <w:sz w:val="22"/>
        </w:rPr>
        <w:t>6.1 评标委员会</w:t>
      </w:r>
      <w:bookmarkEnd w:id="76"/>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6.1.1</w:t>
      </w:r>
      <w:r>
        <w:rPr>
          <w:rFonts w:ascii="宋体" w:hAnsi="宋体" w:cs="Calibri"/>
          <w:kern w:val="0"/>
          <w:sz w:val="22"/>
        </w:rPr>
        <w:t>评标由招标人依法组建的评标委员会负责。评标委员会成员人数以及技术、经济等方面专家的确定方式见投标人须知前附表。</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6.1.2评标委员会成员有下列情形之一的，应当回避：</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（1）招标人或投标人的主要负责人的近亲属；</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（2）项目主管部门或者行政监督部门的人员；</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（3）与投标人有经济利益关系，可能影响对投标公正评审的；</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ascii="宋体" w:hAnsi="宋体" w:cs="Calibri"/>
          <w:b/>
          <w:bCs/>
          <w:kern w:val="0"/>
          <w:sz w:val="22"/>
        </w:rPr>
      </w:pPr>
      <w:bookmarkStart w:id="77" w:name="_Toc3460"/>
      <w:r>
        <w:rPr>
          <w:rFonts w:ascii="宋体" w:hAnsi="宋体" w:cs="Calibri"/>
          <w:b/>
          <w:bCs/>
          <w:kern w:val="0"/>
          <w:sz w:val="22"/>
        </w:rPr>
        <w:t>6.2 评标原则</w:t>
      </w:r>
      <w:bookmarkEnd w:id="77"/>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评标活动遵循公平、公正、科学和择优的原则。</w:t>
      </w:r>
    </w:p>
    <w:p>
      <w:pPr>
        <w:autoSpaceDE w:val="0"/>
        <w:autoSpaceDN w:val="0"/>
        <w:adjustRightInd w:val="0"/>
        <w:snapToGrid w:val="0"/>
        <w:spacing w:line="360" w:lineRule="exact"/>
        <w:rPr>
          <w:rFonts w:ascii="宋体" w:hAnsi="宋体" w:cs="Calibri"/>
          <w:b/>
          <w:bCs/>
          <w:kern w:val="0"/>
          <w:sz w:val="22"/>
        </w:rPr>
      </w:pPr>
      <w:bookmarkStart w:id="78" w:name="_Toc28178"/>
      <w:r>
        <w:rPr>
          <w:rFonts w:ascii="宋体" w:hAnsi="宋体" w:cs="Calibri"/>
          <w:b/>
          <w:bCs/>
          <w:kern w:val="0"/>
          <w:sz w:val="22"/>
        </w:rPr>
        <w:t>6.3 评标</w:t>
      </w:r>
      <w:bookmarkEnd w:id="78"/>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评标委员会按照第</w:t>
      </w:r>
      <w:r>
        <w:rPr>
          <w:rFonts w:hint="eastAsia" w:ascii="宋体" w:hAnsi="宋体" w:cs="Calibri"/>
          <w:color w:val="000000"/>
          <w:kern w:val="0"/>
          <w:sz w:val="22"/>
        </w:rPr>
        <w:t>五</w:t>
      </w:r>
      <w:r>
        <w:rPr>
          <w:rFonts w:ascii="宋体" w:hAnsi="宋体" w:cs="Calibri"/>
          <w:color w:val="000000"/>
          <w:kern w:val="0"/>
          <w:sz w:val="22"/>
        </w:rPr>
        <w:t>章“评标方法及标准”对投标文件进行评审。第</w:t>
      </w:r>
      <w:r>
        <w:rPr>
          <w:rFonts w:hint="eastAsia" w:ascii="宋体" w:hAnsi="宋体" w:cs="Calibri"/>
          <w:color w:val="000000"/>
          <w:kern w:val="0"/>
          <w:sz w:val="22"/>
        </w:rPr>
        <w:t>五</w:t>
      </w:r>
      <w:r>
        <w:rPr>
          <w:rFonts w:ascii="宋体" w:hAnsi="宋体" w:cs="Calibri"/>
          <w:color w:val="000000"/>
          <w:kern w:val="0"/>
          <w:sz w:val="22"/>
        </w:rPr>
        <w:t>章“评标方法及标准”没有规定的方法、评审因素和标准，不作为评标依据。</w:t>
      </w:r>
    </w:p>
    <w:p>
      <w:pPr>
        <w:autoSpaceDE w:val="0"/>
        <w:autoSpaceDN w:val="0"/>
        <w:adjustRightInd w:val="0"/>
        <w:snapToGrid w:val="0"/>
        <w:spacing w:line="360" w:lineRule="exact"/>
        <w:rPr>
          <w:rFonts w:ascii="宋体" w:hAnsi="宋体" w:cs="Calibri"/>
          <w:b/>
          <w:bCs/>
          <w:kern w:val="0"/>
          <w:sz w:val="22"/>
        </w:rPr>
      </w:pPr>
      <w:bookmarkStart w:id="79" w:name="_Toc24237"/>
      <w:r>
        <w:rPr>
          <w:rFonts w:ascii="宋体" w:hAnsi="宋体" w:cs="Calibri"/>
          <w:b/>
          <w:bCs/>
          <w:kern w:val="0"/>
          <w:sz w:val="22"/>
        </w:rPr>
        <w:t>7.合同授予</w:t>
      </w:r>
      <w:bookmarkEnd w:id="79"/>
    </w:p>
    <w:p>
      <w:pPr>
        <w:autoSpaceDE w:val="0"/>
        <w:autoSpaceDN w:val="0"/>
        <w:adjustRightInd w:val="0"/>
        <w:snapToGrid w:val="0"/>
        <w:spacing w:line="360" w:lineRule="exact"/>
        <w:rPr>
          <w:rFonts w:ascii="宋体" w:hAnsi="宋体" w:cs="Calibri"/>
          <w:b/>
          <w:bCs/>
          <w:kern w:val="0"/>
          <w:sz w:val="22"/>
        </w:rPr>
      </w:pPr>
      <w:bookmarkStart w:id="80" w:name="_Toc18809"/>
      <w:r>
        <w:rPr>
          <w:rFonts w:ascii="宋体" w:hAnsi="宋体" w:cs="Calibri"/>
          <w:b/>
          <w:bCs/>
          <w:kern w:val="0"/>
          <w:sz w:val="22"/>
        </w:rPr>
        <w:t>7.1 定标方式</w:t>
      </w:r>
      <w:bookmarkEnd w:id="80"/>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除投标人须知前附表规定评标委员会直接确定中标人外，招标人依据评标委员会推荐的中标候选人确定中标人，评标委员会推荐中标候选人的人数见投标人须知前附表。</w:t>
      </w:r>
      <w:r>
        <w:rPr>
          <w:rFonts w:hint="eastAsia" w:ascii="宋体" w:hAnsi="宋体" w:cs="Calibri"/>
          <w:color w:val="000000"/>
          <w:sz w:val="22"/>
        </w:rPr>
        <w:t>招标人对评标、定标结果不负责解释。</w:t>
      </w:r>
    </w:p>
    <w:p>
      <w:pPr>
        <w:autoSpaceDE w:val="0"/>
        <w:autoSpaceDN w:val="0"/>
        <w:adjustRightInd w:val="0"/>
        <w:snapToGrid w:val="0"/>
        <w:spacing w:line="360" w:lineRule="exact"/>
        <w:rPr>
          <w:rFonts w:ascii="宋体" w:hAnsi="宋体" w:cs="Calibri"/>
          <w:b/>
          <w:bCs/>
          <w:kern w:val="0"/>
          <w:sz w:val="22"/>
        </w:rPr>
      </w:pPr>
      <w:bookmarkStart w:id="81" w:name="_Toc14573"/>
      <w:r>
        <w:rPr>
          <w:rFonts w:ascii="宋体" w:hAnsi="宋体" w:cs="Calibri"/>
          <w:b/>
          <w:bCs/>
          <w:kern w:val="0"/>
          <w:sz w:val="22"/>
        </w:rPr>
        <w:t>7.2 中标通知</w:t>
      </w:r>
      <w:bookmarkEnd w:id="81"/>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ascii="宋体" w:hAnsi="宋体" w:cs="Calibri"/>
          <w:b/>
          <w:bCs/>
          <w:kern w:val="0"/>
          <w:sz w:val="22"/>
        </w:rPr>
      </w:pPr>
      <w:bookmarkStart w:id="82" w:name="_Toc27132"/>
      <w:bookmarkStart w:id="83" w:name="_Toc27581"/>
      <w:r>
        <w:rPr>
          <w:rFonts w:ascii="宋体" w:hAnsi="宋体" w:cs="Calibri"/>
          <w:b/>
          <w:bCs/>
          <w:kern w:val="0"/>
          <w:sz w:val="22"/>
        </w:rPr>
        <w:t>7.3 履约</w:t>
      </w:r>
      <w:r>
        <w:rPr>
          <w:rFonts w:hint="eastAsia" w:ascii="宋体" w:hAnsi="宋体" w:cs="Calibri"/>
          <w:b/>
          <w:bCs/>
          <w:kern w:val="0"/>
          <w:sz w:val="22"/>
        </w:rPr>
        <w:t>保证金</w:t>
      </w:r>
      <w:bookmarkEnd w:id="82"/>
    </w:p>
    <w:p>
      <w:pPr>
        <w:adjustRightInd w:val="0"/>
        <w:snapToGrid w:val="0"/>
        <w:spacing w:line="360" w:lineRule="exact"/>
        <w:ind w:firstLine="440" w:firstLineChars="200"/>
        <w:rPr>
          <w:rFonts w:ascii="宋体" w:hAnsi="宋体" w:cs="Calibri"/>
          <w:kern w:val="0"/>
          <w:sz w:val="22"/>
        </w:rPr>
      </w:pPr>
      <w:r>
        <w:rPr>
          <w:rFonts w:ascii="宋体" w:hAnsi="宋体" w:cs="Calibri"/>
          <w:kern w:val="0"/>
          <w:sz w:val="22"/>
        </w:rPr>
        <w:t>7.3.1在签订合同前，中标人应按投标人须知前附表规定的金额</w:t>
      </w:r>
      <w:r>
        <w:rPr>
          <w:rFonts w:hint="eastAsia" w:ascii="宋体" w:hAnsi="宋体" w:cs="Calibri"/>
          <w:kern w:val="0"/>
          <w:sz w:val="22"/>
        </w:rPr>
        <w:t>和</w:t>
      </w:r>
      <w:r>
        <w:rPr>
          <w:rFonts w:ascii="宋体" w:hAnsi="宋体" w:cs="Calibri"/>
          <w:kern w:val="0"/>
          <w:sz w:val="22"/>
        </w:rPr>
        <w:t>担保形式向招标人提交履约</w:t>
      </w:r>
      <w:r>
        <w:rPr>
          <w:rFonts w:hint="eastAsia" w:ascii="宋体" w:hAnsi="宋体" w:cs="Calibri"/>
          <w:kern w:val="0"/>
          <w:sz w:val="22"/>
        </w:rPr>
        <w:t>保证金</w:t>
      </w:r>
      <w:r>
        <w:rPr>
          <w:rFonts w:ascii="宋体" w:hAnsi="宋体" w:cs="Calibri"/>
          <w:kern w:val="0"/>
          <w:sz w:val="22"/>
        </w:rPr>
        <w:t>。</w:t>
      </w:r>
    </w:p>
    <w:p>
      <w:pPr>
        <w:adjustRightInd w:val="0"/>
        <w:snapToGrid w:val="0"/>
        <w:spacing w:line="360" w:lineRule="exact"/>
        <w:ind w:firstLine="440" w:firstLineChars="200"/>
        <w:rPr>
          <w:rFonts w:ascii="宋体" w:hAnsi="宋体" w:cs="Calibri"/>
          <w:kern w:val="0"/>
          <w:sz w:val="22"/>
        </w:rPr>
      </w:pPr>
      <w:r>
        <w:rPr>
          <w:rFonts w:ascii="宋体" w:hAnsi="宋体" w:cs="Calibri"/>
          <w:kern w:val="0"/>
          <w:sz w:val="22"/>
        </w:rPr>
        <w:t>7.3.2 中标人不能按本章第7.3.1项要求提交履约</w:t>
      </w:r>
      <w:r>
        <w:rPr>
          <w:rFonts w:hint="eastAsia" w:ascii="宋体" w:hAnsi="宋体" w:cs="Calibri"/>
          <w:kern w:val="0"/>
          <w:sz w:val="22"/>
        </w:rPr>
        <w:t>保证金</w:t>
      </w:r>
      <w:r>
        <w:rPr>
          <w:rFonts w:ascii="宋体" w:hAnsi="宋体" w:cs="Calibri"/>
          <w:kern w:val="0"/>
          <w:sz w:val="22"/>
        </w:rPr>
        <w:t>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7.4 签订合同</w:t>
      </w:r>
      <w:bookmarkEnd w:id="83"/>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sz w:val="22"/>
        </w:rPr>
        <w:t>7</w:t>
      </w:r>
      <w:bookmarkStart w:id="84" w:name="_Toc219809801"/>
      <w:bookmarkStart w:id="85" w:name="_Toc220123241"/>
      <w:bookmarkStart w:id="86" w:name="_Toc11806"/>
      <w:r>
        <w:rPr>
          <w:rFonts w:ascii="宋体" w:hAnsi="宋体" w:cs="Calibri"/>
          <w:color w:val="000000"/>
          <w:kern w:val="0"/>
          <w:sz w:val="22"/>
        </w:rPr>
        <w:t>.4.1招标人和中标人应当自中标通知书发出之日起30个工作日内订立书面合同（合同条款按第</w:t>
      </w:r>
      <w:r>
        <w:rPr>
          <w:rFonts w:hint="eastAsia" w:ascii="宋体" w:hAnsi="宋体" w:cs="Calibri"/>
          <w:color w:val="000000"/>
          <w:kern w:val="0"/>
          <w:sz w:val="22"/>
        </w:rPr>
        <w:t>四</w:t>
      </w:r>
      <w:r>
        <w:rPr>
          <w:rFonts w:ascii="宋体" w:hAnsi="宋体" w:cs="Calibri"/>
          <w:color w:val="000000"/>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color w:val="000000"/>
          <w:kern w:val="0"/>
          <w:sz w:val="22"/>
        </w:rPr>
        <w:t>）。中标人无正当理由拒签协议的，招标人取消其中标资格，其投标保证金不予退还；给招标人造成的损失超过投标保证金数额的，中标人还应当对超过部分予以赔偿。</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7.4.2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ascii="宋体" w:hAnsi="宋体" w:cs="Calibri"/>
          <w:color w:val="000000"/>
          <w:kern w:val="0"/>
          <w:sz w:val="22"/>
        </w:rPr>
      </w:pPr>
      <w:r>
        <w:rPr>
          <w:rFonts w:hint="eastAsia" w:ascii="宋体" w:hAnsi="宋体" w:cs="Calibri"/>
          <w:kern w:val="0"/>
          <w:sz w:val="22"/>
        </w:rPr>
        <w:t>7.4.3</w:t>
      </w:r>
      <w:r>
        <w:rPr>
          <w:rFonts w:hint="eastAsia" w:ascii="宋体" w:hAnsi="宋体" w:cs="Calibri"/>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8.重新招标和不再招标</w:t>
      </w:r>
      <w:bookmarkEnd w:id="84"/>
      <w:bookmarkEnd w:id="85"/>
      <w:bookmarkEnd w:id="86"/>
    </w:p>
    <w:p>
      <w:pPr>
        <w:autoSpaceDE w:val="0"/>
        <w:autoSpaceDN w:val="0"/>
        <w:adjustRightInd w:val="0"/>
        <w:snapToGrid w:val="0"/>
        <w:spacing w:line="360" w:lineRule="exact"/>
        <w:rPr>
          <w:rFonts w:ascii="宋体" w:hAnsi="宋体" w:cs="Calibri"/>
          <w:b/>
          <w:bCs/>
          <w:kern w:val="0"/>
          <w:sz w:val="22"/>
        </w:rPr>
      </w:pPr>
      <w:bookmarkStart w:id="87" w:name="_Toc219809802"/>
      <w:bookmarkStart w:id="88" w:name="_Toc220123242"/>
      <w:bookmarkStart w:id="89" w:name="_Toc15553"/>
      <w:r>
        <w:rPr>
          <w:rFonts w:ascii="宋体" w:hAnsi="宋体" w:cs="Calibri"/>
          <w:b/>
          <w:bCs/>
          <w:kern w:val="0"/>
          <w:sz w:val="22"/>
        </w:rPr>
        <w:t>8.1 重新招标</w:t>
      </w:r>
      <w:bookmarkEnd w:id="87"/>
      <w:bookmarkEnd w:id="88"/>
      <w:bookmarkEnd w:id="89"/>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有下列情形之一的，招标人将重新招标；</w:t>
      </w:r>
    </w:p>
    <w:p>
      <w:pPr>
        <w:adjustRightInd w:val="0"/>
        <w:snapToGrid w:val="0"/>
        <w:spacing w:line="360" w:lineRule="exact"/>
        <w:ind w:firstLine="440" w:firstLineChars="200"/>
        <w:rPr>
          <w:rFonts w:ascii="宋体" w:hAnsi="宋体" w:cs="Calibri"/>
          <w:color w:val="000000"/>
          <w:kern w:val="0"/>
          <w:sz w:val="22"/>
        </w:rPr>
      </w:pPr>
      <w:r>
        <w:rPr>
          <w:rFonts w:ascii="宋体" w:hAnsi="宋体" w:cs="Calibri"/>
          <w:color w:val="000000"/>
          <w:kern w:val="0"/>
          <w:sz w:val="22"/>
        </w:rPr>
        <w:t>（1）投标截止时间止，投标人少于3个的；</w:t>
      </w:r>
    </w:p>
    <w:p>
      <w:pPr>
        <w:adjustRightInd w:val="0"/>
        <w:snapToGrid w:val="0"/>
        <w:spacing w:line="360" w:lineRule="exact"/>
        <w:ind w:firstLine="440" w:firstLineChars="200"/>
        <w:rPr>
          <w:rFonts w:ascii="宋体" w:hAnsi="宋体" w:cs="Calibri"/>
          <w:color w:val="000000"/>
          <w:kern w:val="0"/>
          <w:sz w:val="22"/>
        </w:rPr>
      </w:pPr>
      <w:r>
        <w:rPr>
          <w:rFonts w:hint="eastAsia" w:ascii="宋体" w:hAnsi="宋体" w:cs="Calibri"/>
          <w:color w:val="000000"/>
          <w:kern w:val="0"/>
          <w:sz w:val="22"/>
        </w:rPr>
        <w:t>（2）</w:t>
      </w:r>
      <w:r>
        <w:rPr>
          <w:rFonts w:hint="eastAsia" w:ascii="宋体" w:hAnsi="宋体"/>
          <w:b/>
          <w:bCs/>
          <w:sz w:val="22"/>
        </w:rPr>
        <w:t>所有投标人的报价均偏高，招标人无法接受的；</w:t>
      </w:r>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kern w:val="0"/>
          <w:sz w:val="22"/>
        </w:rPr>
        <w:t>（</w:t>
      </w:r>
      <w:r>
        <w:rPr>
          <w:rFonts w:hint="eastAsia" w:ascii="宋体" w:hAnsi="宋体" w:cs="Calibri"/>
          <w:color w:val="000000"/>
          <w:kern w:val="0"/>
          <w:sz w:val="22"/>
        </w:rPr>
        <w:t>3</w:t>
      </w:r>
      <w:r>
        <w:rPr>
          <w:rFonts w:ascii="宋体" w:hAnsi="宋体" w:cs="Calibri"/>
          <w:color w:val="000000"/>
          <w:kern w:val="0"/>
          <w:sz w:val="22"/>
        </w:rPr>
        <w:t>）经评标委员会评审后否决所有投标的。</w:t>
      </w:r>
    </w:p>
    <w:p>
      <w:pPr>
        <w:autoSpaceDE w:val="0"/>
        <w:autoSpaceDN w:val="0"/>
        <w:adjustRightInd w:val="0"/>
        <w:snapToGrid w:val="0"/>
        <w:spacing w:line="360" w:lineRule="exact"/>
        <w:rPr>
          <w:rFonts w:ascii="宋体" w:hAnsi="宋体" w:cs="Calibri"/>
          <w:b/>
          <w:bCs/>
          <w:kern w:val="0"/>
          <w:sz w:val="22"/>
        </w:rPr>
      </w:pPr>
      <w:bookmarkStart w:id="90" w:name="_Toc219809803"/>
      <w:bookmarkStart w:id="91" w:name="_Toc220123243"/>
      <w:bookmarkStart w:id="92" w:name="_Toc18806"/>
      <w:r>
        <w:rPr>
          <w:rFonts w:ascii="宋体" w:hAnsi="宋体" w:cs="Calibri"/>
          <w:b/>
          <w:bCs/>
          <w:kern w:val="0"/>
          <w:sz w:val="22"/>
        </w:rPr>
        <w:t>8.2 不再招标</w:t>
      </w:r>
      <w:bookmarkEnd w:id="90"/>
      <w:bookmarkEnd w:id="91"/>
      <w:bookmarkEnd w:id="92"/>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重新招标后投标人仍少于3个或者所有投标被否决的，经批准后不再进行招标。</w:t>
      </w:r>
    </w:p>
    <w:p>
      <w:pPr>
        <w:autoSpaceDE w:val="0"/>
        <w:autoSpaceDN w:val="0"/>
        <w:adjustRightInd w:val="0"/>
        <w:snapToGrid w:val="0"/>
        <w:spacing w:line="360" w:lineRule="exact"/>
        <w:rPr>
          <w:rFonts w:ascii="宋体" w:hAnsi="宋体" w:cs="Calibri"/>
          <w:b/>
          <w:bCs/>
          <w:kern w:val="0"/>
          <w:sz w:val="22"/>
        </w:rPr>
      </w:pPr>
      <w:bookmarkStart w:id="93" w:name="_Toc215941254"/>
      <w:bookmarkStart w:id="94" w:name="_Toc219809804"/>
      <w:bookmarkStart w:id="95" w:name="_Toc220123244"/>
      <w:bookmarkStart w:id="96" w:name="_Toc2986"/>
      <w:r>
        <w:rPr>
          <w:rFonts w:ascii="宋体" w:hAnsi="宋体" w:cs="Calibri"/>
          <w:b/>
          <w:bCs/>
          <w:kern w:val="0"/>
          <w:sz w:val="22"/>
        </w:rPr>
        <w:t>9.纪律和监督</w:t>
      </w:r>
      <w:bookmarkEnd w:id="93"/>
      <w:bookmarkEnd w:id="94"/>
      <w:bookmarkEnd w:id="95"/>
      <w:bookmarkEnd w:id="96"/>
    </w:p>
    <w:p>
      <w:pPr>
        <w:autoSpaceDE w:val="0"/>
        <w:autoSpaceDN w:val="0"/>
        <w:adjustRightInd w:val="0"/>
        <w:snapToGrid w:val="0"/>
        <w:spacing w:line="360" w:lineRule="exact"/>
        <w:rPr>
          <w:rFonts w:ascii="宋体" w:hAnsi="宋体" w:cs="Calibri"/>
          <w:b/>
          <w:bCs/>
          <w:kern w:val="0"/>
          <w:sz w:val="22"/>
        </w:rPr>
      </w:pPr>
      <w:bookmarkStart w:id="97" w:name="_Toc219809805"/>
      <w:bookmarkStart w:id="98" w:name="_Toc220123245"/>
      <w:bookmarkStart w:id="99" w:name="_Toc5509"/>
      <w:r>
        <w:rPr>
          <w:rFonts w:ascii="宋体" w:hAnsi="宋体" w:cs="Calibri"/>
          <w:b/>
          <w:bCs/>
          <w:kern w:val="0"/>
          <w:sz w:val="22"/>
        </w:rPr>
        <w:t>9.1 对招标人的纪律要求</w:t>
      </w:r>
      <w:bookmarkEnd w:id="97"/>
      <w:bookmarkEnd w:id="98"/>
      <w:bookmarkEnd w:id="99"/>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ascii="宋体" w:hAnsi="宋体" w:cs="Calibri"/>
          <w:b/>
          <w:bCs/>
          <w:kern w:val="0"/>
          <w:sz w:val="22"/>
        </w:rPr>
      </w:pPr>
      <w:bookmarkStart w:id="100" w:name="_Toc219809806"/>
      <w:bookmarkStart w:id="101" w:name="_Toc220123246"/>
      <w:bookmarkStart w:id="102" w:name="_Toc10820"/>
      <w:r>
        <w:rPr>
          <w:rFonts w:ascii="宋体" w:hAnsi="宋体" w:cs="Calibri"/>
          <w:b/>
          <w:bCs/>
          <w:kern w:val="0"/>
          <w:sz w:val="22"/>
        </w:rPr>
        <w:t>9.2 对投标人的纪律要求</w:t>
      </w:r>
      <w:bookmarkEnd w:id="100"/>
      <w:bookmarkEnd w:id="101"/>
      <w:bookmarkEnd w:id="102"/>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ascii="宋体" w:hAnsi="宋体" w:cs="Calibri"/>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ascii="宋体" w:hAnsi="宋体" w:cs="Calibri"/>
          <w:b/>
          <w:bCs/>
          <w:kern w:val="0"/>
          <w:sz w:val="22"/>
        </w:rPr>
      </w:pPr>
      <w:bookmarkStart w:id="103" w:name="_Toc219809807"/>
      <w:bookmarkStart w:id="104" w:name="_Toc220123247"/>
      <w:bookmarkStart w:id="105" w:name="_Toc10756"/>
      <w:r>
        <w:rPr>
          <w:rFonts w:ascii="宋体" w:hAnsi="宋体" w:cs="Calibri"/>
          <w:b/>
          <w:bCs/>
          <w:kern w:val="0"/>
          <w:sz w:val="22"/>
        </w:rPr>
        <w:t>9.3 对评标委员会成员的纪律要求</w:t>
      </w:r>
      <w:bookmarkEnd w:id="103"/>
      <w:bookmarkEnd w:id="104"/>
      <w:bookmarkEnd w:id="105"/>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ascii="宋体" w:hAnsi="宋体" w:cs="Calibri"/>
          <w:color w:val="000000"/>
          <w:sz w:val="22"/>
        </w:rPr>
        <w:t>五</w:t>
      </w:r>
      <w:r>
        <w:rPr>
          <w:rFonts w:ascii="宋体" w:hAnsi="宋体" w:cs="Calibri"/>
          <w:color w:val="000000"/>
          <w:sz w:val="22"/>
        </w:rPr>
        <w:t>章“评标办法及标准”没有规定的评审因素和标准进行评标。</w:t>
      </w:r>
    </w:p>
    <w:p>
      <w:pPr>
        <w:autoSpaceDE w:val="0"/>
        <w:autoSpaceDN w:val="0"/>
        <w:adjustRightInd w:val="0"/>
        <w:snapToGrid w:val="0"/>
        <w:spacing w:line="360" w:lineRule="exact"/>
        <w:rPr>
          <w:rFonts w:ascii="宋体" w:hAnsi="宋体" w:cs="Calibri"/>
          <w:b/>
          <w:bCs/>
          <w:kern w:val="0"/>
          <w:sz w:val="22"/>
        </w:rPr>
      </w:pPr>
      <w:bookmarkStart w:id="106" w:name="_Toc219809808"/>
      <w:bookmarkStart w:id="107" w:name="_Toc220123248"/>
      <w:bookmarkStart w:id="108" w:name="_Toc12792"/>
      <w:r>
        <w:rPr>
          <w:rFonts w:ascii="宋体" w:hAnsi="宋体" w:cs="Calibri"/>
          <w:b/>
          <w:bCs/>
          <w:kern w:val="0"/>
          <w:sz w:val="22"/>
        </w:rPr>
        <w:t>9.4 对评标活动有关的工作人员的纪律要求</w:t>
      </w:r>
      <w:bookmarkEnd w:id="106"/>
      <w:bookmarkEnd w:id="107"/>
      <w:bookmarkEnd w:id="108"/>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ascii="宋体" w:hAnsi="宋体" w:cs="Calibri"/>
          <w:b/>
          <w:bCs/>
          <w:kern w:val="0"/>
          <w:sz w:val="22"/>
        </w:rPr>
      </w:pPr>
      <w:bookmarkStart w:id="109" w:name="_Toc219809809"/>
      <w:bookmarkStart w:id="110" w:name="_Toc220123249"/>
      <w:bookmarkStart w:id="111" w:name="_Toc239"/>
      <w:r>
        <w:rPr>
          <w:rFonts w:ascii="宋体" w:hAnsi="宋体" w:cs="Calibri"/>
          <w:b/>
          <w:bCs/>
          <w:kern w:val="0"/>
          <w:sz w:val="22"/>
        </w:rPr>
        <w:t>9.5 投诉</w:t>
      </w:r>
      <w:bookmarkEnd w:id="109"/>
      <w:bookmarkEnd w:id="110"/>
      <w:bookmarkEnd w:id="111"/>
    </w:p>
    <w:p>
      <w:pPr>
        <w:adjustRightInd w:val="0"/>
        <w:snapToGrid w:val="0"/>
        <w:spacing w:line="360" w:lineRule="exact"/>
        <w:ind w:firstLine="440" w:firstLineChars="200"/>
        <w:rPr>
          <w:rFonts w:ascii="宋体" w:hAnsi="宋体" w:cs="Calibri"/>
          <w:color w:val="000000"/>
          <w:sz w:val="22"/>
        </w:rPr>
      </w:pPr>
      <w:r>
        <w:rPr>
          <w:rFonts w:ascii="宋体" w:hAnsi="宋体" w:cs="Calibri"/>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ascii="宋体" w:hAnsi="宋体" w:cs="Calibri"/>
          <w:b/>
          <w:bCs/>
          <w:kern w:val="0"/>
          <w:sz w:val="22"/>
        </w:rPr>
      </w:pPr>
      <w:bookmarkStart w:id="112" w:name="_Toc10817"/>
      <w:r>
        <w:rPr>
          <w:rFonts w:ascii="宋体" w:hAnsi="宋体" w:cs="Calibri"/>
          <w:b/>
          <w:bCs/>
          <w:kern w:val="0"/>
          <w:sz w:val="22"/>
        </w:rPr>
        <w:t>10. 需要补充的其他内容</w:t>
      </w:r>
      <w:bookmarkEnd w:id="112"/>
    </w:p>
    <w:p>
      <w:pPr>
        <w:autoSpaceDE w:val="0"/>
        <w:autoSpaceDN w:val="0"/>
        <w:adjustRightInd w:val="0"/>
        <w:snapToGrid w:val="0"/>
        <w:spacing w:line="360" w:lineRule="exact"/>
        <w:ind w:firstLine="440" w:firstLineChars="200"/>
        <w:jc w:val="left"/>
        <w:rPr>
          <w:rFonts w:hint="eastAsia" w:ascii="宋体" w:hAnsi="宋体" w:cs="Calibri"/>
          <w:color w:val="000000"/>
          <w:sz w:val="22"/>
        </w:rPr>
      </w:pPr>
      <w:r>
        <w:rPr>
          <w:rFonts w:ascii="宋体" w:hAnsi="宋体" w:cs="Calibri"/>
          <w:color w:val="000000"/>
          <w:sz w:val="22"/>
        </w:rPr>
        <w:t>需要补充的其他内容：见投标人须知前附表。</w:t>
      </w:r>
    </w:p>
    <w:p>
      <w:pPr>
        <w:autoSpaceDE w:val="0"/>
        <w:autoSpaceDN w:val="0"/>
        <w:adjustRightInd w:val="0"/>
        <w:snapToGrid w:val="0"/>
        <w:spacing w:line="360" w:lineRule="exact"/>
        <w:jc w:val="left"/>
        <w:rPr>
          <w:rFonts w:ascii="宋体" w:hAnsi="宋体" w:cs="Calibri"/>
          <w:color w:val="000000"/>
          <w:sz w:val="22"/>
        </w:rPr>
        <w:sectPr>
          <w:footerReference r:id="rId6" w:type="first"/>
          <w:headerReference r:id="rId3" w:type="default"/>
          <w:footerReference r:id="rId4" w:type="default"/>
          <w:footerReference r:id="rId5" w:type="even"/>
          <w:pgSz w:w="11906" w:h="16838"/>
          <w:pgMar w:top="1134" w:right="1247" w:bottom="1134" w:left="1247" w:header="851" w:footer="992" w:gutter="0"/>
          <w:pgNumType w:fmt="numberInDash" w:start="0"/>
          <w:cols w:space="720" w:num="1"/>
          <w:titlePg/>
          <w:docGrid w:linePitch="312" w:charSpace="0"/>
        </w:sectPr>
      </w:pPr>
    </w:p>
    <w:p>
      <w:pPr>
        <w:pStyle w:val="4"/>
        <w:spacing w:before="0" w:after="0" w:line="360" w:lineRule="auto"/>
        <w:jc w:val="center"/>
        <w:rPr>
          <w:rFonts w:ascii="宋体" w:hAnsi="宋体"/>
          <w:bCs w:val="0"/>
          <w:sz w:val="32"/>
        </w:rPr>
      </w:pPr>
      <w:bookmarkStart w:id="113" w:name="_Toc223327527"/>
      <w:bookmarkStart w:id="114" w:name="_Toc213036227"/>
      <w:bookmarkStart w:id="115" w:name="_Toc535504370"/>
      <w:r>
        <w:rPr>
          <w:rFonts w:ascii="Calibri" w:hAnsi="Calibri" w:eastAsia="黑体" w:cs="Calibri"/>
          <w:kern w:val="0"/>
          <w:sz w:val="32"/>
        </w:rPr>
        <w:t>第</w:t>
      </w:r>
      <w:r>
        <w:rPr>
          <w:rFonts w:hint="eastAsia" w:ascii="Calibri" w:hAnsi="Calibri" w:eastAsia="黑体" w:cs="Calibri"/>
          <w:kern w:val="0"/>
          <w:sz w:val="32"/>
        </w:rPr>
        <w:t>三</w:t>
      </w:r>
      <w:r>
        <w:rPr>
          <w:rFonts w:ascii="Calibri" w:hAnsi="Calibri" w:eastAsia="黑体" w:cs="Calibri"/>
          <w:kern w:val="0"/>
          <w:sz w:val="32"/>
        </w:rPr>
        <w:t xml:space="preserve">章  </w:t>
      </w:r>
      <w:bookmarkEnd w:id="113"/>
      <w:bookmarkEnd w:id="114"/>
      <w:r>
        <w:rPr>
          <w:rFonts w:hint="eastAsia" w:ascii="Calibri" w:hAnsi="Calibri" w:eastAsia="黑体" w:cs="Calibri"/>
          <w:kern w:val="0"/>
          <w:sz w:val="32"/>
        </w:rPr>
        <w:t>服务技术标准及要求</w:t>
      </w:r>
      <w:bookmarkEnd w:id="115"/>
    </w:p>
    <w:p>
      <w:pPr>
        <w:ind w:firstLine="210"/>
      </w:pPr>
    </w:p>
    <w:p>
      <w:pPr>
        <w:widowControl w:val="0"/>
        <w:adjustRightInd/>
        <w:snapToGrid/>
        <w:spacing w:line="360" w:lineRule="auto"/>
        <w:ind w:firstLine="480" w:firstLineChars="200"/>
        <w:rPr>
          <w:rFonts w:hint="eastAsia" w:ascii="宋体" w:hAnsi="宋体" w:cs="宋体"/>
          <w:b/>
          <w:bCs/>
          <w:kern w:val="0"/>
          <w:sz w:val="24"/>
          <w:lang w:bidi="ar"/>
        </w:rPr>
      </w:pPr>
      <w:bookmarkStart w:id="116" w:name="_Toc535504371"/>
      <w:r>
        <w:rPr>
          <w:rFonts w:hint="eastAsia" w:ascii="宋体" w:hAnsi="宋体" w:cs="宋体"/>
          <w:b/>
          <w:bCs/>
          <w:kern w:val="0"/>
          <w:sz w:val="24"/>
          <w:lang w:bidi="ar"/>
        </w:rPr>
        <w:t>1.项目概况</w:t>
      </w:r>
    </w:p>
    <w:p>
      <w:pPr>
        <w:shd w:val="clear" w:color="auto" w:fill="FFFFFF"/>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为全面掌握飞行区部分病害及潜在病害区域的道面表观及结构现状情况，对杭州萧山国际机场J4-J5道面沉降、水系改造顶管、机坪地铁盾构掘进、北跑道断板等区域进行道面检测，为后续处置工作提供技术依据。</w:t>
      </w:r>
    </w:p>
    <w:p>
      <w:pPr>
        <w:shd w:val="clear" w:color="auto" w:fill="FFFFFF"/>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b/>
          <w:bCs/>
          <w:color w:val="000000"/>
          <w:kern w:val="0"/>
          <w:sz w:val="24"/>
        </w:rPr>
        <w:t>2.服务内容</w:t>
      </w:r>
    </w:p>
    <w:p>
      <w:pPr>
        <w:shd w:val="clear" w:color="auto" w:fill="FFFFFF"/>
        <w:tabs>
          <w:tab w:val="left" w:pos="718"/>
        </w:tabs>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本项目病害调查区域为杭州萧山国际机场飞行区内航空器活动区域，调查总面积9980平方米。须对该区域道面的表观及结构实施全面病害调查。指定区域内道面表观病害全覆盖检测，要求病害分辨率1mm，分类病害并统计尺寸，厘米级定位（经纬度及相对位置、精度10cm）病害，留存病害原始数据。结构病害全覆盖三维检测，要求检测2米深度范围内结构层脱空、疏松、富含水、沉降等内部病害，测线间隔不超过10cm，三维数据无间隙，分类病害并统计影响范围，厘米级定位（经纬度及相对位置、精度10cm）、定深病害，留存病害原始三维数据。并协助</w:t>
      </w:r>
      <w:r>
        <w:rPr>
          <w:rFonts w:hint="eastAsia" w:ascii="宋体" w:hAnsi="宋体" w:cs="宋体"/>
          <w:color w:val="000000"/>
          <w:kern w:val="0"/>
          <w:sz w:val="24"/>
          <w:lang w:eastAsia="zh-CN"/>
        </w:rPr>
        <w:t>甲方</w:t>
      </w:r>
      <w:r>
        <w:rPr>
          <w:rFonts w:hint="eastAsia" w:ascii="宋体" w:hAnsi="宋体" w:cs="宋体"/>
          <w:color w:val="000000"/>
          <w:kern w:val="0"/>
          <w:sz w:val="24"/>
        </w:rPr>
        <w:t>将病害数据录入杭州机场道面管理系统，并为甲方提供咨询意见。</w:t>
      </w:r>
    </w:p>
    <w:p>
      <w:pPr>
        <w:shd w:val="clear" w:color="auto" w:fill="FFFFFF"/>
        <w:adjustRightInd w:val="0"/>
        <w:spacing w:line="400" w:lineRule="exact"/>
        <w:ind w:firstLine="480" w:firstLineChars="200"/>
        <w:rPr>
          <w:rFonts w:ascii="宋体" w:hAnsi="宋体" w:cs="宋体"/>
          <w:color w:val="000000"/>
          <w:kern w:val="0"/>
          <w:sz w:val="24"/>
        </w:rPr>
      </w:pPr>
      <w:r>
        <w:rPr>
          <w:rFonts w:hint="eastAsia" w:ascii="宋体" w:hAnsi="宋体" w:cs="宋体"/>
          <w:b/>
          <w:bCs/>
          <w:color w:val="000000"/>
          <w:kern w:val="0"/>
          <w:sz w:val="24"/>
        </w:rPr>
        <w:t>3.</w:t>
      </w:r>
      <w:r>
        <w:rPr>
          <w:rFonts w:ascii="宋体" w:hAnsi="宋体" w:cs="宋体"/>
          <w:b/>
          <w:bCs/>
          <w:color w:val="000000"/>
          <w:kern w:val="0"/>
          <w:sz w:val="24"/>
        </w:rPr>
        <w:t>项目调查测试范围</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（1）B滑水系改造顶管区域，面积</w:t>
      </w:r>
      <w:r>
        <w:rPr>
          <w:rFonts w:hint="eastAsia" w:ascii="宋体" w:hAnsi="宋体" w:cs="宋体"/>
          <w:color w:val="000000"/>
          <w:kern w:val="0"/>
          <w:sz w:val="24"/>
        </w:rPr>
        <w:t>2080</w:t>
      </w:r>
      <w:r>
        <w:rPr>
          <w:rFonts w:ascii="宋体" w:hAnsi="宋体" w:cs="宋体"/>
          <w:color w:val="000000"/>
          <w:kern w:val="0"/>
          <w:sz w:val="24"/>
        </w:rPr>
        <w:t>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a段长度91米，宽度</w:t>
      </w:r>
      <w:r>
        <w:rPr>
          <w:rFonts w:hint="eastAsia" w:ascii="宋体" w:hAnsi="宋体" w:cs="宋体"/>
          <w:color w:val="000000"/>
          <w:kern w:val="0"/>
          <w:sz w:val="24"/>
        </w:rPr>
        <w:t>1</w:t>
      </w:r>
      <w:r>
        <w:rPr>
          <w:rFonts w:ascii="宋体" w:hAnsi="宋体" w:cs="宋体"/>
          <w:color w:val="000000"/>
          <w:kern w:val="0"/>
          <w:sz w:val="24"/>
        </w:rPr>
        <w:t>0米，面积</w:t>
      </w:r>
      <w:r>
        <w:rPr>
          <w:rFonts w:hint="eastAsia" w:ascii="宋体" w:hAnsi="宋体" w:cs="宋体"/>
          <w:color w:val="000000"/>
          <w:kern w:val="0"/>
          <w:sz w:val="24"/>
        </w:rPr>
        <w:t>910</w:t>
      </w:r>
      <w:r>
        <w:rPr>
          <w:rFonts w:ascii="宋体" w:hAnsi="宋体" w:cs="宋体"/>
          <w:color w:val="000000"/>
          <w:kern w:val="0"/>
          <w:sz w:val="24"/>
        </w:rPr>
        <w:t>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b段长度70米，宽度</w:t>
      </w:r>
      <w:r>
        <w:rPr>
          <w:rFonts w:hint="eastAsia" w:ascii="宋体" w:hAnsi="宋体" w:cs="宋体"/>
          <w:color w:val="000000"/>
          <w:kern w:val="0"/>
          <w:sz w:val="24"/>
        </w:rPr>
        <w:t>1</w:t>
      </w:r>
      <w:r>
        <w:rPr>
          <w:rFonts w:ascii="宋体" w:hAnsi="宋体" w:cs="宋体"/>
          <w:color w:val="000000"/>
          <w:kern w:val="0"/>
          <w:sz w:val="24"/>
        </w:rPr>
        <w:t>0米，面积</w:t>
      </w:r>
      <w:r>
        <w:rPr>
          <w:rFonts w:hint="eastAsia" w:ascii="宋体" w:hAnsi="宋体" w:cs="宋体"/>
          <w:color w:val="000000"/>
          <w:kern w:val="0"/>
          <w:sz w:val="24"/>
        </w:rPr>
        <w:t>700</w:t>
      </w:r>
      <w:r>
        <w:rPr>
          <w:rFonts w:ascii="宋体" w:hAnsi="宋体" w:cs="宋体"/>
          <w:color w:val="000000"/>
          <w:kern w:val="0"/>
          <w:sz w:val="24"/>
        </w:rPr>
        <w:t>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c段长度47米，宽度</w:t>
      </w:r>
      <w:r>
        <w:rPr>
          <w:rFonts w:hint="eastAsia" w:ascii="宋体" w:hAnsi="宋体" w:cs="宋体"/>
          <w:color w:val="000000"/>
          <w:kern w:val="0"/>
          <w:sz w:val="24"/>
        </w:rPr>
        <w:t>1</w:t>
      </w:r>
      <w:r>
        <w:rPr>
          <w:rFonts w:ascii="宋体" w:hAnsi="宋体" w:cs="宋体"/>
          <w:color w:val="000000"/>
          <w:kern w:val="0"/>
          <w:sz w:val="24"/>
        </w:rPr>
        <w:t>0米，面积</w:t>
      </w:r>
      <w:r>
        <w:rPr>
          <w:rFonts w:hint="eastAsia" w:ascii="宋体" w:hAnsi="宋体" w:cs="宋体"/>
          <w:color w:val="000000"/>
          <w:kern w:val="0"/>
          <w:sz w:val="24"/>
        </w:rPr>
        <w:t>470</w:t>
      </w:r>
      <w:r>
        <w:rPr>
          <w:rFonts w:ascii="宋体" w:hAnsi="宋体" w:cs="宋体"/>
          <w:color w:val="000000"/>
          <w:kern w:val="0"/>
          <w:sz w:val="24"/>
        </w:rPr>
        <w:t>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J4-J5道面沉降区域，长度110米，宽度20米，面积2200平方米。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机坪地铁盾构掘进区域，长度450米，宽度</w:t>
      </w:r>
      <w:r>
        <w:rPr>
          <w:rFonts w:hint="eastAsia" w:ascii="宋体" w:hAnsi="宋体" w:cs="宋体"/>
          <w:color w:val="000000"/>
          <w:kern w:val="0"/>
          <w:sz w:val="24"/>
        </w:rPr>
        <w:t>10</w:t>
      </w:r>
      <w:r>
        <w:rPr>
          <w:rFonts w:ascii="宋体" w:hAnsi="宋体" w:cs="宋体"/>
          <w:color w:val="000000"/>
          <w:kern w:val="0"/>
          <w:sz w:val="24"/>
        </w:rPr>
        <w:t>米，面积</w:t>
      </w:r>
      <w:r>
        <w:rPr>
          <w:rFonts w:hint="eastAsia" w:ascii="宋体" w:hAnsi="宋体" w:cs="宋体"/>
          <w:color w:val="000000"/>
          <w:kern w:val="0"/>
          <w:sz w:val="24"/>
        </w:rPr>
        <w:t>4500</w:t>
      </w:r>
      <w:r>
        <w:rPr>
          <w:rFonts w:ascii="宋体" w:hAnsi="宋体" w:cs="宋体"/>
          <w:color w:val="000000"/>
          <w:kern w:val="0"/>
          <w:sz w:val="24"/>
        </w:rPr>
        <w:t>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北跑道C3区域，长度</w:t>
      </w:r>
      <w:r>
        <w:rPr>
          <w:rFonts w:hint="eastAsia" w:ascii="宋体" w:hAnsi="宋体" w:cs="宋体"/>
          <w:color w:val="000000"/>
          <w:kern w:val="0"/>
          <w:sz w:val="24"/>
        </w:rPr>
        <w:t>6</w:t>
      </w:r>
      <w:r>
        <w:rPr>
          <w:rFonts w:ascii="宋体" w:hAnsi="宋体" w:cs="宋体"/>
          <w:color w:val="000000"/>
          <w:kern w:val="0"/>
          <w:sz w:val="24"/>
        </w:rPr>
        <w:t>0米，宽度20米，面积</w:t>
      </w:r>
      <w:r>
        <w:rPr>
          <w:rFonts w:hint="eastAsia" w:ascii="宋体" w:hAnsi="宋体" w:cs="宋体"/>
          <w:color w:val="000000"/>
          <w:kern w:val="0"/>
          <w:sz w:val="24"/>
        </w:rPr>
        <w:t>12</w:t>
      </w:r>
      <w:r>
        <w:rPr>
          <w:rFonts w:ascii="宋体" w:hAnsi="宋体" w:cs="宋体"/>
          <w:color w:val="000000"/>
          <w:kern w:val="0"/>
          <w:sz w:val="24"/>
        </w:rPr>
        <w:t>00平方米。</w:t>
      </w:r>
    </w:p>
    <w:p>
      <w:pPr>
        <w:shd w:val="clear" w:color="auto" w:fill="FFFFFF"/>
        <w:adjustRightInd w:val="0"/>
        <w:snapToGrid w:val="0"/>
        <w:spacing w:line="400" w:lineRule="exact"/>
        <w:ind w:firstLine="480" w:firstLineChars="200"/>
        <w:rPr>
          <w:rFonts w:ascii="宋体" w:hAnsi="宋体" w:cs="宋体"/>
          <w:color w:val="000000"/>
          <w:kern w:val="0"/>
          <w:sz w:val="24"/>
        </w:rPr>
      </w:pPr>
      <w:r>
        <w:rPr>
          <w:rFonts w:ascii="宋体" w:hAnsi="宋体" w:cs="宋体"/>
          <w:color w:val="000000"/>
          <w:kern w:val="0"/>
          <w:sz w:val="24"/>
        </w:rPr>
        <w:t>以上区域调查测试总面积为</w:t>
      </w:r>
      <w:r>
        <w:rPr>
          <w:rFonts w:hint="eastAsia" w:ascii="宋体" w:hAnsi="宋体" w:cs="宋体"/>
          <w:color w:val="000000"/>
          <w:kern w:val="0"/>
          <w:sz w:val="24"/>
        </w:rPr>
        <w:t>9980</w:t>
      </w:r>
      <w:r>
        <w:rPr>
          <w:rFonts w:ascii="宋体" w:hAnsi="宋体" w:cs="宋体"/>
          <w:color w:val="000000"/>
          <w:kern w:val="0"/>
          <w:sz w:val="24"/>
        </w:rPr>
        <w:t>平方米。</w:t>
      </w:r>
    </w:p>
    <w:p>
      <w:pPr>
        <w:spacing w:line="360" w:lineRule="auto"/>
        <w:ind w:firstLine="480" w:firstLineChars="200"/>
        <w:rPr>
          <w:rFonts w:ascii="宋体" w:hAnsi="宋体" w:cs="宋体"/>
          <w:b/>
          <w:bCs/>
          <w:kern w:val="0"/>
          <w:sz w:val="24"/>
          <w:lang w:bidi="ar"/>
        </w:rPr>
      </w:pPr>
      <w:r>
        <w:rPr>
          <w:rFonts w:hint="eastAsia" w:ascii="宋体" w:hAnsi="宋体" w:cs="宋体"/>
          <w:b/>
          <w:bCs/>
          <w:kern w:val="0"/>
          <w:sz w:val="24"/>
          <w:lang w:bidi="ar"/>
        </w:rPr>
        <w:t>4.服务大纲</w:t>
      </w:r>
    </w:p>
    <w:p>
      <w:pPr>
        <w:spacing w:line="360" w:lineRule="auto"/>
        <w:ind w:firstLine="480" w:firstLineChars="200"/>
        <w:rPr>
          <w:rFonts w:ascii="宋体" w:hAnsi="宋体" w:cs="宋体"/>
          <w:b/>
          <w:bCs/>
          <w:kern w:val="0"/>
          <w:sz w:val="24"/>
          <w:lang w:bidi="ar"/>
        </w:rPr>
      </w:pPr>
      <w:r>
        <w:rPr>
          <w:rFonts w:hint="eastAsia" w:ascii="宋体" w:hAnsi="宋体" w:cs="宋体"/>
          <w:kern w:val="0"/>
          <w:sz w:val="24"/>
          <w:lang w:bidi="ar"/>
        </w:rPr>
        <w:t>道面病害调查技术服务大纲应包括（但不限于）下列内容：</w:t>
      </w:r>
      <w:r>
        <w:rPr>
          <w:rFonts w:hint="eastAsia" w:ascii="宋体" w:hAnsi="宋体" w:cs="宋体"/>
          <w:b/>
          <w:bCs/>
          <w:kern w:val="0"/>
          <w:sz w:val="24"/>
          <w:lang w:bidi="ar"/>
        </w:rPr>
        <w:t xml:space="preserve">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（1）道面病害调查技术服务概况；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（2）道面病害调查技术服务范围、道面检测内容；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（3）道面病害调查技术服务依据、道面检测工作目标；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（4）道面病害调查技术服务机构设置（框图）、岗位职责；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（5）道面病害调查技术服务工作程序、方法和制度；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（6）拟投入的道面病害调查技术服务人员、试验检测仪器设备；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（7）质量、进度、保障措施；</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（8）道面病害调查技术服务工作重点、难点分析；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（9）对本工程道面病害调查技术服务的合理化建议。</w:t>
      </w:r>
    </w:p>
    <w:p>
      <w:pPr>
        <w:spacing w:line="360" w:lineRule="auto"/>
        <w:ind w:firstLine="480" w:firstLineChars="200"/>
        <w:rPr>
          <w:rFonts w:ascii="宋体" w:hAnsi="宋体" w:cs="宋体"/>
          <w:kern w:val="0"/>
          <w:sz w:val="24"/>
          <w:lang w:bidi="ar"/>
        </w:rPr>
      </w:pPr>
      <w:r>
        <w:rPr>
          <w:rFonts w:hint="eastAsia" w:ascii="宋体" w:hAnsi="宋体" w:cs="宋体"/>
          <w:b/>
          <w:bCs/>
          <w:kern w:val="0"/>
          <w:sz w:val="24"/>
          <w:lang w:bidi="ar"/>
        </w:rPr>
        <w:t>5.道面表观病害精准调查的要求</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道面表观病害精准调查便于精准维护，</w:t>
      </w:r>
      <w:r>
        <w:rPr>
          <w:rFonts w:hint="eastAsia" w:ascii="宋体" w:hAnsi="宋体" w:cs="宋体"/>
          <w:kern w:val="0"/>
          <w:sz w:val="24"/>
          <w:lang w:bidi="ar"/>
        </w:rPr>
        <w:fldChar w:fldCharType="begin"/>
      </w:r>
      <w:r>
        <w:rPr>
          <w:rFonts w:hint="eastAsia" w:ascii="宋体" w:hAnsi="宋体" w:cs="宋体"/>
          <w:kern w:val="0"/>
          <w:sz w:val="24"/>
          <w:lang w:bidi="ar"/>
        </w:rPr>
        <w:instrText xml:space="preserve"> HYPERLINK "https://www.so.com/link?m=adMHsJAAYbbDZJ1GqnViTYUzTdIWe6ipBQRTcfNpet2z//38qcVv3BiXtCovgzBIFxOUqGgrJwpse0XJ5xRouCleV9j/j9yi+muD4SnIgbNqZtDMK+8FnRWCsMmxo+ZR19WLWNfLnRGOjWnWBiZQ89wWAa7+5flHUNk9rdXxj5sqPaCg+4aSXoffODqiF1khcrRcNHNv3unNhsdHIiMJ7naxfPKQTmaMocbSVGsYsXCk4zX7Vk2Z0M19Zn8840YBgGmtDE4CT0QnITgYGI8/GD+YiWaRrr2s1rz+6eA==" \t "https://www.so.com/_blank" </w:instrText>
      </w:r>
      <w:r>
        <w:rPr>
          <w:rFonts w:hint="eastAsia" w:ascii="宋体" w:hAnsi="宋体" w:cs="宋体"/>
          <w:kern w:val="0"/>
          <w:sz w:val="24"/>
          <w:lang w:bidi="ar"/>
        </w:rPr>
        <w:fldChar w:fldCharType="separate"/>
      </w:r>
      <w:r>
        <w:rPr>
          <w:rFonts w:hint="eastAsia" w:ascii="宋体" w:hAnsi="宋体" w:cs="宋体"/>
          <w:kern w:val="0"/>
          <w:sz w:val="24"/>
          <w:lang w:bidi="ar"/>
        </w:rPr>
        <w:t>MH/T 5024-2019《民用机场道面评价管理技术规范</w:t>
      </w:r>
      <w:r>
        <w:rPr>
          <w:rFonts w:hint="eastAsia" w:ascii="宋体" w:hAnsi="宋体" w:cs="宋体"/>
          <w:kern w:val="0"/>
          <w:sz w:val="24"/>
          <w:lang w:bidi="ar"/>
        </w:rPr>
        <w:fldChar w:fldCharType="end"/>
      </w:r>
      <w:r>
        <w:rPr>
          <w:rFonts w:hint="eastAsia" w:ascii="宋体" w:hAnsi="宋体" w:cs="宋体"/>
          <w:kern w:val="0"/>
          <w:sz w:val="24"/>
          <w:lang w:bidi="ar"/>
        </w:rPr>
        <w:t>》定义了道面表观病害类型和程度评价标准。为了全面掌握调查区域内全部表观病害情况，本项目要求采用计算机视觉检测方法，对道面表观1mm以内的分辨率全覆盖成像，筛选病害图像并划分病害类型，提取病害轮廓，精确计算裂缝等线型病害长度、龟裂等面型病害面积，测量病害地理位置坐标，评价病害程度。</w:t>
      </w:r>
    </w:p>
    <w:p>
      <w:pPr>
        <w:spacing w:line="360" w:lineRule="auto"/>
        <w:ind w:firstLine="480" w:firstLineChars="200"/>
        <w:rPr>
          <w:rFonts w:ascii="宋体" w:hAnsi="宋体" w:cs="宋体"/>
          <w:kern w:val="0"/>
          <w:sz w:val="24"/>
          <w:lang w:bidi="ar"/>
        </w:rPr>
      </w:pPr>
      <w:r>
        <w:rPr>
          <w:rFonts w:hint="eastAsia" w:ascii="宋体" w:hAnsi="宋体" w:cs="宋体"/>
          <w:b/>
          <w:bCs/>
          <w:kern w:val="0"/>
          <w:sz w:val="24"/>
          <w:lang w:bidi="ar"/>
        </w:rPr>
        <w:t>6.道面内部病害精准调查的要求</w:t>
      </w:r>
      <w:r>
        <w:rPr>
          <w:rFonts w:hint="eastAsia" w:ascii="宋体" w:hAnsi="宋体" w:cs="宋体"/>
          <w:kern w:val="0"/>
          <w:sz w:val="24"/>
          <w:lang w:bidi="ar"/>
        </w:rPr>
        <w:t xml:space="preserve"> </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道面基层和垫层在飞机的反复冲击荷载作用下，加之地表水侵蚀，孔隙水压力，地下水位反复升降，潜蚀作用带走细粒物质，而使道面产生内部隐性病害。内部隐性病害通常为脱空、空洞、沉降、富含水、疏松。为了全面掌握调查区域内结构层全部隐性病害，本项目要求采用</w:t>
      </w:r>
      <w:r>
        <w:rPr>
          <w:rFonts w:hint="eastAsia" w:ascii="宋体" w:hAnsi="宋体" w:cs="宋体"/>
          <w:kern w:val="0"/>
          <w:sz w:val="24"/>
          <w:lang w:val="en-US" w:eastAsia="zh-CN" w:bidi="ar"/>
        </w:rPr>
        <w:t>400</w:t>
      </w:r>
      <w:r>
        <w:rPr>
          <w:rFonts w:hint="eastAsia" w:ascii="宋体" w:hAnsi="宋体" w:cs="宋体"/>
          <w:kern w:val="0"/>
          <w:sz w:val="24"/>
          <w:lang w:bidi="ar"/>
        </w:rPr>
        <w:t>M-900M频率三维探地雷达全覆盖采集结构层雷达反射信号，探测深度2m，探地雷达测线间距不大于10cm，道间距不大于3.5cm，测线直线误差不大于10cm/100m。筛查检测区域内三维探地雷达数据检出隐性病害并划分病害类型，提取隐性病害轮廓，计算隐性病害影响区域面积，测量隐性病害地理位置坐标、深度、层位，评价病害程度。</w:t>
      </w:r>
    </w:p>
    <w:p>
      <w:pPr>
        <w:spacing w:line="360" w:lineRule="auto"/>
        <w:ind w:firstLine="480" w:firstLineChars="200"/>
        <w:rPr>
          <w:rFonts w:ascii="宋体" w:hAnsi="宋体" w:cs="宋体"/>
          <w:kern w:val="0"/>
          <w:sz w:val="24"/>
          <w:lang w:bidi="ar"/>
        </w:rPr>
      </w:pPr>
      <w:r>
        <w:rPr>
          <w:rFonts w:hint="eastAsia" w:ascii="宋体" w:hAnsi="宋体" w:cs="宋体"/>
          <w:b/>
          <w:bCs/>
          <w:kern w:val="0"/>
          <w:sz w:val="24"/>
          <w:lang w:bidi="ar"/>
        </w:rPr>
        <w:t>7. 病害调查技术服务工作内容</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全覆盖同步采集调查区域表观图像数据和三维探地雷达数据。</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根据相关标准检出调查区域表观病害类型、尺寸、位置，评价严重程度。检出调查区域内部隐性病害类型、影响区域、位置、深度。建立调查区域高清实景二维模型，清晰显示标志线、板块接缝等信息，将道面病害绘制在实景模型上。建立调查区域分层三维模型，将道面病害绘制在三维模型上。</w:t>
      </w:r>
    </w:p>
    <w:p>
      <w:pPr>
        <w:spacing w:line="360" w:lineRule="auto"/>
        <w:ind w:firstLine="480" w:firstLineChars="200"/>
        <w:rPr>
          <w:rFonts w:ascii="宋体" w:hAnsi="宋体" w:cs="宋体"/>
          <w:kern w:val="0"/>
          <w:sz w:val="24"/>
          <w:lang w:bidi="ar"/>
        </w:rPr>
      </w:pPr>
      <w:r>
        <w:rPr>
          <w:rFonts w:hint="eastAsia" w:ascii="宋体" w:hAnsi="宋体" w:cs="宋体"/>
          <w:b/>
          <w:bCs/>
          <w:kern w:val="0"/>
          <w:sz w:val="24"/>
          <w:lang w:bidi="ar"/>
        </w:rPr>
        <w:t>8.调查结果</w:t>
      </w:r>
    </w:p>
    <w:p>
      <w:pPr>
        <w:spacing w:line="360" w:lineRule="auto"/>
        <w:ind w:firstLine="480" w:firstLineChars="200"/>
        <w:rPr>
          <w:rFonts w:hint="eastAsia" w:ascii="宋体" w:hAnsi="宋体" w:cs="宋体"/>
          <w:kern w:val="0"/>
          <w:sz w:val="24"/>
          <w:lang w:bidi="ar"/>
        </w:rPr>
      </w:pPr>
      <w:r>
        <w:rPr>
          <w:rFonts w:hint="eastAsia" w:cs="宋体"/>
          <w:kern w:val="0"/>
          <w:sz w:val="24"/>
        </w:rPr>
        <w:t>提交</w:t>
      </w:r>
      <w:r>
        <w:rPr>
          <w:rFonts w:hint="eastAsia" w:ascii="宋体" w:hAnsi="宋体" w:cs="宋体"/>
          <w:kern w:val="0"/>
          <w:sz w:val="24"/>
          <w:lang w:bidi="ar"/>
        </w:rPr>
        <w:t>《</w:t>
      </w:r>
      <w:r>
        <w:rPr>
          <w:rFonts w:hint="eastAsia" w:cs="宋体"/>
          <w:kern w:val="0"/>
          <w:sz w:val="24"/>
          <w:lang w:bidi="ar"/>
        </w:rPr>
        <w:t>杭州萧山</w:t>
      </w:r>
      <w:r>
        <w:rPr>
          <w:rFonts w:hint="eastAsia" w:ascii="宋体" w:hAnsi="宋体" w:cs="宋体"/>
          <w:kern w:val="0"/>
          <w:sz w:val="24"/>
          <w:lang w:bidi="ar"/>
        </w:rPr>
        <w:t>国际机场道面病害调查技术服务报告》，包含表观及内部隐性病害详细信息列表，统计分析病害分布情况。（报告书面文本一式八份，电子版本贰份，其中图纸必须采用CAD2000制图格式）。</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提供二维、三维可视化道面及病害信息交互查看服务，培训机场技术人员操作。</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提供检测原始电子数据，并协助</w:t>
      </w:r>
      <w:r>
        <w:rPr>
          <w:rFonts w:hint="eastAsia" w:ascii="宋体" w:hAnsi="宋体" w:cs="宋体"/>
          <w:kern w:val="0"/>
          <w:sz w:val="24"/>
          <w:lang w:eastAsia="zh-CN" w:bidi="ar"/>
        </w:rPr>
        <w:t>甲方</w:t>
      </w:r>
      <w:r>
        <w:rPr>
          <w:rFonts w:hint="eastAsia" w:ascii="宋体" w:hAnsi="宋体" w:cs="宋体"/>
          <w:kern w:val="0"/>
          <w:sz w:val="24"/>
          <w:lang w:bidi="ar"/>
        </w:rPr>
        <w:t>将病害数据录入杭州机场道面管理系统，并为甲方提供咨询意见。</w:t>
      </w:r>
    </w:p>
    <w:p>
      <w:pPr>
        <w:spacing w:line="360" w:lineRule="auto"/>
        <w:ind w:firstLine="480" w:firstLineChars="200"/>
        <w:rPr>
          <w:rFonts w:hint="eastAsia" w:ascii="宋体" w:hAnsi="宋体" w:cs="宋体"/>
          <w:b/>
          <w:bCs/>
          <w:kern w:val="0"/>
          <w:sz w:val="24"/>
          <w:lang w:bidi="ar"/>
        </w:rPr>
      </w:pPr>
      <w:bookmarkStart w:id="117" w:name="_Toc3897905"/>
      <w:r>
        <w:rPr>
          <w:rFonts w:hint="eastAsia" w:ascii="宋体" w:hAnsi="宋体" w:cs="宋体"/>
          <w:b/>
          <w:bCs/>
          <w:kern w:val="0"/>
          <w:sz w:val="24"/>
          <w:lang w:bidi="ar"/>
        </w:rPr>
        <w:t>9</w:t>
      </w:r>
      <w:r>
        <w:rPr>
          <w:rFonts w:hint="eastAsia" w:ascii="宋体" w:hAnsi="宋体" w:cs="宋体"/>
          <w:b/>
          <w:bCs/>
          <w:kern w:val="0"/>
          <w:sz w:val="24"/>
          <w:lang w:bidi="ar"/>
        </w:rPr>
        <w:t>.</w:t>
      </w:r>
      <w:r>
        <w:rPr>
          <w:rFonts w:hint="eastAsia" w:ascii="宋体" w:hAnsi="宋体" w:cs="宋体"/>
          <w:b/>
          <w:bCs/>
          <w:kern w:val="0"/>
          <w:sz w:val="24"/>
          <w:lang w:bidi="ar"/>
        </w:rPr>
        <w:t>调查技术服务人员要求</w:t>
      </w:r>
      <w:bookmarkEnd w:id="117"/>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（1）驻现场人员专业、年龄结构配备合理齐全，持证上岗并具备相应的工作经历；</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（2）人员的数量应足够满足本项目的需要；</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（3）人员应具有良好的职业道德和严谨的工作作风；</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（4）人员应按照工程需要按期进场到位开展工作；</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（5）派驻现场的人员须经甲方确认，未经甲方书面批准不得随意调换，若自行更换或撤离，扣除相应费用；</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（6）负责人如有不尽其职或虚名挂靠，甲方有权要求撤换，直至要求终止合同，由此造成的责任和后果由乙方承担。</w:t>
      </w:r>
    </w:p>
    <w:p>
      <w:pPr>
        <w:spacing w:line="360" w:lineRule="auto"/>
        <w:ind w:firstLine="480" w:firstLineChars="200"/>
        <w:rPr>
          <w:rFonts w:hint="eastAsia" w:ascii="宋体" w:hAnsi="宋体" w:cs="宋体"/>
          <w:b/>
          <w:bCs/>
          <w:kern w:val="0"/>
          <w:sz w:val="24"/>
          <w:lang w:bidi="ar"/>
        </w:rPr>
      </w:pPr>
      <w:bookmarkStart w:id="118" w:name="_Toc3897906"/>
      <w:r>
        <w:rPr>
          <w:rFonts w:hint="eastAsia" w:ascii="宋体" w:hAnsi="宋体" w:cs="宋体"/>
          <w:b/>
          <w:bCs/>
          <w:kern w:val="0"/>
          <w:sz w:val="24"/>
          <w:lang w:bidi="ar"/>
        </w:rPr>
        <w:t>10</w:t>
      </w:r>
      <w:r>
        <w:rPr>
          <w:rFonts w:hint="eastAsia" w:ascii="宋体" w:hAnsi="宋体" w:cs="宋体"/>
          <w:b/>
          <w:bCs/>
          <w:kern w:val="0"/>
          <w:sz w:val="24"/>
          <w:lang w:bidi="ar"/>
        </w:rPr>
        <w:t>.</w:t>
      </w:r>
      <w:r>
        <w:rPr>
          <w:rFonts w:hint="eastAsia" w:ascii="宋体" w:hAnsi="宋体" w:cs="宋体"/>
          <w:b/>
          <w:bCs/>
          <w:kern w:val="0"/>
          <w:sz w:val="24"/>
          <w:lang w:bidi="ar"/>
        </w:rPr>
        <w:t>取费报价原则</w:t>
      </w:r>
      <w:bookmarkEnd w:id="118"/>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除非招标文件另有规定，投标文件中费用是指招标文件中说明的全部工作内容的报酬。</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本合同的费用组成及标准为：</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（1）根据现行相关行业收费标准规定，投标人按各自承受能力作竞争报价。</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（2）本报价为全费用报价，其中必须包括检测、计算、出具报告、安全文明措施、交通配合及其他相关的措施费、税金等。本项目费用一次包干，不做调整。</w:t>
      </w:r>
    </w:p>
    <w:p>
      <w:pPr>
        <w:spacing w:line="360" w:lineRule="auto"/>
        <w:ind w:firstLine="480" w:firstLineChars="200"/>
        <w:rPr>
          <w:rFonts w:hint="eastAsia" w:ascii="宋体" w:hAnsi="宋体" w:cs="宋体"/>
          <w:kern w:val="0"/>
          <w:sz w:val="24"/>
          <w:lang w:bidi="ar"/>
        </w:rPr>
      </w:pPr>
      <w:bookmarkStart w:id="119" w:name="_Toc3897907"/>
      <w:r>
        <w:rPr>
          <w:rFonts w:hint="eastAsia" w:ascii="宋体" w:hAnsi="宋体" w:cs="宋体"/>
          <w:b/>
          <w:bCs/>
          <w:kern w:val="0"/>
          <w:sz w:val="24"/>
          <w:lang w:bidi="ar"/>
        </w:rPr>
        <w:t>11.技术规范</w:t>
      </w:r>
      <w:bookmarkEnd w:id="119"/>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适用规范</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《工程建设标准强制性条文》</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HYPERLINK "https://www.so.com/link?m=adMHsJAAYbbDZJ1GqnViTYUzTdIWe6ipBQRTcfNpet2z//38qcVv3BiXtCovgzBIFxOUqGgrJwpse0XJ5xRouCleV9j/j9yi+muD4SnIgbNqZtDMK+8FnRWCsMmxo+ZR19WLWNfLnRGOjWnWBiZQ89wWAa7+5flHUNk9rdXxj5sqPaCg+4aSXoffODqiF1khcrRcNHNv3unNhsdHIiMJ7naxfPKQTmaMocbSVGsYsXCk4zX7Vk2Z0M19Zn8840YBgGmtDE4CT0QnITgYGI8/GD+YiWaRrr2s1rz+6eA==" \t "https://www.so.com/_blank" </w:instrText>
      </w:r>
      <w:r>
        <w:rPr>
          <w:rFonts w:hint="eastAsia" w:ascii="宋体" w:hAnsi="宋体" w:cs="宋体"/>
          <w:kern w:val="0"/>
          <w:sz w:val="24"/>
          <w:lang w:bidi="ar"/>
        </w:rPr>
        <w:fldChar w:fldCharType="separate"/>
      </w:r>
      <w:r>
        <w:rPr>
          <w:rFonts w:hint="eastAsia" w:ascii="宋体" w:hAnsi="宋体" w:cs="宋体"/>
          <w:kern w:val="0"/>
          <w:sz w:val="24"/>
          <w:lang w:bidi="ar"/>
        </w:rPr>
        <w:t>MH/T 5024-2019《民用机场道面评价管理技术规范</w:t>
      </w:r>
      <w:r>
        <w:rPr>
          <w:rFonts w:hint="eastAsia" w:ascii="宋体" w:hAnsi="宋体" w:cs="宋体"/>
          <w:kern w:val="0"/>
          <w:sz w:val="24"/>
          <w:lang w:bidi="ar"/>
        </w:rPr>
        <w:fldChar w:fldCharType="end"/>
      </w:r>
      <w:r>
        <w:rPr>
          <w:rFonts w:hint="eastAsia" w:ascii="宋体" w:hAnsi="宋体" w:cs="宋体"/>
          <w:kern w:val="0"/>
          <w:sz w:val="24"/>
          <w:lang w:bidi="ar"/>
        </w:rPr>
        <w:t>》</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MH5001-2013《民用机场飞行区技术标准》</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以及相关的现行国家、行业规范、规程、标准。</w:t>
      </w:r>
    </w:p>
    <w:bookmarkEnd w:id="116"/>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pStyle w:val="2"/>
        <w:ind w:firstLine="320"/>
        <w:rPr>
          <w:rFonts w:hint="eastAsia" w:eastAsia="黑体" w:cs="Calibri"/>
          <w:sz w:val="32"/>
        </w:rPr>
      </w:pPr>
    </w:p>
    <w:p>
      <w:pPr>
        <w:pStyle w:val="2"/>
        <w:ind w:firstLine="320"/>
        <w:rPr>
          <w:rFonts w:hint="eastAsia" w:eastAsia="黑体" w:cs="Calibri"/>
          <w:sz w:val="32"/>
        </w:rPr>
      </w:pPr>
    </w:p>
    <w:p>
      <w:pPr>
        <w:pStyle w:val="2"/>
        <w:ind w:firstLine="320"/>
        <w:rPr>
          <w:rFonts w:hint="eastAsia" w:eastAsia="黑体" w:cs="Calibri"/>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widowControl/>
        <w:jc w:val="left"/>
        <w:rPr>
          <w:rFonts w:hint="eastAsia" w:eastAsia="黑体" w:cs="Calibri"/>
          <w:kern w:val="0"/>
          <w:sz w:val="32"/>
        </w:rPr>
      </w:pPr>
    </w:p>
    <w:p>
      <w:pPr>
        <w:pStyle w:val="4"/>
        <w:spacing w:before="0" w:after="0" w:line="360" w:lineRule="auto"/>
        <w:jc w:val="center"/>
        <w:rPr>
          <w:rFonts w:ascii="Calibri" w:hAnsi="Calibri" w:eastAsia="黑体" w:cs="Calibri"/>
          <w:kern w:val="0"/>
          <w:sz w:val="32"/>
        </w:rPr>
      </w:pPr>
      <w:bookmarkStart w:id="120" w:name="_Toc535504375"/>
      <w:bookmarkStart w:id="121" w:name="_Toc422638522"/>
      <w:bookmarkStart w:id="122" w:name="_Toc321925455"/>
      <w:r>
        <w:rPr>
          <w:rFonts w:hint="eastAsia" w:ascii="Calibri" w:hAnsi="Calibri" w:eastAsia="黑体" w:cs="Calibri"/>
          <w:kern w:val="0"/>
          <w:sz w:val="32"/>
        </w:rPr>
        <w:t xml:space="preserve">第四章  </w:t>
      </w:r>
      <w:r>
        <w:rPr>
          <w:rFonts w:ascii="Calibri" w:hAnsi="Calibri" w:eastAsia="黑体" w:cs="Calibri"/>
          <w:kern w:val="0"/>
          <w:sz w:val="32"/>
        </w:rPr>
        <w:t>合同条款</w:t>
      </w:r>
      <w:bookmarkEnd w:id="120"/>
    </w:p>
    <w:p>
      <w:pPr>
        <w:adjustRightInd w:val="0"/>
        <w:snapToGrid w:val="0"/>
        <w:ind w:firstLine="452"/>
        <w:jc w:val="left"/>
        <w:rPr>
          <w:rFonts w:ascii="宋体" w:hAnsi="宋体"/>
          <w:b/>
          <w:sz w:val="22"/>
          <w:u w:val="single"/>
        </w:rPr>
      </w:pPr>
      <w:r>
        <w:rPr>
          <w:rFonts w:hint="eastAsia" w:ascii="宋体" w:hAnsi="宋体"/>
          <w:b/>
          <w:sz w:val="22"/>
        </w:rPr>
        <w:t>甲方（委托方）：</w:t>
      </w:r>
      <w:r>
        <w:rPr>
          <w:rFonts w:hint="eastAsia" w:ascii="宋体" w:hAnsi="宋体"/>
          <w:b/>
          <w:sz w:val="22"/>
          <w:u w:val="single"/>
        </w:rPr>
        <w:t>杭州萧山国际机场有限公司</w:t>
      </w:r>
    </w:p>
    <w:p>
      <w:pPr>
        <w:adjustRightInd w:val="0"/>
        <w:snapToGrid w:val="0"/>
        <w:ind w:firstLine="452"/>
        <w:jc w:val="left"/>
        <w:rPr>
          <w:rFonts w:ascii="宋体" w:hAnsi="宋体"/>
          <w:b/>
          <w:sz w:val="22"/>
        </w:rPr>
      </w:pPr>
      <w:r>
        <w:rPr>
          <w:rFonts w:hint="eastAsia" w:ascii="宋体" w:hAnsi="宋体"/>
          <w:b/>
          <w:sz w:val="22"/>
        </w:rPr>
        <w:t>住所地：</w:t>
      </w:r>
      <w:r>
        <w:rPr>
          <w:rFonts w:hint="eastAsia" w:ascii="宋体" w:hAnsi="宋体"/>
          <w:b/>
          <w:sz w:val="22"/>
          <w:u w:val="single"/>
        </w:rPr>
        <w:t xml:space="preserve">杭州萧山国际机场内    </w:t>
      </w:r>
    </w:p>
    <w:p>
      <w:pPr>
        <w:adjustRightInd w:val="0"/>
        <w:snapToGrid w:val="0"/>
        <w:ind w:firstLine="452"/>
        <w:jc w:val="left"/>
        <w:rPr>
          <w:rFonts w:ascii="宋体" w:hAnsi="宋体"/>
          <w:b/>
          <w:sz w:val="22"/>
        </w:rPr>
      </w:pPr>
    </w:p>
    <w:p>
      <w:pPr>
        <w:adjustRightInd w:val="0"/>
        <w:snapToGrid w:val="0"/>
        <w:ind w:firstLine="452"/>
        <w:jc w:val="left"/>
        <w:rPr>
          <w:rFonts w:ascii="宋体" w:hAnsi="宋体"/>
          <w:b/>
          <w:sz w:val="22"/>
        </w:rPr>
      </w:pPr>
      <w:r>
        <w:rPr>
          <w:rFonts w:hint="eastAsia" w:ascii="宋体" w:hAnsi="宋体"/>
          <w:b/>
          <w:sz w:val="22"/>
        </w:rPr>
        <w:t xml:space="preserve">乙方（受委托方）： </w:t>
      </w:r>
    </w:p>
    <w:p>
      <w:pPr>
        <w:adjustRightInd w:val="0"/>
        <w:snapToGrid w:val="0"/>
        <w:ind w:firstLine="452"/>
        <w:jc w:val="left"/>
        <w:rPr>
          <w:rFonts w:ascii="宋体" w:hAnsi="宋体"/>
          <w:sz w:val="22"/>
          <w:u w:val="single"/>
        </w:rPr>
      </w:pPr>
      <w:r>
        <w:rPr>
          <w:rFonts w:hint="eastAsia" w:ascii="宋体" w:hAnsi="宋体"/>
          <w:b/>
          <w:sz w:val="22"/>
        </w:rPr>
        <w:t>住所地：</w:t>
      </w:r>
    </w:p>
    <w:p>
      <w:pPr>
        <w:snapToGrid w:val="0"/>
        <w:spacing w:line="360" w:lineRule="exact"/>
        <w:ind w:firstLine="420" w:firstLineChars="200"/>
        <w:rPr>
          <w:rFonts w:cs="Calibri"/>
          <w:szCs w:val="21"/>
        </w:rPr>
      </w:pP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甲、乙双方根据《中华人民共和国合同法》等相关法律法规，就</w:t>
      </w:r>
      <w:r>
        <w:rPr>
          <w:rFonts w:hint="eastAsia" w:ascii="宋体" w:hAnsi="宋体" w:cs="Calibri"/>
          <w:kern w:val="0"/>
          <w:sz w:val="22"/>
        </w:rPr>
        <w:t>杭州萧山国际机场</w:t>
      </w:r>
      <w:r>
        <w:rPr>
          <w:rFonts w:hint="eastAsia" w:ascii="宋体" w:hAnsi="宋体" w:cs="Calibri"/>
          <w:kern w:val="0"/>
          <w:sz w:val="22"/>
          <w:lang w:val="zh-CN"/>
        </w:rPr>
        <w:t>飞行区道面病害调查技术服务项目</w:t>
      </w:r>
      <w:r>
        <w:rPr>
          <w:rFonts w:hint="eastAsia" w:ascii="宋体" w:hAnsi="宋体" w:cs="Calibri"/>
          <w:sz w:val="22"/>
        </w:rPr>
        <w:t>，在互利、平等的原则基础上，经协商一致达成如下服务条款事宜，特签订本合同，以共同遵守。</w:t>
      </w:r>
    </w:p>
    <w:p>
      <w:pPr>
        <w:adjustRightInd w:val="0"/>
        <w:snapToGrid w:val="0"/>
        <w:spacing w:line="360" w:lineRule="exact"/>
        <w:ind w:firstLine="440" w:firstLineChars="200"/>
        <w:rPr>
          <w:rFonts w:ascii="宋体" w:hAnsi="宋体" w:cs="Calibri"/>
          <w:b/>
          <w:bCs/>
          <w:sz w:val="22"/>
        </w:rPr>
      </w:pPr>
      <w:r>
        <w:rPr>
          <w:rFonts w:hint="eastAsia" w:ascii="宋体" w:hAnsi="宋体" w:cs="Calibri"/>
          <w:b/>
          <w:bCs/>
          <w:sz w:val="22"/>
        </w:rPr>
        <w:t>一、服务内容</w:t>
      </w:r>
    </w:p>
    <w:p>
      <w:pPr>
        <w:ind w:right="315" w:rightChars="150" w:firstLine="420" w:firstLineChars="200"/>
        <w:rPr>
          <w:rFonts w:ascii="宋体" w:hAnsi="宋体"/>
          <w:szCs w:val="21"/>
        </w:rPr>
      </w:pPr>
      <w:r>
        <w:rPr>
          <w:rFonts w:hint="eastAsia" w:ascii="宋体" w:hAnsi="宋体"/>
          <w:szCs w:val="21"/>
        </w:rPr>
        <w:t>乙方需要提供的服务内容为：</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本项目病害调查区域为杭州萧山国际机场飞行区内航空器活动区域，调查总面积9980平方米。须对该区域道面的表观及结构实施全面病害调查。指定区域内道面表观病害全覆盖检测，要求病害分辨率1mm，分类病害并统计尺寸，厘米级定位（经纬度及相对位置、精度10cm）病害，留存病害原始数据。结构病害全覆盖三维检测，要求检测2米深度范围内结构层脱空、疏松、富含水、沉降等内部病害，测线间隔不超过10cm，三维数据无间隙，分类病害并统计影响范围，厘米级定位（经纬度及相对位置、精度10cm）、定深病害，留存病害原始三维数据。并协助甲方将病害数据录入杭州机场道面管理系统，并为甲方提供咨询意见。</w:t>
      </w:r>
    </w:p>
    <w:p>
      <w:pPr>
        <w:widowControl/>
        <w:adjustRightInd w:val="0"/>
        <w:snapToGrid w:val="0"/>
        <w:spacing w:line="340" w:lineRule="exact"/>
        <w:ind w:firstLine="440" w:firstLineChars="200"/>
        <w:rPr>
          <w:rFonts w:ascii="宋体" w:hAnsi="宋体" w:cs="Calibri"/>
          <w:b/>
          <w:bCs/>
          <w:sz w:val="22"/>
        </w:rPr>
      </w:pPr>
      <w:r>
        <w:rPr>
          <w:rFonts w:hint="eastAsia" w:ascii="宋体" w:hAnsi="宋体" w:cs="Calibri"/>
          <w:b/>
          <w:bCs/>
          <w:sz w:val="22"/>
        </w:rPr>
        <w:t>二、合同金额</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本合同总额，即服务费总额为（大写）     元整 （小写￥     元）人民币（其中：不含税金额为             人民币，税额为          人民币）。合同费用包括乙方劳务费、差旅费、取样费、运费、材料费、机械设备使用费、措施费、保险费、以及按中国法律规定应交纳的一切税费、技术资料费、验收费等所有费用。甲方不再额外承担任何费用。</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在合同有效期限内，若因国家税收政策调整而引起的增值税税率变化的，应按照国家税收政策调整，合同总金额变更为原合同不含增值税服务价格与调整后税率计算税额的合计金额。</w:t>
      </w:r>
    </w:p>
    <w:p>
      <w:pPr>
        <w:spacing w:line="276" w:lineRule="auto"/>
        <w:ind w:firstLine="440" w:firstLineChars="200"/>
        <w:textAlignment w:val="center"/>
        <w:rPr>
          <w:rFonts w:ascii="宋体" w:hAnsi="宋体" w:cs="Calibri"/>
          <w:b/>
          <w:bCs/>
          <w:sz w:val="22"/>
        </w:rPr>
      </w:pPr>
      <w:r>
        <w:rPr>
          <w:rFonts w:hint="eastAsia" w:ascii="宋体" w:hAnsi="宋体" w:cs="Calibri"/>
          <w:b/>
          <w:bCs/>
          <w:sz w:val="22"/>
        </w:rPr>
        <w:t>三、</w:t>
      </w:r>
      <w:r>
        <w:rPr>
          <w:rFonts w:hint="eastAsia" w:ascii="宋体" w:hAnsi="宋体" w:cs="仿宋_GB2312"/>
          <w:b/>
          <w:kern w:val="0"/>
          <w:szCs w:val="21"/>
        </w:rPr>
        <w:t>服务标准和要求</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1.道面表观病害精准调查的要求</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道面表观病害精准调查便于精准维护，</w:t>
      </w:r>
      <w:r>
        <w:rPr>
          <w:rFonts w:hint="eastAsia" w:ascii="宋体" w:hAnsi="宋体" w:cs="Calibri"/>
          <w:sz w:val="22"/>
        </w:rPr>
        <w:fldChar w:fldCharType="begin"/>
      </w:r>
      <w:r>
        <w:rPr>
          <w:rFonts w:hint="eastAsia" w:ascii="宋体" w:hAnsi="宋体" w:cs="Calibri"/>
          <w:sz w:val="22"/>
        </w:rPr>
        <w:instrText xml:space="preserve"> HYPERLINK "https://www.so.com/link?m=adMHsJAAYbbDZJ1GqnViTYUzTdIWe6ipBQRTcfNpet2z//38qcVv3BiXtCovgzBIFxOUqGgrJwpse0XJ5xRouCleV9j/j9yi+muD4SnIgbNqZtDMK+8FnRWCsMmxo+ZR19WLWNfLnRGOjWnWBiZQ89wWAa7+5flHUNk9rdXxj5sqPaCg+4aSXoffODqiF1khcrRcNHNv3unNhsdHIiMJ7naxfPKQTmaMocbSVGsYsXCk4zX7Vk2Z0M19Zn8840YBgGmtDE4CT0QnITgYGI8/GD+YiWaRrr2s1rz+6eA==" \t "https://www.so.com/_blank" </w:instrText>
      </w:r>
      <w:r>
        <w:rPr>
          <w:rFonts w:hint="eastAsia" w:ascii="宋体" w:hAnsi="宋体" w:cs="Calibri"/>
          <w:sz w:val="22"/>
        </w:rPr>
        <w:fldChar w:fldCharType="separate"/>
      </w:r>
      <w:r>
        <w:rPr>
          <w:rFonts w:hint="eastAsia" w:ascii="宋体" w:hAnsi="宋体" w:cs="Calibri"/>
          <w:sz w:val="22"/>
        </w:rPr>
        <w:t>MH/T 5024-2019《民用机场道面评价管理技术规范</w:t>
      </w:r>
      <w:r>
        <w:rPr>
          <w:rFonts w:hint="eastAsia" w:ascii="宋体" w:hAnsi="宋体" w:cs="Calibri"/>
          <w:sz w:val="22"/>
        </w:rPr>
        <w:fldChar w:fldCharType="end"/>
      </w:r>
      <w:r>
        <w:rPr>
          <w:rFonts w:hint="eastAsia" w:ascii="宋体" w:hAnsi="宋体" w:cs="Calibri"/>
          <w:sz w:val="22"/>
        </w:rPr>
        <w:t>》定义了道面表观病害类型和程度评价标准。为了全面掌握调查区域内全部表观病害情况，本项目要求采用计算机视觉检测方法，对道面表观1mm以内的分辨率全覆盖成像，筛选病害图像并划分病害类型，提取病害轮廓，精确计算裂缝等线型病害长度、龟裂等面型病害面积，测量病害地理位置坐标，评价病害程度。</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 xml:space="preserve">2.道面内部病害精准调查的要求 </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道面基层和垫层在飞机的反复冲击荷载作用下，加之地表水侵蚀，孔隙水压力，地下水位反复升降，潜蚀作用带走细粒物质，而使道面产生内部隐性病害。内部隐性病害通常为脱空、空洞、沉降、富含水、疏松。为了全面掌握调查区域内结构层全部隐性病害，本项目要求采用4</w:t>
      </w:r>
      <w:r>
        <w:rPr>
          <w:rFonts w:hint="eastAsia" w:ascii="宋体" w:hAnsi="宋体" w:cs="Calibri"/>
          <w:sz w:val="22"/>
          <w:lang w:val="en-US" w:eastAsia="zh-CN"/>
        </w:rPr>
        <w:t>0</w:t>
      </w:r>
      <w:r>
        <w:rPr>
          <w:rFonts w:hint="eastAsia" w:ascii="宋体" w:hAnsi="宋体" w:cs="Calibri"/>
          <w:sz w:val="22"/>
        </w:rPr>
        <w:t>0M-900M频率三维探地雷达全覆盖采集结构层雷达反射信号，探测深度2m，探地雷达测线间距不大于10cm，道间距不大于3.5cm，测线直线误差不大于10cm/100m。筛查检测区域内三维探地雷达数据检出隐性病害并划分病害类型，提取隐性病害轮廓，计算隐性病害影响区域面积，测量隐性病害地理位置坐标、深度、层位，评价病害程度。</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3. 病害调查技术服务工作内容</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全覆盖同步采集调查区域表观图像数据和三维探地雷达数据。根据相关标准检出调查区域表观病害类型、尺寸、位置，评价严重程度。检出调查区域内部隐性病害类型、影响区域、位置、深度。建立调查区域高清实景二维模型，清晰显示标志线、板块接缝等信息，将道面病害绘制在实景模型上。建立调查区域分层三维模型，将道面病害绘制在三维模型上。</w:t>
      </w:r>
    </w:p>
    <w:p>
      <w:pPr>
        <w:spacing w:line="276" w:lineRule="auto"/>
        <w:ind w:firstLine="420" w:firstLineChars="200"/>
        <w:textAlignment w:val="center"/>
        <w:rPr>
          <w:rFonts w:hAnsi="宋体" w:cs="仿宋_GB2312"/>
          <w:b/>
        </w:rPr>
      </w:pPr>
      <w:r>
        <w:rPr>
          <w:rFonts w:hint="eastAsia" w:hAnsi="宋体" w:cs="仿宋_GB2312"/>
          <w:b/>
        </w:rPr>
        <w:t>四、</w:t>
      </w:r>
      <w:r>
        <w:rPr>
          <w:rFonts w:hAnsi="宋体" w:cs="仿宋_GB2312"/>
          <w:b/>
        </w:rPr>
        <w:t>乙方向甲方提交的有关资料、文件及时间</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1.现场病害调查完成时间为得到</w:t>
      </w:r>
      <w:r>
        <w:rPr>
          <w:rFonts w:hint="eastAsia" w:ascii="宋体" w:hAnsi="宋体" w:cs="Calibri"/>
          <w:sz w:val="22"/>
        </w:rPr>
        <w:t>甲方</w:t>
      </w:r>
      <w:r>
        <w:rPr>
          <w:rFonts w:hint="eastAsia" w:ascii="宋体" w:hAnsi="宋体" w:cs="Calibri"/>
          <w:kern w:val="2"/>
          <w:sz w:val="22"/>
        </w:rPr>
        <w:t>开工指令后20日历天内</w:t>
      </w:r>
      <w:r>
        <w:rPr>
          <w:rFonts w:hint="eastAsia" w:ascii="宋体" w:hAnsi="宋体" w:cs="Calibri"/>
          <w:sz w:val="22"/>
        </w:rPr>
        <w:t>。</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现场病害调查完成后30日历天内提交《杭州萧山国际机场道面病害调查技术服务报告》（报告书面文本一式八套，电子版本贰份，其中图纸必须采用CAD2000制图格式），包含表观及内部隐性病害详细信息列表，统计分析病害分布情况。</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3.现场病害调查完成后30日历天内提供二维、三维可视化道面及病害信息交互查看服务，培训</w:t>
      </w:r>
      <w:r>
        <w:rPr>
          <w:rFonts w:hint="eastAsia" w:ascii="宋体" w:hAnsi="宋体" w:cs="Calibri"/>
          <w:kern w:val="2"/>
          <w:sz w:val="22"/>
          <w:lang w:eastAsia="zh-CN"/>
        </w:rPr>
        <w:t>甲方</w:t>
      </w:r>
      <w:r>
        <w:rPr>
          <w:rFonts w:hint="eastAsia" w:ascii="宋体" w:hAnsi="宋体" w:cs="Calibri"/>
          <w:kern w:val="2"/>
          <w:sz w:val="22"/>
        </w:rPr>
        <w:t>技术人员操作。</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4.提交《杭州萧山国际机场跑道病害调查技术服务报告》</w:t>
      </w:r>
      <w:r>
        <w:rPr>
          <w:rFonts w:hint="eastAsia"/>
        </w:rPr>
        <w:t>（报告书面文本一式八套，电子版本贰份，其中图纸必须采用CAD2000制图格式）</w:t>
      </w:r>
      <w:r>
        <w:rPr>
          <w:rFonts w:hint="eastAsia" w:ascii="宋体" w:hAnsi="宋体" w:cs="Calibri"/>
          <w:kern w:val="2"/>
          <w:sz w:val="22"/>
        </w:rPr>
        <w:t>15天内提供检测原始电子数据，并</w:t>
      </w:r>
      <w:r>
        <w:rPr>
          <w:rFonts w:hint="eastAsia" w:ascii="宋体" w:hAnsi="宋体" w:cs="Calibri"/>
          <w:sz w:val="22"/>
        </w:rPr>
        <w:t>协助甲方</w:t>
      </w:r>
      <w:r>
        <w:rPr>
          <w:rFonts w:hint="eastAsia" w:ascii="宋体" w:hAnsi="宋体" w:cs="Calibri"/>
          <w:kern w:val="2"/>
          <w:sz w:val="22"/>
        </w:rPr>
        <w:t>将病害数据录入杭州机场道面管理系统，并为</w:t>
      </w:r>
      <w:r>
        <w:rPr>
          <w:rFonts w:hint="eastAsia" w:ascii="宋体" w:hAnsi="宋体" w:cs="Calibri"/>
          <w:sz w:val="22"/>
        </w:rPr>
        <w:t>甲方</w:t>
      </w:r>
      <w:r>
        <w:rPr>
          <w:rFonts w:hint="eastAsia" w:ascii="宋体" w:hAnsi="宋体" w:cs="Calibri"/>
          <w:kern w:val="2"/>
          <w:sz w:val="22"/>
        </w:rPr>
        <w:t>提供咨询意见。</w:t>
      </w:r>
    </w:p>
    <w:p>
      <w:pPr>
        <w:adjustRightInd w:val="0"/>
        <w:snapToGrid w:val="0"/>
        <w:spacing w:line="360" w:lineRule="exact"/>
        <w:ind w:right="0" w:rightChars="0" w:firstLine="440" w:firstLineChars="200"/>
        <w:rPr>
          <w:rFonts w:hint="eastAsia" w:ascii="宋体" w:hAnsi="宋体" w:cs="Calibri"/>
          <w:sz w:val="22"/>
        </w:rPr>
      </w:pPr>
      <w:r>
        <w:rPr>
          <w:rFonts w:hint="eastAsia" w:ascii="宋体" w:hAnsi="宋体" w:cs="Calibri"/>
          <w:kern w:val="2"/>
          <w:sz w:val="22"/>
        </w:rPr>
        <w:t>5.甲方要求的其他书面成果。</w:t>
      </w:r>
    </w:p>
    <w:p>
      <w:pPr>
        <w:adjustRightInd w:val="0"/>
        <w:snapToGrid w:val="0"/>
        <w:spacing w:line="360" w:lineRule="exact"/>
        <w:ind w:firstLine="440" w:firstLineChars="200"/>
        <w:rPr>
          <w:rFonts w:ascii="宋体" w:hAnsi="宋体" w:cs="Calibri"/>
          <w:b/>
          <w:bCs/>
          <w:sz w:val="22"/>
        </w:rPr>
      </w:pPr>
      <w:r>
        <w:rPr>
          <w:rFonts w:hint="eastAsia" w:ascii="宋体" w:hAnsi="宋体" w:cs="Calibri"/>
          <w:b/>
          <w:bCs/>
          <w:sz w:val="22"/>
        </w:rPr>
        <w:t>五、付款方式</w:t>
      </w:r>
    </w:p>
    <w:p>
      <w:pPr>
        <w:ind w:right="315" w:rightChars="150" w:firstLine="440" w:firstLineChars="200"/>
        <w:rPr>
          <w:rFonts w:ascii="宋体" w:hAnsi="宋体" w:cs="Arial"/>
          <w:kern w:val="0"/>
          <w:sz w:val="22"/>
        </w:rPr>
      </w:pPr>
      <w:r>
        <w:rPr>
          <w:rFonts w:hint="eastAsia" w:ascii="宋体" w:hAnsi="宋体" w:cs="Arial"/>
          <w:kern w:val="0"/>
          <w:sz w:val="22"/>
        </w:rPr>
        <w:t>乙方提交《杭州萧山国际机场跑道病害调查技术服务报告》（报告书面文本一式八套，电子版本贰份，其中图纸必须采用CAD2000制图格式），并</w:t>
      </w:r>
      <w:r>
        <w:rPr>
          <w:rFonts w:hint="eastAsia" w:ascii="宋体" w:hAnsi="宋体" w:cs="Arial"/>
          <w:kern w:val="0"/>
          <w:sz w:val="22"/>
          <w:lang w:eastAsia="zh-CN"/>
        </w:rPr>
        <w:t>协助甲方</w:t>
      </w:r>
      <w:r>
        <w:rPr>
          <w:rFonts w:hint="eastAsia" w:ascii="宋体" w:hAnsi="宋体" w:cs="Arial"/>
          <w:kern w:val="0"/>
          <w:sz w:val="22"/>
        </w:rPr>
        <w:t>将病害检测原始电子数据录入杭州机场道面管理系统后，经甲方验收通过后，甲方一次性支付全部服务费用。付款前乙方应提供正式的增值税专用发票。</w:t>
      </w:r>
    </w:p>
    <w:p>
      <w:pPr>
        <w:adjustRightInd w:val="0"/>
        <w:snapToGrid w:val="0"/>
        <w:spacing w:line="360" w:lineRule="exact"/>
        <w:ind w:firstLine="440" w:firstLineChars="200"/>
        <w:rPr>
          <w:rFonts w:ascii="宋体" w:hAnsi="宋体" w:cs="Calibri"/>
          <w:b/>
          <w:bCs/>
          <w:sz w:val="22"/>
        </w:rPr>
      </w:pPr>
      <w:r>
        <w:rPr>
          <w:rFonts w:hint="eastAsia" w:ascii="宋体" w:hAnsi="宋体" w:cs="Calibri"/>
          <w:b/>
          <w:bCs/>
          <w:sz w:val="22"/>
        </w:rPr>
        <w:t>六、税费</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本合同执行中相关的一切税费均由乙方负担。</w:t>
      </w:r>
    </w:p>
    <w:p>
      <w:pPr>
        <w:spacing w:line="380" w:lineRule="exact"/>
        <w:ind w:firstLine="420" w:firstLineChars="200"/>
        <w:rPr>
          <w:b/>
        </w:rPr>
      </w:pPr>
      <w:r>
        <w:rPr>
          <w:rFonts w:hint="eastAsia"/>
          <w:b/>
        </w:rPr>
        <w:t>七、知识产权</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1.乙方应保证所提供的成果或其任何一部分均不会侵犯任何第三方的知识产权。如因乙方违反本条保证并导致甲方遭受损失的，乙方须向甲方承担赔偿责任。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2、如成果涉及知识产权，则乙方保证甲方在使用成果过程中免于受到第三方提出的有关知识产权侵权的主张、索赔或诉讼的伤害。</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djustRightInd w:val="0"/>
        <w:snapToGrid w:val="0"/>
        <w:spacing w:line="360" w:lineRule="exact"/>
        <w:ind w:firstLine="440" w:firstLineChars="200"/>
        <w:rPr>
          <w:rFonts w:ascii="宋体" w:hAnsi="宋体" w:cs="Calibri"/>
          <w:b/>
          <w:bCs/>
          <w:sz w:val="22"/>
        </w:rPr>
      </w:pPr>
      <w:r>
        <w:rPr>
          <w:rFonts w:hint="eastAsia" w:ascii="宋体" w:hAnsi="宋体" w:cs="Calibri"/>
          <w:b/>
          <w:bCs/>
          <w:sz w:val="22"/>
        </w:rPr>
        <w:t>八、违约责任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1.甲方无正当理由拒收接受服务的，甲方向乙方偿付合同款项5%作为违约金。</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乙方未能如期提供服务的，每日向甲方支付合同款项的0.6%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3.乙方应保证提供服务过程中不会侵犯任何第三方的知识产权。如因乙方违反本条保证并导致甲方损失的，乙方须向甲方承担赔偿责任。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4.因乙方提供服务导致甲方或第三方人身、财产损害的，乙方须依法承担全部赔偿责任；如因该等损害导致甲方向第三方承担赔偿责任的，乙方须在甲方赔偿范围内全额向甲方作出赔偿。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5.本合同项下甲方要求的服务，必须由乙方直接供应；除非得到甲方的书面同意，乙方不得将本合同项下的服务全部或部分分包给第三方供应，不得将本合同项下权利义务转让给第三方；如有未经甲方书面同意的转让和分包行为，甲方有权解除合同，并追究乙方的违约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6.乙方未能按合同规定的日期提交技术服务的成果时，并给甲方造成损失时，应向甲方偿付损失，损失费按技术服务费的5%计算。</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7.乙方提供技术服务的成果质量不合格，乙方应当负责无偿给予技术服务，以达到质量要求。因成果质量不符合国家规定的相关规程的要求（非甲方提供的图纸资料原因所致）造成后果时，乙方应对因此造成的直接损失负赔偿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8.对于乙方提供的图纸等资料以及属于乙方的成果，甲方有义务保密，不得向第三方或用于本合同以外的项目，否则乙方有权对因此造成的损失追究责任；对于甲方提供的资料，乙方有义务保密，否则乙方有权对因此造成的损失追究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9.除本合同另有规定外，乙方违反其在本合同项下其他义务并给甲方造成损失的，须向甲方承担全部赔偿责任。</w:t>
      </w:r>
    </w:p>
    <w:p>
      <w:pPr>
        <w:adjustRightInd w:val="0"/>
        <w:snapToGrid w:val="0"/>
        <w:spacing w:line="360" w:lineRule="exact"/>
        <w:ind w:firstLine="440" w:firstLineChars="200"/>
        <w:rPr>
          <w:rFonts w:ascii="宋体" w:hAnsi="宋体" w:cs="Calibri"/>
          <w:b/>
          <w:bCs/>
          <w:sz w:val="22"/>
        </w:rPr>
      </w:pPr>
      <w:r>
        <w:rPr>
          <w:rFonts w:hint="eastAsia" w:ascii="宋体" w:hAnsi="宋体" w:cs="Calibri"/>
          <w:b/>
          <w:bCs/>
          <w:sz w:val="22"/>
        </w:rPr>
        <w:t>九、履约保证金</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乙方应向甲方缴付履约保证金，以保证乙方遵守本合同的一切条款、条件和承诺。乙方在收到中标通知书之日起七个工作日内向甲方合同价的10%作为履约保证金，履约保证金的形式为：银行转账。如果逾期未缴纳，视为乙方违约，甲方有权不予签订合同，并有权追究乙方的违约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在合同履行期间，如果乙方存在违约情形，甲方有权扣除相应款项，并书面通知乙方。乙方自收到书面通知之日起5日内提出异议并补足履约保证金，如果逾期未提出，视为同意。如果乙方不及时补足履约保证金，经甲方通知后3日内，仍未补足，视为乙方违约，甲方有权解除合同，并要求乙方承担相应的违约责任。待合同约定服务内容全部履行并取得甲方认可，乙方不存在任何违约情形，甲方在10日内无息返还履约保证金。</w:t>
      </w:r>
    </w:p>
    <w:p>
      <w:pPr>
        <w:spacing w:line="276" w:lineRule="auto"/>
        <w:ind w:firstLine="420" w:firstLineChars="200"/>
        <w:textAlignment w:val="center"/>
        <w:rPr>
          <w:rFonts w:ascii="宋体" w:hAnsi="宋体"/>
          <w:b/>
          <w:szCs w:val="21"/>
        </w:rPr>
      </w:pPr>
      <w:r>
        <w:rPr>
          <w:rFonts w:hint="eastAsia" w:ascii="宋体" w:hAnsi="宋体"/>
          <w:b/>
          <w:szCs w:val="21"/>
        </w:rPr>
        <w:t>十、双方责任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 甲方责任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1.1甲方按本合同第四条的内容，在规定时间内向乙方提交相关资料，并对其完整性、正确性及时限性负责；并不可要求乙方违反国家有关标准、规定进行测试。</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1.2如需赴现场服务及与施工单位接洽讨论等方面问题时由甲方负责，并由乙方配合。</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1.3监督和督促乙方履行本项目下乙方承担的义务和责任。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2.乙方责任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2.1严格履行本合同乙方承担的义务和责任。若有违约，甲方有权向乙方提出整改意见，乙方在2个工作日内做出回复并进行整改。整改2次仍达不到甲方要求，甲方有权扣除维保费用或终止合同。</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2.2乙方应按国家现行的测试规定、国家技术标准和合同约定进行测试。</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2.3 乙方应按本合同第一条、第三条规定的测试内容和第四条规定的测试时限向甲方提交测试报告。</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2.4乙方对其提交的测试报告的质量负责。甲方将对测试过程不定时抽检，乙方未按约定进行测试的，应重新取样进行测试；如因乙方提交的测试报告与实际不符，造成安全事故的，乙方承担相应经济赔偿与法律责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2.5乙方未按规定期限内向甲方交付检测与评价成果，每逾期一日，应向甲方支付合同总金额的0.3%的违约金，逾期超过15天的，甲方有权解除合同并有权要求乙方赔偿因更换承包单位所产生的一切费用对应与原承包合同报价的差价。</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2.6乙方未经甲方同意将该项目转包，甲方有权没收履约保证金、解除合同并有权要求乙方赔偿因更换承包单位所产生的一切费用对应与原承包合同报价的差价。</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2.7乙方的用工条件必须遵守《中华人民共和国劳动法》、《中华人民共和国劳动合同法》及相关法律法规的规定，在本合同有效期内，乙方必须与其为履行本合同义务而派往甲方的员工建立并存续合法的劳动关系，乙方对该等人员必须依法履行用人单位义务。如果甲方发现乙方未与其派往甲方的员工建立劳动关系或者未依法履行用人单位义务，甲方有权要求乙方停止工作，并终止合同，由此产生的事故、责任均由乙方自行承担。</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2.8乙方员工与乙方发生的一切劳动纠纷及其它纠纷乙方必须妥善处理，并且此等纠纷与甲方无任何关系。</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2.9乙方必须有足够的人员配备负责本合同范围内约定的维护工作。</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2.10 乙方应向员工提供培训专业技能的途径，保证员工有较高的业务能力，满足甲方的合理需求。</w:t>
      </w:r>
    </w:p>
    <w:p>
      <w:pPr>
        <w:adjustRightInd w:val="0"/>
        <w:snapToGrid w:val="0"/>
        <w:spacing w:line="360" w:lineRule="exact"/>
        <w:ind w:right="0" w:rightChars="0" w:firstLine="440" w:firstLineChars="200"/>
        <w:rPr>
          <w:rFonts w:hint="eastAsia" w:ascii="宋体" w:hAnsi="宋体" w:cs="Calibri"/>
          <w:kern w:val="2"/>
          <w:sz w:val="22"/>
        </w:rPr>
      </w:pPr>
      <w:r>
        <w:rPr>
          <w:rFonts w:hint="eastAsia" w:ascii="宋体" w:hAnsi="宋体" w:cs="Calibri"/>
          <w:kern w:val="2"/>
          <w:sz w:val="22"/>
        </w:rPr>
        <w:t>2.11乙方必须遵守甲方的有关规定，并接受有关部门的监督与检查。</w:t>
      </w:r>
    </w:p>
    <w:p>
      <w:pPr>
        <w:spacing w:line="276" w:lineRule="auto"/>
        <w:ind w:firstLine="420" w:firstLineChars="200"/>
        <w:textAlignment w:val="center"/>
        <w:rPr>
          <w:rFonts w:ascii="宋体" w:hAnsi="宋体"/>
          <w:b/>
          <w:szCs w:val="21"/>
        </w:rPr>
      </w:pPr>
      <w:r>
        <w:rPr>
          <w:rFonts w:hint="eastAsia" w:ascii="宋体" w:hAnsi="宋体"/>
          <w:b/>
          <w:szCs w:val="21"/>
        </w:rPr>
        <w:t>十一、保密</w:t>
      </w:r>
    </w:p>
    <w:p>
      <w:pPr>
        <w:ind w:right="315" w:rightChars="150" w:firstLine="440" w:firstLineChars="200"/>
        <w:rPr>
          <w:rFonts w:ascii="宋体" w:hAnsi="宋体" w:cs="Arial"/>
          <w:kern w:val="0"/>
          <w:sz w:val="22"/>
        </w:rPr>
      </w:pPr>
      <w:r>
        <w:rPr>
          <w:rFonts w:hint="eastAsia" w:ascii="宋体" w:hAnsi="宋体" w:cs="Arial"/>
          <w:kern w:val="0"/>
          <w:sz w:val="22"/>
        </w:rPr>
        <w:t>合同双方应对因履行合同而取得的另一方当事人的信息、资料等予以保密。未经另一方当事人书面同意，任何一方均不得为与履行合同无关的目的使用或向第三方披露另一方当事人提供的信息、资料。</w:t>
      </w:r>
    </w:p>
    <w:p>
      <w:pPr>
        <w:ind w:right="315" w:rightChars="150" w:firstLine="440" w:firstLineChars="200"/>
        <w:rPr>
          <w:rFonts w:ascii="宋体" w:hAnsi="宋体" w:cs="Arial"/>
          <w:kern w:val="0"/>
          <w:sz w:val="22"/>
        </w:rPr>
      </w:pPr>
      <w:r>
        <w:rPr>
          <w:rFonts w:hint="eastAsia" w:ascii="宋体" w:hAnsi="宋体" w:cs="Arial"/>
          <w:kern w:val="0"/>
          <w:sz w:val="22"/>
        </w:rPr>
        <w:t>合同当事人的保密义务不适用于下列信息：</w:t>
      </w:r>
    </w:p>
    <w:p>
      <w:pPr>
        <w:ind w:right="315" w:rightChars="150" w:firstLine="440" w:firstLineChars="200"/>
        <w:rPr>
          <w:rFonts w:ascii="宋体" w:hAnsi="宋体" w:cs="Arial"/>
          <w:kern w:val="0"/>
          <w:sz w:val="22"/>
        </w:rPr>
      </w:pPr>
      <w:r>
        <w:rPr>
          <w:rFonts w:hint="eastAsia" w:ascii="宋体" w:hAnsi="宋体" w:cs="Arial"/>
          <w:kern w:val="0"/>
          <w:sz w:val="22"/>
        </w:rPr>
        <w:t>（</w:t>
      </w:r>
      <w:r>
        <w:rPr>
          <w:rFonts w:ascii="宋体" w:hAnsi="宋体" w:cs="Arial"/>
          <w:kern w:val="0"/>
          <w:sz w:val="22"/>
        </w:rPr>
        <w:t>1）非因接受信息一方的过失现在或以后进入公共领域的信息；</w:t>
      </w:r>
    </w:p>
    <w:p>
      <w:pPr>
        <w:ind w:right="315" w:rightChars="150" w:firstLine="440" w:firstLineChars="200"/>
        <w:rPr>
          <w:rFonts w:ascii="宋体" w:hAnsi="宋体" w:cs="Arial"/>
          <w:kern w:val="0"/>
          <w:sz w:val="22"/>
        </w:rPr>
      </w:pPr>
      <w:r>
        <w:rPr>
          <w:rFonts w:hint="eastAsia" w:ascii="宋体" w:hAnsi="宋体" w:cs="Arial"/>
          <w:kern w:val="0"/>
          <w:sz w:val="22"/>
        </w:rPr>
        <w:t>（</w:t>
      </w:r>
      <w:r>
        <w:rPr>
          <w:rFonts w:ascii="宋体" w:hAnsi="宋体" w:cs="Arial"/>
          <w:kern w:val="0"/>
          <w:sz w:val="22"/>
        </w:rPr>
        <w:t>2）接受信息一方当事人合法地从第三方获得并且据其善意了解第三方也</w:t>
      </w:r>
      <w:r>
        <w:rPr>
          <w:rFonts w:hint="eastAsia" w:ascii="宋体" w:hAnsi="宋体" w:cs="Arial"/>
          <w:kern w:val="0"/>
          <w:sz w:val="22"/>
        </w:rPr>
        <w:t>不对此承担保密义务的信息；</w:t>
      </w:r>
    </w:p>
    <w:p>
      <w:pPr>
        <w:ind w:right="315" w:rightChars="150" w:firstLine="440" w:firstLineChars="200"/>
        <w:rPr>
          <w:rFonts w:ascii="宋体" w:hAnsi="宋体" w:cs="Arial"/>
          <w:kern w:val="0"/>
          <w:sz w:val="22"/>
        </w:rPr>
      </w:pPr>
      <w:r>
        <w:rPr>
          <w:rFonts w:hint="eastAsia" w:ascii="宋体" w:hAnsi="宋体" w:cs="Arial"/>
          <w:kern w:val="0"/>
          <w:sz w:val="22"/>
        </w:rPr>
        <w:t>（</w:t>
      </w:r>
      <w:r>
        <w:rPr>
          <w:rFonts w:ascii="宋体" w:hAnsi="宋体" w:cs="Arial"/>
          <w:kern w:val="0"/>
          <w:sz w:val="22"/>
        </w:rPr>
        <w:t>3）法律或法律的执行要求披露的信息。</w:t>
      </w:r>
    </w:p>
    <w:p>
      <w:pPr>
        <w:spacing w:line="276" w:lineRule="auto"/>
        <w:ind w:firstLine="420" w:firstLineChars="200"/>
        <w:textAlignment w:val="center"/>
        <w:rPr>
          <w:rFonts w:ascii="宋体" w:hAnsi="宋体"/>
          <w:szCs w:val="21"/>
        </w:rPr>
      </w:pPr>
      <w:r>
        <w:rPr>
          <w:rFonts w:hint="eastAsia" w:ascii="宋体" w:hAnsi="宋体"/>
          <w:b/>
          <w:szCs w:val="21"/>
        </w:rPr>
        <w:t>十二、</w:t>
      </w:r>
      <w:r>
        <w:rPr>
          <w:rFonts w:hint="eastAsia" w:ascii="宋体" w:hAnsi="宋体"/>
          <w:szCs w:val="21"/>
        </w:rPr>
        <w:t>争议解决</w:t>
      </w:r>
    </w:p>
    <w:p>
      <w:pPr>
        <w:ind w:right="315" w:rightChars="150" w:firstLine="440" w:firstLineChars="200"/>
        <w:rPr>
          <w:rFonts w:ascii="宋体" w:hAnsi="宋体" w:cs="Arial"/>
          <w:kern w:val="0"/>
          <w:sz w:val="22"/>
        </w:rPr>
      </w:pPr>
      <w:r>
        <w:rPr>
          <w:rFonts w:hint="eastAsia" w:ascii="宋体" w:hAnsi="宋体" w:cs="Arial"/>
          <w:kern w:val="0"/>
          <w:sz w:val="22"/>
        </w:rPr>
        <w:t>在合同履行中产生的争议，甲乙双方应友好协商解决，协商不成的双方均可向甲方所在地的人民法院起诉。</w:t>
      </w:r>
    </w:p>
    <w:p>
      <w:pPr>
        <w:spacing w:line="276" w:lineRule="auto"/>
        <w:ind w:firstLine="420" w:firstLineChars="200"/>
        <w:textAlignment w:val="center"/>
        <w:rPr>
          <w:rFonts w:ascii="宋体" w:hAnsi="宋体"/>
          <w:szCs w:val="21"/>
        </w:rPr>
      </w:pPr>
      <w:r>
        <w:rPr>
          <w:rFonts w:hint="eastAsia" w:ascii="宋体" w:hAnsi="宋体"/>
          <w:b/>
          <w:szCs w:val="21"/>
        </w:rPr>
        <w:t>十三、</w:t>
      </w:r>
      <w:r>
        <w:rPr>
          <w:rFonts w:hint="eastAsia" w:ascii="宋体" w:hAnsi="宋体"/>
          <w:szCs w:val="21"/>
        </w:rPr>
        <w:t>合同生效及其它</w:t>
      </w:r>
    </w:p>
    <w:p>
      <w:pPr>
        <w:ind w:right="315" w:rightChars="150" w:firstLine="440" w:firstLineChars="200"/>
        <w:rPr>
          <w:rFonts w:ascii="宋体" w:hAnsi="宋体" w:cs="Arial"/>
          <w:kern w:val="0"/>
          <w:sz w:val="22"/>
        </w:rPr>
      </w:pPr>
      <w:r>
        <w:rPr>
          <w:rFonts w:ascii="宋体" w:hAnsi="宋体" w:cs="Arial"/>
          <w:kern w:val="0"/>
          <w:sz w:val="22"/>
        </w:rPr>
        <w:t>1.合同经双方法定代表人或授权代表签字并加盖单位公章后之日起生效。</w:t>
      </w:r>
    </w:p>
    <w:p>
      <w:pPr>
        <w:ind w:right="315" w:rightChars="150" w:firstLine="440" w:firstLineChars="200"/>
        <w:rPr>
          <w:rFonts w:ascii="宋体" w:hAnsi="宋体" w:cs="Arial"/>
          <w:kern w:val="0"/>
          <w:sz w:val="22"/>
        </w:rPr>
      </w:pPr>
      <w:r>
        <w:rPr>
          <w:rFonts w:ascii="宋体" w:hAnsi="宋体" w:cs="Arial"/>
          <w:kern w:val="0"/>
          <w:sz w:val="22"/>
        </w:rPr>
        <w:t>2.本合同未尽事宜，双方可签订补充协议予以执行；未达成补充协议的，遵照《合同法》及有关法律法规执行。</w:t>
      </w:r>
    </w:p>
    <w:p>
      <w:pPr>
        <w:ind w:right="315" w:rightChars="150" w:firstLine="440" w:firstLineChars="200"/>
        <w:rPr>
          <w:rFonts w:ascii="宋体" w:hAnsi="宋体" w:cs="Arial"/>
          <w:kern w:val="0"/>
          <w:sz w:val="22"/>
        </w:rPr>
      </w:pPr>
      <w:r>
        <w:rPr>
          <w:rFonts w:ascii="宋体" w:hAnsi="宋体" w:cs="Arial"/>
          <w:kern w:val="0"/>
          <w:sz w:val="22"/>
        </w:rPr>
        <w:t>3.本合同正本一式陆份，具有同等法律效力，甲方执肆份，乙方执贰份，经双方签字盖章后生效。</w:t>
      </w: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r>
        <w:rPr>
          <w:rFonts w:hint="eastAsia" w:ascii="宋体" w:hAnsi="宋体"/>
          <w:szCs w:val="21"/>
        </w:rPr>
        <w:tab/>
      </w:r>
    </w:p>
    <w:p>
      <w:pPr>
        <w:spacing w:line="276" w:lineRule="auto"/>
        <w:ind w:firstLine="420" w:firstLineChars="200"/>
        <w:textAlignment w:val="center"/>
        <w:rPr>
          <w:rFonts w:ascii="宋体" w:hAnsi="宋体"/>
          <w:szCs w:val="21"/>
        </w:rPr>
      </w:pPr>
      <w:r>
        <w:rPr>
          <w:rFonts w:hint="eastAsia" w:ascii="宋体" w:hAnsi="宋体"/>
          <w:szCs w:val="21"/>
        </w:rPr>
        <w:t xml:space="preserve">甲方：杭州萧山国际机场有限公司  乙方： </w:t>
      </w:r>
    </w:p>
    <w:p>
      <w:pPr>
        <w:spacing w:line="276" w:lineRule="auto"/>
        <w:ind w:firstLine="420" w:firstLineChars="200"/>
        <w:textAlignment w:val="center"/>
        <w:rPr>
          <w:rFonts w:ascii="宋体" w:hAnsi="宋体"/>
          <w:szCs w:val="21"/>
        </w:rPr>
      </w:pPr>
      <w:r>
        <w:rPr>
          <w:rFonts w:hint="eastAsia" w:ascii="宋体" w:hAnsi="宋体"/>
          <w:szCs w:val="21"/>
        </w:rPr>
        <w:t xml:space="preserve">地址：杭州萧山国际机场内        地址： </w:t>
      </w:r>
    </w:p>
    <w:p>
      <w:pPr>
        <w:spacing w:line="276" w:lineRule="auto"/>
        <w:ind w:firstLine="420" w:firstLineChars="200"/>
        <w:textAlignment w:val="center"/>
        <w:rPr>
          <w:rFonts w:ascii="宋体" w:hAnsi="宋体"/>
          <w:szCs w:val="21"/>
        </w:rPr>
      </w:pPr>
    </w:p>
    <w:p>
      <w:pPr>
        <w:spacing w:line="276" w:lineRule="auto"/>
        <w:ind w:firstLine="420" w:firstLineChars="200"/>
        <w:textAlignment w:val="center"/>
        <w:rPr>
          <w:rFonts w:ascii="宋体" w:hAnsi="宋体"/>
          <w:szCs w:val="21"/>
        </w:rPr>
      </w:pPr>
      <w:r>
        <w:rPr>
          <w:rFonts w:hint="eastAsia" w:ascii="宋体" w:hAnsi="宋体"/>
          <w:szCs w:val="21"/>
        </w:rPr>
        <w:t>法定代表人（签字）：             法定代表人（签字）：</w:t>
      </w:r>
    </w:p>
    <w:p>
      <w:pPr>
        <w:spacing w:line="276" w:lineRule="auto"/>
        <w:ind w:firstLine="420" w:firstLineChars="200"/>
        <w:textAlignment w:val="center"/>
        <w:rPr>
          <w:rFonts w:ascii="宋体" w:hAnsi="宋体"/>
          <w:szCs w:val="21"/>
        </w:rPr>
      </w:pPr>
      <w:r>
        <w:rPr>
          <w:rFonts w:hint="eastAsia" w:ascii="宋体" w:hAnsi="宋体"/>
          <w:szCs w:val="21"/>
        </w:rPr>
        <w:t>或                              或</w:t>
      </w:r>
    </w:p>
    <w:p>
      <w:pPr>
        <w:spacing w:line="276" w:lineRule="auto"/>
        <w:ind w:firstLine="420" w:firstLineChars="200"/>
        <w:textAlignment w:val="center"/>
        <w:rPr>
          <w:rFonts w:ascii="宋体" w:hAnsi="宋体"/>
          <w:szCs w:val="21"/>
        </w:rPr>
      </w:pPr>
      <w:r>
        <w:rPr>
          <w:rFonts w:hint="eastAsia" w:ascii="宋体" w:hAnsi="宋体"/>
          <w:szCs w:val="21"/>
        </w:rPr>
        <w:t>授权代表（签字）：               授权代表（签字）：</w:t>
      </w:r>
    </w:p>
    <w:p>
      <w:pPr>
        <w:spacing w:line="276" w:lineRule="auto"/>
        <w:ind w:firstLine="420" w:firstLineChars="200"/>
        <w:textAlignment w:val="center"/>
        <w:rPr>
          <w:rFonts w:ascii="宋体" w:hAnsi="宋体"/>
          <w:szCs w:val="21"/>
        </w:rPr>
      </w:pPr>
      <w:r>
        <w:rPr>
          <w:rFonts w:hint="eastAsia" w:ascii="宋体" w:hAnsi="宋体"/>
          <w:szCs w:val="21"/>
        </w:rPr>
        <w:t xml:space="preserve">签字日期：                      签字日期： </w:t>
      </w:r>
    </w:p>
    <w:p>
      <w:pPr>
        <w:spacing w:line="276" w:lineRule="auto"/>
        <w:ind w:firstLine="420" w:firstLineChars="200"/>
        <w:textAlignment w:val="center"/>
        <w:rPr>
          <w:rFonts w:ascii="宋体" w:hAnsi="宋体"/>
          <w:szCs w:val="21"/>
        </w:rPr>
      </w:pPr>
      <w:r>
        <w:rPr>
          <w:rFonts w:hint="eastAsia" w:ascii="宋体" w:hAnsi="宋体"/>
          <w:szCs w:val="21"/>
        </w:rPr>
        <w:t>年  月  日                      年  月  日</w:t>
      </w:r>
    </w:p>
    <w:p>
      <w:pPr>
        <w:spacing w:line="276" w:lineRule="auto"/>
        <w:textAlignment w:val="center"/>
        <w:rPr>
          <w:rFonts w:ascii="宋体" w:hAnsi="宋体"/>
          <w:szCs w:val="21"/>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pStyle w:val="77"/>
        <w:spacing w:line="360" w:lineRule="exact"/>
        <w:ind w:firstLine="0" w:firstLineChars="0"/>
        <w:jc w:val="left"/>
        <w:rPr>
          <w:rFonts w:hint="eastAsia" w:ascii="宋体" w:hAnsi="宋体"/>
          <w:b/>
          <w:color w:val="auto"/>
          <w:sz w:val="28"/>
          <w:szCs w:val="28"/>
        </w:rPr>
      </w:pPr>
    </w:p>
    <w:p>
      <w:pPr>
        <w:snapToGrid w:val="0"/>
        <w:spacing w:line="360" w:lineRule="auto"/>
        <w:jc w:val="left"/>
        <w:outlineLvl w:val="2"/>
        <w:rPr>
          <w:rFonts w:ascii="宋体" w:hAnsi="宋体" w:cs="宋体"/>
          <w:bCs/>
          <w:sz w:val="24"/>
          <w:szCs w:val="24"/>
        </w:rPr>
      </w:pPr>
      <w:r>
        <w:rPr>
          <w:rFonts w:hint="eastAsia" w:ascii="宋体" w:hAnsi="宋体" w:cs="宋体"/>
          <w:bCs/>
          <w:sz w:val="24"/>
          <w:szCs w:val="24"/>
        </w:rPr>
        <w:t>附件一：</w:t>
      </w:r>
    </w:p>
    <w:p>
      <w:pPr>
        <w:pStyle w:val="77"/>
        <w:spacing w:line="360" w:lineRule="exact"/>
        <w:ind w:firstLine="482"/>
        <w:jc w:val="center"/>
        <w:rPr>
          <w:rFonts w:ascii="仿宋_GB2312" w:hAnsi="仿宋_GB2312" w:eastAsia="仿宋_GB2312" w:cs="仿宋_GB2312"/>
          <w:b/>
          <w:color w:val="auto"/>
          <w:sz w:val="24"/>
          <w:szCs w:val="24"/>
        </w:rPr>
      </w:pPr>
    </w:p>
    <w:p>
      <w:pPr>
        <w:pStyle w:val="77"/>
        <w:ind w:firstLine="0" w:firstLineChars="0"/>
        <w:jc w:val="center"/>
        <w:rPr>
          <w:rFonts w:ascii="宋体" w:hAnsi="宋体"/>
          <w:b/>
          <w:color w:val="auto"/>
          <w:sz w:val="36"/>
        </w:rPr>
      </w:pPr>
      <w:r>
        <w:rPr>
          <w:rFonts w:hint="eastAsia" w:ascii="宋体" w:hAnsi="宋体"/>
          <w:b/>
          <w:color w:val="auto"/>
          <w:sz w:val="36"/>
        </w:rPr>
        <w:t>廉洁自律承诺书</w:t>
      </w:r>
    </w:p>
    <w:p>
      <w:pPr>
        <w:pStyle w:val="77"/>
        <w:ind w:firstLine="0" w:firstLineChars="0"/>
        <w:rPr>
          <w:rFonts w:ascii="宋体" w:hAnsi="宋体"/>
          <w:color w:val="auto"/>
        </w:rPr>
      </w:pPr>
    </w:p>
    <w:p>
      <w:pPr>
        <w:adjustRightInd w:val="0"/>
        <w:snapToGrid w:val="0"/>
        <w:spacing w:line="400" w:lineRule="exact"/>
        <w:rPr>
          <w:rFonts w:ascii="宋体" w:hAnsi="宋体"/>
        </w:rPr>
      </w:pPr>
      <w:r>
        <w:rPr>
          <w:rFonts w:hint="eastAsia" w:ascii="宋体" w:hAnsi="宋体"/>
        </w:rPr>
        <w:t>杭州萧山国际机场有限公司：</w:t>
      </w:r>
    </w:p>
    <w:p>
      <w:pPr>
        <w:adjustRightInd w:val="0"/>
        <w:snapToGrid w:val="0"/>
        <w:spacing w:line="400" w:lineRule="exact"/>
        <w:ind w:firstLine="420" w:firstLineChars="200"/>
        <w:rPr>
          <w:rFonts w:ascii="宋体" w:hAnsi="宋体"/>
        </w:rPr>
      </w:pPr>
      <w:r>
        <w:rPr>
          <w:rFonts w:hint="eastAsia" w:ascii="宋体" w:hAnsi="宋体"/>
        </w:rPr>
        <w:t>我方响应贵公司杭州萧山国际机场飞行区跑道除胶及道面灌缝更新项目招标要求，参加杭州萧山国际机场飞行区跑道除胶及道面灌缝更新项目投标。在投标过程中及中标后，我们将严格遵守国家法律法规和贵司招标文件要求，并郑重作出如下承诺和保证：</w:t>
      </w:r>
    </w:p>
    <w:p>
      <w:pPr>
        <w:adjustRightInd w:val="0"/>
        <w:snapToGrid w:val="0"/>
        <w:spacing w:line="400" w:lineRule="exact"/>
        <w:ind w:firstLine="420" w:firstLineChars="200"/>
        <w:rPr>
          <w:rFonts w:ascii="宋体" w:hAnsi="宋体"/>
          <w:szCs w:val="21"/>
        </w:rPr>
      </w:pPr>
      <w:r>
        <w:rPr>
          <w:rFonts w:hint="eastAsia" w:ascii="宋体" w:hAnsi="宋体"/>
          <w:szCs w:val="21"/>
        </w:rPr>
        <w:t>一、不以任何形式，无论是主动或是被动的，向贵公司有关人员或贵公司聘请的包括但不限于项目设计、监理、招标代理、造价咨询、审计、图审、检测、评估、评标专家、顾问等中介机构、第三方人员赠送无论有价或无价的礼金、礼物、酬金、或其它代币券、回扣、中介费、咨询费、好处费等利益、收益或条件；或就上述内容作出任何暗示、许诺、允诺；</w:t>
      </w:r>
    </w:p>
    <w:p>
      <w:pPr>
        <w:adjustRightInd w:val="0"/>
        <w:snapToGrid w:val="0"/>
        <w:spacing w:line="400" w:lineRule="exact"/>
        <w:ind w:firstLine="420" w:firstLineChars="200"/>
        <w:rPr>
          <w:rFonts w:ascii="宋体" w:hAnsi="宋体"/>
          <w:szCs w:val="21"/>
        </w:rPr>
      </w:pPr>
      <w:r>
        <w:rPr>
          <w:rFonts w:hint="eastAsia" w:ascii="宋体" w:hAnsi="宋体"/>
          <w:szCs w:val="21"/>
        </w:rPr>
        <w:t>二、不以任何名义为贵公司有关人员或项目第三方人员报销应由贵公司或个人支付的费用；</w:t>
      </w:r>
    </w:p>
    <w:p>
      <w:pPr>
        <w:adjustRightInd w:val="0"/>
        <w:snapToGrid w:val="0"/>
        <w:spacing w:line="400" w:lineRule="exact"/>
        <w:ind w:firstLine="420" w:firstLineChars="200"/>
        <w:rPr>
          <w:rFonts w:ascii="宋体" w:hAnsi="宋体"/>
          <w:szCs w:val="21"/>
        </w:rPr>
      </w:pPr>
      <w:r>
        <w:rPr>
          <w:rFonts w:hint="eastAsia" w:ascii="宋体" w:hAnsi="宋体"/>
          <w:szCs w:val="21"/>
        </w:rPr>
        <w:t>三、不向贵公司有关人员或项目第三方人员提供宴请、旅游、和健身娱乐等活动；</w:t>
      </w:r>
    </w:p>
    <w:p>
      <w:pPr>
        <w:adjustRightInd w:val="0"/>
        <w:snapToGrid w:val="0"/>
        <w:spacing w:line="400" w:lineRule="exact"/>
        <w:ind w:firstLine="420" w:firstLineChars="200"/>
        <w:rPr>
          <w:rFonts w:ascii="宋体" w:hAnsi="宋体"/>
          <w:szCs w:val="21"/>
        </w:rPr>
      </w:pPr>
      <w:r>
        <w:rPr>
          <w:rFonts w:hint="eastAsia" w:ascii="宋体" w:hAnsi="宋体"/>
          <w:szCs w:val="21"/>
        </w:rPr>
        <w:t>四、不为贵公司有关人员或项目第三方人员出国（境）、旅游等提供方便；</w:t>
      </w:r>
    </w:p>
    <w:p>
      <w:pPr>
        <w:adjustRightInd w:val="0"/>
        <w:snapToGrid w:val="0"/>
        <w:spacing w:line="400" w:lineRule="exact"/>
        <w:ind w:firstLine="420" w:firstLineChars="200"/>
        <w:rPr>
          <w:rFonts w:ascii="宋体" w:hAnsi="宋体"/>
          <w:szCs w:val="21"/>
        </w:rPr>
      </w:pPr>
      <w:r>
        <w:rPr>
          <w:rFonts w:hint="eastAsia" w:ascii="宋体" w:hAnsi="宋体"/>
          <w:szCs w:val="21"/>
        </w:rPr>
        <w:t>五、不为贵公司有关人员或项目第三方人员个人装修住房、婚丧嫁娶、配偶子女工作安排等提供好处或便利条件；</w:t>
      </w:r>
    </w:p>
    <w:p>
      <w:pPr>
        <w:adjustRightInd w:val="0"/>
        <w:snapToGrid w:val="0"/>
        <w:spacing w:line="400" w:lineRule="exact"/>
        <w:ind w:firstLine="420" w:firstLineChars="200"/>
        <w:rPr>
          <w:rFonts w:ascii="宋体" w:hAnsi="宋体"/>
          <w:szCs w:val="21"/>
        </w:rPr>
      </w:pPr>
      <w:r>
        <w:rPr>
          <w:rFonts w:hint="eastAsia" w:ascii="宋体" w:hAnsi="宋体"/>
          <w:szCs w:val="21"/>
        </w:rPr>
        <w:t>六、严格遵守国家招标投标法、合同法等法律规定，诚实守信，合法经营，坚决杜绝各种违法违纪行为。</w:t>
      </w:r>
    </w:p>
    <w:p>
      <w:pPr>
        <w:adjustRightInd w:val="0"/>
        <w:snapToGrid w:val="0"/>
        <w:spacing w:line="400" w:lineRule="exact"/>
        <w:ind w:firstLine="420" w:firstLineChars="200"/>
        <w:rPr>
          <w:rFonts w:ascii="宋体" w:hAnsi="宋体"/>
          <w:szCs w:val="21"/>
        </w:rPr>
      </w:pPr>
      <w:r>
        <w:rPr>
          <w:rFonts w:ascii="宋体" w:hAnsi="宋体"/>
          <w:szCs w:val="21"/>
        </w:rPr>
        <w:t>七</w:t>
      </w:r>
      <w:r>
        <w:rPr>
          <w:rFonts w:hint="eastAsia" w:ascii="宋体" w:hAnsi="宋体"/>
          <w:szCs w:val="21"/>
        </w:rPr>
        <w:t>、若发现贵公司有关人员或项目第三方人员有故意设置障碍或推诿刁难我方人员参与正常投标项目建设活动以索要好处等行为，我单位将及时向贵公司纪检监察部门举报，举报电话：0571－86661113、86665823。</w:t>
      </w:r>
    </w:p>
    <w:p>
      <w:pPr>
        <w:snapToGrid w:val="0"/>
        <w:spacing w:line="400" w:lineRule="exact"/>
        <w:ind w:firstLine="420" w:firstLineChars="200"/>
        <w:rPr>
          <w:rFonts w:ascii="宋体" w:hAnsi="宋体"/>
          <w:szCs w:val="21"/>
        </w:rPr>
      </w:pPr>
      <w:r>
        <w:rPr>
          <w:rFonts w:hint="eastAsia" w:ascii="宋体" w:hAnsi="宋体"/>
          <w:szCs w:val="21"/>
        </w:rPr>
        <w:t>八、如违反上述廉洁自律承诺，贵公司有权：</w:t>
      </w:r>
    </w:p>
    <w:p>
      <w:pPr>
        <w:adjustRightInd w:val="0"/>
        <w:snapToGrid w:val="0"/>
        <w:spacing w:line="400" w:lineRule="exact"/>
        <w:ind w:firstLine="420" w:firstLineChars="200"/>
        <w:rPr>
          <w:rFonts w:ascii="宋体" w:hAnsi="宋体"/>
          <w:szCs w:val="21"/>
        </w:rPr>
      </w:pPr>
      <w:r>
        <w:rPr>
          <w:rFonts w:hint="eastAsia" w:ascii="宋体" w:hAnsi="宋体"/>
          <w:szCs w:val="21"/>
        </w:rPr>
        <w:t>1）立即取消我单位投标、中标或在建项目的实施资格；</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）扣除我方向贵公司缴纳的履约保证金的1</w:t>
      </w:r>
      <w:r>
        <w:rPr>
          <w:rFonts w:ascii="宋体" w:hAnsi="宋体"/>
          <w:szCs w:val="21"/>
        </w:rPr>
        <w:t>0</w:t>
      </w:r>
      <w:r>
        <w:rPr>
          <w:rFonts w:hint="eastAsia" w:ascii="宋体" w:hAnsi="宋体"/>
          <w:szCs w:val="21"/>
        </w:rPr>
        <w:t>%作为违反廉洁自律承诺的违约金。如该违约金不足以弥补贵公司损失的，我单位仍将承担实际损失赔偿责任；</w:t>
      </w:r>
    </w:p>
    <w:p>
      <w:pPr>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）拒绝我单位在一定时期内进入贵公司进行项目建设或其它经营活动；</w:t>
      </w:r>
    </w:p>
    <w:p>
      <w:pPr>
        <w:adjustRightInd w:val="0"/>
        <w:snapToGrid w:val="0"/>
        <w:spacing w:line="400" w:lineRule="exact"/>
        <w:ind w:firstLine="420" w:firstLineChars="200"/>
        <w:rPr>
          <w:rFonts w:ascii="宋体" w:hAnsi="宋体"/>
          <w:szCs w:val="21"/>
        </w:rPr>
      </w:pPr>
      <w:r>
        <w:rPr>
          <w:rFonts w:ascii="宋体" w:hAnsi="宋体"/>
          <w:szCs w:val="24"/>
        </w:rPr>
        <w:t>4</w:t>
      </w:r>
      <w:r>
        <w:rPr>
          <w:rFonts w:hint="eastAsia" w:ascii="宋体" w:hAnsi="宋体"/>
          <w:szCs w:val="24"/>
        </w:rPr>
        <w:t>）由此引起的相应损失均由我单位承担。</w:t>
      </w:r>
    </w:p>
    <w:p>
      <w:pPr>
        <w:adjustRightInd w:val="0"/>
        <w:snapToGrid w:val="0"/>
        <w:spacing w:line="400" w:lineRule="exact"/>
        <w:ind w:firstLine="420" w:firstLineChars="200"/>
        <w:rPr>
          <w:rFonts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rPr>
        <w:t xml:space="preserve">承诺人单位名称（盖章）：            </w:t>
      </w:r>
    </w:p>
    <w:p>
      <w:pPr>
        <w:adjustRightInd w:val="0"/>
        <w:snapToGrid w:val="0"/>
        <w:spacing w:line="4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                    </w:t>
      </w:r>
    </w:p>
    <w:p>
      <w:pPr>
        <w:adjustRightInd w:val="0"/>
        <w:snapToGrid w:val="0"/>
        <w:spacing w:line="400" w:lineRule="exact"/>
        <w:ind w:firstLine="420" w:firstLineChars="200"/>
        <w:rPr>
          <w:rFonts w:ascii="宋体" w:hAnsi="宋体"/>
          <w:szCs w:val="21"/>
        </w:rPr>
      </w:pPr>
      <w:r>
        <w:rPr>
          <w:rFonts w:hint="eastAsia" w:ascii="宋体" w:hAnsi="宋体"/>
          <w:szCs w:val="21"/>
        </w:rPr>
        <w:t>或</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p>
    <w:p>
      <w:pPr>
        <w:adjustRightInd w:val="0"/>
        <w:snapToGrid w:val="0"/>
        <w:spacing w:line="360" w:lineRule="exact"/>
        <w:ind w:firstLine="600" w:firstLineChars="200"/>
        <w:jc w:val="left"/>
        <w:rPr>
          <w:rFonts w:ascii="宋体" w:hAnsi="宋体"/>
          <w:b/>
          <w:sz w:val="30"/>
          <w:szCs w:val="20"/>
        </w:rPr>
      </w:pPr>
    </w:p>
    <w:p>
      <w:pPr>
        <w:widowControl/>
        <w:jc w:val="left"/>
        <w:rPr>
          <w:rFonts w:ascii="宋体" w:hAnsi="宋体"/>
          <w:b/>
          <w:bCs/>
          <w:kern w:val="0"/>
          <w:sz w:val="32"/>
          <w:szCs w:val="32"/>
        </w:rPr>
      </w:pPr>
      <w:r>
        <w:rPr>
          <w:rFonts w:ascii="宋体" w:hAnsi="宋体"/>
          <w:b/>
          <w:sz w:val="30"/>
        </w:rPr>
        <w:t xml:space="preserve">   </w:t>
      </w:r>
      <w:r>
        <w:rPr>
          <w:rFonts w:ascii="宋体" w:hAnsi="宋体"/>
        </w:rPr>
        <w:t xml:space="preserve">                                     年     月     日</w:t>
      </w:r>
    </w:p>
    <w:bookmarkEnd w:id="121"/>
    <w:bookmarkEnd w:id="122"/>
    <w:p>
      <w:pPr>
        <w:spacing w:before="120" w:beforeLines="50" w:after="240" w:afterLines="100" w:line="440" w:lineRule="exact"/>
        <w:jc w:val="left"/>
        <w:rPr>
          <w:b/>
          <w:color w:val="000000"/>
          <w:sz w:val="30"/>
        </w:rPr>
      </w:pPr>
    </w:p>
    <w:p>
      <w:pPr>
        <w:pStyle w:val="4"/>
        <w:spacing w:before="0" w:after="0" w:line="360" w:lineRule="auto"/>
        <w:jc w:val="center"/>
        <w:rPr>
          <w:rFonts w:ascii="Calibri" w:hAnsi="Calibri" w:eastAsia="黑体" w:cs="Calibri"/>
          <w:kern w:val="0"/>
          <w:sz w:val="32"/>
        </w:rPr>
      </w:pPr>
      <w:bookmarkStart w:id="123" w:name="_Toc535504377"/>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评标方法及标准</w:t>
      </w:r>
      <w:bookmarkEnd w:id="123"/>
    </w:p>
    <w:p>
      <w:pPr>
        <w:pStyle w:val="21"/>
        <w:spacing w:line="360" w:lineRule="exact"/>
        <w:ind w:firstLine="420"/>
        <w:rPr>
          <w:rFonts w:hAnsi="宋体" w:cs="Calibri"/>
          <w:bCs/>
          <w:sz w:val="22"/>
          <w:szCs w:val="22"/>
        </w:rPr>
      </w:pPr>
      <w:bookmarkStart w:id="124" w:name="_Toc29892"/>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21"/>
        <w:spacing w:line="360" w:lineRule="exact"/>
        <w:rPr>
          <w:rFonts w:hAnsi="宋体" w:cs="Calibri"/>
          <w:b/>
          <w:bCs/>
          <w:sz w:val="22"/>
          <w:szCs w:val="22"/>
        </w:rPr>
      </w:pPr>
      <w:r>
        <w:rPr>
          <w:rFonts w:hAnsi="宋体" w:cs="Calibri"/>
          <w:b/>
          <w:bCs/>
          <w:sz w:val="22"/>
          <w:szCs w:val="22"/>
        </w:rPr>
        <w:t>一、评标原则</w:t>
      </w:r>
    </w:p>
    <w:p>
      <w:pPr>
        <w:pStyle w:val="21"/>
        <w:spacing w:line="360" w:lineRule="exact"/>
        <w:ind w:firstLine="420"/>
        <w:rPr>
          <w:rFonts w:hAnsi="宋体" w:cs="Calibri"/>
          <w:sz w:val="22"/>
          <w:szCs w:val="22"/>
        </w:rPr>
      </w:pPr>
      <w:r>
        <w:rPr>
          <w:rFonts w:hAnsi="宋体" w:cs="Calibri"/>
          <w:bCs/>
          <w:sz w:val="22"/>
          <w:szCs w:val="22"/>
        </w:rPr>
        <w:t>评标应遵循公平、公正、科学、择优的原则。</w:t>
      </w:r>
    </w:p>
    <w:p>
      <w:pPr>
        <w:pStyle w:val="21"/>
        <w:spacing w:line="360" w:lineRule="exact"/>
        <w:rPr>
          <w:rFonts w:hAnsi="宋体" w:cs="Calibri"/>
          <w:b/>
          <w:bCs/>
          <w:sz w:val="22"/>
          <w:szCs w:val="22"/>
        </w:rPr>
      </w:pPr>
      <w:r>
        <w:rPr>
          <w:rFonts w:hAnsi="宋体" w:cs="Calibri"/>
          <w:b/>
          <w:bCs/>
          <w:sz w:val="22"/>
          <w:szCs w:val="22"/>
        </w:rPr>
        <w:t>二、评标组织</w:t>
      </w:r>
    </w:p>
    <w:p>
      <w:pPr>
        <w:pStyle w:val="21"/>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3</w:t>
      </w:r>
      <w:r>
        <w:rPr>
          <w:rFonts w:hAnsi="宋体" w:cs="Calibri"/>
          <w:sz w:val="22"/>
          <w:szCs w:val="22"/>
        </w:rPr>
        <w:t>人及以上单数，</w:t>
      </w:r>
      <w:r>
        <w:rPr>
          <w:rFonts w:hint="eastAsia" w:hAnsi="宋体"/>
          <w:sz w:val="22"/>
          <w:szCs w:val="22"/>
        </w:rPr>
        <w:t>评标委员会由招标人自行组建。</w:t>
      </w:r>
    </w:p>
    <w:p>
      <w:pPr>
        <w:pStyle w:val="21"/>
        <w:spacing w:line="360" w:lineRule="exact"/>
        <w:rPr>
          <w:rFonts w:hAnsi="宋体" w:cs="Calibri"/>
          <w:b/>
          <w:bCs/>
          <w:sz w:val="22"/>
          <w:szCs w:val="22"/>
        </w:rPr>
      </w:pPr>
      <w:r>
        <w:rPr>
          <w:rFonts w:hAnsi="宋体" w:cs="Calibri"/>
          <w:b/>
          <w:bCs/>
          <w:sz w:val="22"/>
          <w:szCs w:val="22"/>
        </w:rPr>
        <w:t>三、投标文件的评审</w:t>
      </w:r>
    </w:p>
    <w:p>
      <w:pPr>
        <w:pStyle w:val="21"/>
        <w:spacing w:line="360" w:lineRule="exact"/>
        <w:ind w:firstLine="440"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作废标处理，</w:t>
      </w:r>
      <w:r>
        <w:rPr>
          <w:rFonts w:ascii="宋体" w:hAnsi="宋体" w:cs="Calibri"/>
          <w:bCs/>
          <w:kern w:val="0"/>
          <w:sz w:val="22"/>
        </w:rPr>
        <w:t>不再进行详细评审：</w:t>
      </w:r>
    </w:p>
    <w:p>
      <w:pPr>
        <w:spacing w:line="360" w:lineRule="exact"/>
        <w:ind w:firstLine="470"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0"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0"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0"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0" w:firstLineChars="214"/>
        <w:rPr>
          <w:rFonts w:ascii="宋体" w:hAnsi="宋体" w:cs="Calibri"/>
          <w:sz w:val="22"/>
        </w:rPr>
      </w:pPr>
      <w:r>
        <w:rPr>
          <w:rFonts w:ascii="宋体" w:hAnsi="宋体" w:cs="Calibri"/>
          <w:sz w:val="22"/>
        </w:rPr>
        <w:t>5、</w:t>
      </w:r>
      <w:r>
        <w:rPr>
          <w:rFonts w:hint="eastAsia" w:ascii="宋体" w:hAnsi="宋体" w:cs="Calibri"/>
          <w:sz w:val="22"/>
        </w:rPr>
        <w:t>服务</w:t>
      </w:r>
      <w:r>
        <w:rPr>
          <w:rFonts w:ascii="宋体" w:hAnsi="宋体" w:cs="Calibri"/>
          <w:sz w:val="22"/>
        </w:rPr>
        <w:t>期不满足招标文件要求的；</w:t>
      </w:r>
    </w:p>
    <w:p>
      <w:pPr>
        <w:spacing w:line="360" w:lineRule="exact"/>
        <w:ind w:firstLine="470" w:firstLineChars="214"/>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0" w:firstLineChars="214"/>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pPr>
        <w:spacing w:line="360" w:lineRule="exact"/>
        <w:ind w:firstLine="470" w:firstLineChars="214"/>
        <w:rPr>
          <w:rFonts w:ascii="宋体" w:hAnsi="宋体" w:cs="Calibri"/>
          <w:sz w:val="22"/>
        </w:rPr>
      </w:pPr>
      <w:r>
        <w:rPr>
          <w:rFonts w:ascii="宋体" w:hAnsi="宋体" w:cs="Calibri"/>
          <w:sz w:val="22"/>
        </w:rPr>
        <w:t>8、投标人以他人名义投标、或与他人串通投标、或以行贿手段谋取中标，或弄虚作假的；</w:t>
      </w:r>
    </w:p>
    <w:p>
      <w:pPr>
        <w:spacing w:line="360" w:lineRule="exact"/>
        <w:ind w:firstLine="470" w:firstLineChars="214"/>
        <w:rPr>
          <w:rFonts w:ascii="宋体" w:hAnsi="宋体" w:cs="Calibri"/>
          <w:sz w:val="22"/>
        </w:rPr>
      </w:pPr>
      <w:r>
        <w:rPr>
          <w:rFonts w:hint="eastAsia" w:ascii="宋体" w:hAnsi="宋体" w:cs="Calibri"/>
          <w:sz w:val="22"/>
        </w:rPr>
        <w:t>9</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4" w:firstLineChars="202"/>
        <w:rPr>
          <w:rFonts w:ascii="宋体" w:hAnsi="宋体" w:cs="Calibri"/>
          <w:b/>
          <w:sz w:val="22"/>
        </w:rPr>
      </w:pPr>
      <w:r>
        <w:rPr>
          <w:rFonts w:ascii="宋体" w:hAnsi="宋体" w:cs="Calibri"/>
          <w:b/>
          <w:sz w:val="22"/>
        </w:rPr>
        <w:t>3.1.2 报价算术性修正</w:t>
      </w:r>
    </w:p>
    <w:p>
      <w:pPr>
        <w:pStyle w:val="21"/>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21"/>
        <w:numPr>
          <w:ilvl w:val="0"/>
          <w:numId w:val="1"/>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21"/>
        <w:numPr>
          <w:ilvl w:val="0"/>
          <w:numId w:val="1"/>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21"/>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★修正的价格经投标人书面确认后具有约束力。投标人不接受修正价格的，或修正后的最终投标价与原报价相比偏差在0.5%（不含）以上的，其投标作</w:t>
      </w:r>
      <w:r>
        <w:rPr>
          <w:rFonts w:hAnsi="宋体" w:cs="Calibri"/>
          <w:b/>
          <w:sz w:val="22"/>
          <w:szCs w:val="22"/>
        </w:rPr>
        <w:t>废标处理</w:t>
      </w:r>
      <w:r>
        <w:rPr>
          <w:rFonts w:hAnsi="宋体" w:cs="Calibri"/>
          <w:sz w:val="22"/>
          <w:szCs w:val="22"/>
        </w:rPr>
        <w:t>；修正偏差在0.5%（含）以内的，投标人应在投标总报价不变和单价平衡的前提下修正相关项目单价和（或）合价。</w:t>
      </w:r>
    </w:p>
    <w:p>
      <w:pPr>
        <w:pStyle w:val="21"/>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21"/>
        <w:spacing w:line="360" w:lineRule="exact"/>
        <w:ind w:firstLine="440" w:firstLineChars="200"/>
        <w:rPr>
          <w:rFonts w:hAnsi="宋体" w:cs="Calibri"/>
          <w:b/>
          <w:sz w:val="22"/>
          <w:szCs w:val="22"/>
        </w:rPr>
      </w:pPr>
      <w:r>
        <w:rPr>
          <w:rFonts w:hAnsi="宋体" w:cs="Calibri"/>
          <w:b/>
          <w:sz w:val="22"/>
          <w:szCs w:val="22"/>
        </w:rPr>
        <w:t>3.2 投标文件的澄清和补正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0"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本次评标采用综合评分法，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pStyle w:val="21"/>
        <w:adjustRightInd w:val="0"/>
        <w:snapToGrid w:val="0"/>
        <w:spacing w:line="360" w:lineRule="exact"/>
        <w:ind w:firstLine="440" w:firstLineChars="200"/>
        <w:rPr>
          <w:rFonts w:hAnsi="宋体" w:cs="Calibri"/>
          <w:sz w:val="22"/>
          <w:szCs w:val="22"/>
        </w:rPr>
      </w:pPr>
      <w:r>
        <w:rPr>
          <w:rFonts w:hint="eastAsia" w:hAnsi="宋体"/>
          <w:b/>
          <w:color w:val="000000"/>
          <w:sz w:val="22"/>
          <w:szCs w:val="22"/>
        </w:rPr>
        <w:t>每个投标人最终得分=商务报价分+资信及技术分</w:t>
      </w:r>
    </w:p>
    <w:p>
      <w:pPr>
        <w:pStyle w:val="21"/>
        <w:adjustRightInd w:val="0"/>
        <w:snapToGrid w:val="0"/>
        <w:spacing w:line="360" w:lineRule="exact"/>
        <w:ind w:firstLine="440" w:firstLineChars="200"/>
        <w:rPr>
          <w:rFonts w:hAnsi="宋体" w:cs="Arial"/>
          <w:b/>
          <w:sz w:val="22"/>
          <w:szCs w:val="22"/>
        </w:rPr>
      </w:pPr>
      <w:r>
        <w:rPr>
          <w:rFonts w:hint="eastAsia" w:hAnsi="宋体" w:cs="Calibri"/>
          <w:sz w:val="22"/>
          <w:szCs w:val="22"/>
        </w:rPr>
        <w:t>3.3.1商务报价分70分</w:t>
      </w:r>
    </w:p>
    <w:p>
      <w:pPr>
        <w:pStyle w:val="21"/>
        <w:adjustRightInd w:val="0"/>
        <w:snapToGrid w:val="0"/>
        <w:spacing w:line="360" w:lineRule="exact"/>
        <w:ind w:firstLine="440" w:firstLineChars="200"/>
        <w:rPr>
          <w:rFonts w:hAnsi="宋体" w:cs="Calibri"/>
          <w:sz w:val="22"/>
          <w:szCs w:val="22"/>
        </w:rPr>
      </w:pPr>
      <w:r>
        <w:rPr>
          <w:rFonts w:hint="eastAsia" w:hAnsi="宋体"/>
          <w:sz w:val="22"/>
          <w:szCs w:val="22"/>
        </w:rPr>
        <w:t>报价评分应在投标报价响应招标文件要求的基础上，取所有有效投标报价的算数平均值与次低价的算数平均值作为评标基准价，如有效投标报价的数量小于4个，则评标基准价为所有有效投标报价的算数平均值与最低价的算数平均值。</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投标人的投标价等于评标基准价的得7</w:t>
      </w:r>
      <w:r>
        <w:rPr>
          <w:rFonts w:hAnsi="宋体" w:cs="Calibri"/>
          <w:sz w:val="22"/>
          <w:szCs w:val="22"/>
        </w:rPr>
        <w:t>0</w:t>
      </w:r>
      <w:r>
        <w:rPr>
          <w:rFonts w:hint="eastAsia" w:hAnsi="宋体" w:cs="Calibri"/>
          <w:sz w:val="22"/>
          <w:szCs w:val="22"/>
        </w:rPr>
        <w:t>分，每高于评标基准价</w:t>
      </w:r>
      <w:r>
        <w:rPr>
          <w:rFonts w:hAnsi="宋体" w:cs="Calibri"/>
          <w:sz w:val="22"/>
          <w:szCs w:val="22"/>
        </w:rPr>
        <w:t>1%</w:t>
      </w:r>
      <w:r>
        <w:rPr>
          <w:rFonts w:hint="eastAsia" w:hAnsi="宋体" w:cs="Calibri"/>
          <w:sz w:val="22"/>
          <w:szCs w:val="22"/>
        </w:rPr>
        <w:t>的扣</w:t>
      </w:r>
      <w:r>
        <w:rPr>
          <w:rFonts w:hAnsi="宋体" w:cs="Calibri"/>
          <w:sz w:val="22"/>
          <w:szCs w:val="22"/>
        </w:rPr>
        <w:t>1</w:t>
      </w:r>
      <w:r>
        <w:rPr>
          <w:rFonts w:hint="eastAsia" w:hAnsi="宋体" w:cs="Calibri"/>
          <w:sz w:val="22"/>
          <w:szCs w:val="22"/>
        </w:rPr>
        <w:t>分，每低于评标基准价</w:t>
      </w:r>
      <w:r>
        <w:rPr>
          <w:rFonts w:hAnsi="宋体" w:cs="Calibri"/>
          <w:sz w:val="22"/>
          <w:szCs w:val="22"/>
        </w:rPr>
        <w:t>1%</w:t>
      </w:r>
      <w:r>
        <w:rPr>
          <w:rFonts w:hint="eastAsia" w:hAnsi="宋体" w:cs="Calibri"/>
          <w:sz w:val="22"/>
          <w:szCs w:val="22"/>
        </w:rPr>
        <w:t>的扣</w:t>
      </w:r>
      <w:r>
        <w:rPr>
          <w:rFonts w:hAnsi="宋体" w:cs="Calibri"/>
          <w:sz w:val="22"/>
          <w:szCs w:val="22"/>
        </w:rPr>
        <w:t>0.5</w:t>
      </w:r>
      <w:r>
        <w:rPr>
          <w:rFonts w:hint="eastAsia" w:hAnsi="宋体" w:cs="Calibri"/>
          <w:sz w:val="22"/>
          <w:szCs w:val="22"/>
        </w:rPr>
        <w:t>分（不足</w:t>
      </w:r>
      <w:r>
        <w:rPr>
          <w:rFonts w:hAnsi="宋体" w:cs="Calibri"/>
          <w:sz w:val="22"/>
          <w:szCs w:val="22"/>
        </w:rPr>
        <w:t>1</w:t>
      </w:r>
      <w:r>
        <w:rPr>
          <w:rFonts w:hint="eastAsia" w:hAnsi="宋体" w:cs="Calibri"/>
          <w:sz w:val="22"/>
          <w:szCs w:val="22"/>
        </w:rPr>
        <w:t>个百分点按插值法计算，小数点后保留二位，四舍五入，商务分最低得分为</w:t>
      </w:r>
      <w:r>
        <w:rPr>
          <w:rFonts w:hAnsi="宋体" w:cs="Calibri"/>
          <w:sz w:val="22"/>
          <w:szCs w:val="22"/>
        </w:rPr>
        <w:t>30</w:t>
      </w:r>
      <w:r>
        <w:rPr>
          <w:rFonts w:hint="eastAsia" w:hAnsi="宋体" w:cs="Calibri"/>
          <w:sz w:val="22"/>
          <w:szCs w:val="22"/>
        </w:rPr>
        <w:t>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此项由评标委员会集体核实后统一打分。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2、资信及技术评分   0-30分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该评分分值由评标委员会成员独立打分（具体分值设定详见下表），小数点后保留</w:t>
      </w:r>
      <w:r>
        <w:rPr>
          <w:rFonts w:hAnsi="宋体" w:cs="Calibri"/>
          <w:sz w:val="22"/>
          <w:szCs w:val="22"/>
        </w:rPr>
        <w:t>1</w:t>
      </w:r>
      <w:r>
        <w:rPr>
          <w:rFonts w:hint="eastAsia" w:hAnsi="宋体" w:cs="Calibri"/>
          <w:sz w:val="22"/>
          <w:szCs w:val="22"/>
        </w:rPr>
        <w:t>位小数。每个投标人的最终资信及技术得分为评标委员会打分的算术平均值（小数点后保留</w:t>
      </w:r>
      <w:r>
        <w:rPr>
          <w:rFonts w:hAnsi="宋体" w:cs="Calibri"/>
          <w:sz w:val="22"/>
          <w:szCs w:val="22"/>
        </w:rPr>
        <w:t>2</w:t>
      </w:r>
      <w:r>
        <w:rPr>
          <w:rFonts w:hint="eastAsia" w:hAnsi="宋体" w:cs="Calibri"/>
          <w:sz w:val="22"/>
          <w:szCs w:val="22"/>
        </w:rPr>
        <w:t>位，第三位四舍五入）。</w:t>
      </w:r>
    </w:p>
    <w:p>
      <w:pPr>
        <w:pStyle w:val="21"/>
        <w:adjustRightInd w:val="0"/>
        <w:snapToGrid w:val="0"/>
        <w:spacing w:line="360" w:lineRule="exact"/>
        <w:ind w:firstLine="440" w:firstLineChars="200"/>
        <w:rPr>
          <w:rFonts w:hint="eastAsia" w:hAnsi="宋体" w:cs="Calibri"/>
          <w:sz w:val="22"/>
          <w:szCs w:val="22"/>
        </w:rPr>
      </w:pPr>
      <w:r>
        <w:rPr>
          <w:rFonts w:hint="eastAsia" w:hAnsi="宋体" w:cs="Calibri"/>
          <w:sz w:val="22"/>
          <w:szCs w:val="22"/>
        </w:rPr>
        <w:t>资信及技术评分分值设定标准</w:t>
      </w:r>
    </w:p>
    <w:tbl>
      <w:tblPr>
        <w:tblStyle w:val="5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4"/>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55" w:type="dxa"/>
            <w:vAlign w:val="center"/>
          </w:tcPr>
          <w:p>
            <w:pPr>
              <w:snapToGrid w:val="0"/>
              <w:jc w:val="center"/>
              <w:rPr>
                <w:rFonts w:ascii="宋体" w:hAnsi="宋体"/>
                <w:b/>
                <w:sz w:val="22"/>
              </w:rPr>
            </w:pPr>
            <w:r>
              <w:rPr>
                <w:rFonts w:ascii="宋体" w:hAnsi="宋体"/>
                <w:b/>
                <w:sz w:val="22"/>
              </w:rPr>
              <w:t>评</w:t>
            </w:r>
            <w:r>
              <w:rPr>
                <w:rFonts w:hint="eastAsia" w:ascii="宋体" w:hAnsi="宋体"/>
                <w:b/>
                <w:sz w:val="22"/>
              </w:rPr>
              <w:t>定项目</w:t>
            </w:r>
          </w:p>
        </w:tc>
        <w:tc>
          <w:tcPr>
            <w:tcW w:w="1134" w:type="dxa"/>
            <w:vAlign w:val="center"/>
          </w:tcPr>
          <w:p>
            <w:pPr>
              <w:snapToGrid w:val="0"/>
              <w:jc w:val="center"/>
              <w:rPr>
                <w:rFonts w:ascii="宋体" w:hAnsi="宋体"/>
                <w:b/>
                <w:sz w:val="22"/>
              </w:rPr>
            </w:pPr>
            <w:r>
              <w:rPr>
                <w:rFonts w:hint="eastAsia" w:ascii="宋体" w:hAnsi="宋体"/>
                <w:b/>
                <w:sz w:val="22"/>
              </w:rPr>
              <w:t>分值范围</w:t>
            </w:r>
          </w:p>
        </w:tc>
        <w:tc>
          <w:tcPr>
            <w:tcW w:w="6939" w:type="dxa"/>
            <w:vAlign w:val="center"/>
          </w:tcPr>
          <w:p>
            <w:pPr>
              <w:snapToGrid w:val="0"/>
              <w:jc w:val="center"/>
              <w:rPr>
                <w:rFonts w:ascii="宋体" w:hAnsi="宋体"/>
                <w:b/>
                <w:sz w:val="22"/>
              </w:rPr>
            </w:pPr>
            <w:r>
              <w:rPr>
                <w:rFonts w:hint="eastAsia" w:ascii="宋体" w:hAnsi="宋体"/>
                <w:b/>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55" w:type="dxa"/>
            <w:vAlign w:val="center"/>
          </w:tcPr>
          <w:p>
            <w:pPr>
              <w:snapToGrid w:val="0"/>
              <w:spacing w:line="360" w:lineRule="auto"/>
              <w:jc w:val="center"/>
              <w:rPr>
                <w:rFonts w:ascii="微软雅黑" w:hAnsi="微软雅黑" w:eastAsia="微软雅黑"/>
                <w:kern w:val="0"/>
                <w:sz w:val="18"/>
                <w:szCs w:val="18"/>
              </w:rPr>
            </w:pPr>
            <w:r>
              <w:rPr>
                <w:rFonts w:hint="eastAsia" w:ascii="微软雅黑" w:hAnsi="微软雅黑" w:eastAsia="微软雅黑"/>
                <w:sz w:val="18"/>
                <w:szCs w:val="18"/>
              </w:rPr>
              <w:t>业绩要求</w:t>
            </w:r>
          </w:p>
        </w:tc>
        <w:tc>
          <w:tcPr>
            <w:tcW w:w="1134" w:type="dxa"/>
            <w:vAlign w:val="center"/>
          </w:tcPr>
          <w:p>
            <w:pPr>
              <w:snapToGrid w:val="0"/>
              <w:spacing w:line="360" w:lineRule="auto"/>
              <w:rPr>
                <w:rFonts w:ascii="微软雅黑" w:hAnsi="微软雅黑" w:eastAsia="微软雅黑"/>
                <w:sz w:val="18"/>
                <w:szCs w:val="18"/>
              </w:rPr>
            </w:pPr>
            <w:r>
              <w:rPr>
                <w:rFonts w:ascii="微软雅黑" w:hAnsi="微软雅黑" w:eastAsia="微软雅黑"/>
                <w:sz w:val="18"/>
                <w:szCs w:val="18"/>
              </w:rPr>
              <w:t>0-6</w:t>
            </w:r>
            <w:r>
              <w:rPr>
                <w:rFonts w:hint="eastAsia" w:ascii="微软雅黑" w:hAnsi="微软雅黑" w:eastAsia="微软雅黑"/>
                <w:sz w:val="18"/>
                <w:szCs w:val="18"/>
              </w:rPr>
              <w:t>分</w:t>
            </w:r>
          </w:p>
        </w:tc>
        <w:tc>
          <w:tcPr>
            <w:tcW w:w="6939" w:type="dxa"/>
            <w:vAlign w:val="center"/>
          </w:tcPr>
          <w:p>
            <w:pPr>
              <w:widowControl/>
              <w:adjustRightInd w:val="0"/>
              <w:snapToGrid w:val="0"/>
              <w:spacing w:line="360" w:lineRule="auto"/>
              <w:rPr>
                <w:rFonts w:ascii="微软雅黑" w:hAnsi="微软雅黑" w:eastAsia="微软雅黑" w:cs="Arial"/>
                <w:kern w:val="0"/>
                <w:sz w:val="18"/>
                <w:szCs w:val="18"/>
              </w:rPr>
            </w:pPr>
            <w:r>
              <w:rPr>
                <w:rFonts w:hint="eastAsia" w:ascii="微软雅黑" w:hAnsi="微软雅黑" w:eastAsia="微软雅黑" w:cs="宋体"/>
                <w:kern w:val="0"/>
                <w:sz w:val="18"/>
                <w:szCs w:val="18"/>
              </w:rPr>
              <w:t>投标人近3年（合同签订时间或合同服务时间在2017年1月1日至投标截止日期间）承接过</w:t>
            </w:r>
            <w:r>
              <w:rPr>
                <w:rFonts w:ascii="微软雅黑" w:hAnsi="微软雅黑" w:eastAsia="微软雅黑" w:cs="宋体"/>
                <w:kern w:val="0"/>
                <w:sz w:val="18"/>
                <w:szCs w:val="18"/>
              </w:rPr>
              <w:t>4C级（或以上）民用机场飞行区道面探地雷达检测业绩的，每提供1项得</w:t>
            </w:r>
            <w:r>
              <w:rPr>
                <w:rFonts w:hint="eastAsia" w:ascii="微软雅黑" w:hAnsi="微软雅黑" w:eastAsia="微软雅黑" w:cs="宋体"/>
                <w:kern w:val="0"/>
                <w:sz w:val="18"/>
                <w:szCs w:val="18"/>
              </w:rPr>
              <w:t>2分，本项最高得</w:t>
            </w:r>
            <w:r>
              <w:rPr>
                <w:rFonts w:ascii="微软雅黑" w:hAnsi="微软雅黑" w:eastAsia="微软雅黑" w:cs="宋体"/>
                <w:kern w:val="0"/>
                <w:sz w:val="18"/>
                <w:szCs w:val="18"/>
              </w:rPr>
              <w:t>6</w:t>
            </w:r>
            <w:r>
              <w:rPr>
                <w:rFonts w:hint="eastAsia" w:ascii="微软雅黑" w:hAnsi="微软雅黑" w:eastAsia="微软雅黑" w:cs="宋体"/>
                <w:kern w:val="0"/>
                <w:sz w:val="18"/>
                <w:szCs w:val="18"/>
              </w:rPr>
              <w:t>分。（注：证明材料：合同证明文件或中标通知书或竣（交）工验收证书，证明文件中能体现业绩内容，须提供复印件并加盖投标人公章，原件备查。）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55" w:type="dxa"/>
            <w:vAlign w:val="center"/>
          </w:tcPr>
          <w:p>
            <w:pPr>
              <w:snapToGrid w:val="0"/>
              <w:spacing w:line="360" w:lineRule="auto"/>
              <w:jc w:val="center"/>
              <w:rPr>
                <w:rFonts w:ascii="微软雅黑" w:hAnsi="微软雅黑" w:eastAsia="微软雅黑"/>
                <w:sz w:val="18"/>
                <w:szCs w:val="18"/>
              </w:rPr>
            </w:pPr>
            <w:r>
              <w:rPr>
                <w:rFonts w:hint="eastAsia" w:ascii="微软雅黑" w:hAnsi="微软雅黑" w:eastAsia="微软雅黑"/>
                <w:sz w:val="18"/>
                <w:szCs w:val="18"/>
              </w:rPr>
              <w:t>技术要求</w:t>
            </w:r>
          </w:p>
        </w:tc>
        <w:tc>
          <w:tcPr>
            <w:tcW w:w="1134" w:type="dxa"/>
            <w:vAlign w:val="center"/>
          </w:tcPr>
          <w:p>
            <w:pPr>
              <w:snapToGrid w:val="0"/>
              <w:spacing w:line="360" w:lineRule="auto"/>
              <w:rPr>
                <w:rFonts w:ascii="微软雅黑" w:hAnsi="微软雅黑" w:eastAsia="微软雅黑"/>
                <w:sz w:val="18"/>
                <w:szCs w:val="18"/>
              </w:rPr>
            </w:pPr>
            <w:r>
              <w:rPr>
                <w:rFonts w:ascii="微软雅黑" w:hAnsi="微软雅黑" w:eastAsia="微软雅黑"/>
                <w:sz w:val="18"/>
                <w:szCs w:val="18"/>
              </w:rPr>
              <w:t>0-6分</w:t>
            </w:r>
          </w:p>
        </w:tc>
        <w:tc>
          <w:tcPr>
            <w:tcW w:w="6939" w:type="dxa"/>
            <w:vAlign w:val="center"/>
          </w:tcPr>
          <w:p>
            <w:pPr>
              <w:pStyle w:val="2"/>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表观成像分辨力1mm，得1分；</w:t>
            </w:r>
          </w:p>
          <w:p>
            <w:pPr>
              <w:pStyle w:val="2"/>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病害定位精度3mm，得1分；</w:t>
            </w:r>
          </w:p>
          <w:p>
            <w:pPr>
              <w:pStyle w:val="2"/>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分层和空洞缺陷检出识别率1</w:t>
            </w:r>
            <w:r>
              <w:rPr>
                <w:rFonts w:ascii="微软雅黑" w:hAnsi="微软雅黑" w:eastAsia="微软雅黑"/>
                <w:sz w:val="18"/>
                <w:szCs w:val="18"/>
              </w:rPr>
              <w:t>00</w:t>
            </w:r>
            <w:r>
              <w:rPr>
                <w:rFonts w:hint="eastAsia" w:ascii="微软雅黑" w:hAnsi="微软雅黑" w:eastAsia="微软雅黑"/>
                <w:sz w:val="18"/>
                <w:szCs w:val="18"/>
              </w:rPr>
              <w:t>%，得2分；</w:t>
            </w:r>
          </w:p>
          <w:p>
            <w:pPr>
              <w:pStyle w:val="2"/>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探测深度＞1m，得1分；</w:t>
            </w:r>
          </w:p>
          <w:p>
            <w:pPr>
              <w:pStyle w:val="2"/>
              <w:spacing w:before="0" w:beforeAutospacing="0" w:after="0" w:afterAutospacing="0"/>
              <w:rPr>
                <w:rFonts w:hint="eastAsia" w:ascii="微软雅黑" w:hAnsi="微软雅黑" w:eastAsia="微软雅黑"/>
                <w:sz w:val="18"/>
                <w:szCs w:val="18"/>
              </w:rPr>
            </w:pPr>
            <w:r>
              <w:rPr>
                <w:rFonts w:hint="eastAsia" w:ascii="微软雅黑" w:hAnsi="微软雅黑" w:eastAsia="微软雅黑"/>
                <w:sz w:val="18"/>
                <w:szCs w:val="18"/>
              </w:rPr>
              <w:t>探地雷达通道间距＜1</w:t>
            </w:r>
            <w:r>
              <w:rPr>
                <w:rFonts w:ascii="微软雅黑" w:hAnsi="微软雅黑" w:eastAsia="微软雅黑"/>
                <w:sz w:val="18"/>
                <w:szCs w:val="18"/>
              </w:rPr>
              <w:t>0</w:t>
            </w:r>
            <w:r>
              <w:rPr>
                <w:rFonts w:hint="eastAsia" w:ascii="微软雅黑" w:hAnsi="微软雅黑" w:eastAsia="微软雅黑"/>
                <w:sz w:val="18"/>
                <w:szCs w:val="18"/>
              </w:rPr>
              <w:t>cm，得1分。</w:t>
            </w:r>
          </w:p>
          <w:p>
            <w:pPr>
              <w:pStyle w:val="2"/>
              <w:ind w:firstLine="0" w:firstLineChars="0"/>
              <w:rPr>
                <w:rFonts w:hint="eastAsia" w:ascii="宋体" w:hAnsi="宋体" w:eastAsia="微软雅黑"/>
                <w:sz w:val="24"/>
                <w:szCs w:val="24"/>
              </w:rPr>
            </w:pPr>
            <w:r>
              <w:rPr>
                <w:rFonts w:hint="eastAsia" w:ascii="微软雅黑" w:hAnsi="微软雅黑" w:eastAsia="微软雅黑" w:cs="宋体"/>
                <w:sz w:val="18"/>
                <w:szCs w:val="18"/>
                <w:highlight w:val="yellow"/>
                <w:lang w:eastAsia="zh-CN"/>
              </w:rPr>
              <w:t>（注</w:t>
            </w:r>
            <w:r>
              <w:rPr>
                <w:rFonts w:hint="eastAsia" w:ascii="微软雅黑" w:hAnsi="微软雅黑" w:eastAsia="微软雅黑" w:cs="宋体"/>
                <w:sz w:val="18"/>
                <w:szCs w:val="18"/>
                <w:highlight w:val="yellow"/>
                <w:lang w:val="en-US" w:eastAsia="zh-CN"/>
              </w:rPr>
              <w:t>;证明材料：国家交通部认证的检测计量机构出具的测试报告证书，须提供复印件并加盖投标人公章，原件备查。</w:t>
            </w:r>
            <w:r>
              <w:rPr>
                <w:rFonts w:hint="eastAsia" w:ascii="微软雅黑" w:hAnsi="微软雅黑" w:eastAsia="微软雅黑" w:cs="宋体"/>
                <w:sz w:val="18"/>
                <w:szCs w:val="1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55" w:type="dxa"/>
            <w:vAlign w:val="center"/>
          </w:tcPr>
          <w:p>
            <w:pPr>
              <w:snapToGrid w:val="0"/>
              <w:spacing w:line="360" w:lineRule="auto"/>
              <w:jc w:val="center"/>
              <w:rPr>
                <w:rFonts w:ascii="微软雅黑" w:hAnsi="微软雅黑" w:eastAsia="微软雅黑"/>
                <w:sz w:val="18"/>
                <w:szCs w:val="18"/>
              </w:rPr>
            </w:pPr>
            <w:r>
              <w:rPr>
                <w:rFonts w:hint="eastAsia" w:ascii="微软雅黑" w:hAnsi="微软雅黑" w:eastAsia="微软雅黑"/>
                <w:sz w:val="18"/>
                <w:szCs w:val="18"/>
              </w:rPr>
              <w:t>劳动力投入、人员配置</w:t>
            </w:r>
          </w:p>
        </w:tc>
        <w:tc>
          <w:tcPr>
            <w:tcW w:w="1134" w:type="dxa"/>
            <w:vAlign w:val="center"/>
          </w:tcPr>
          <w:p>
            <w:pPr>
              <w:snapToGrid w:val="0"/>
              <w:spacing w:line="360" w:lineRule="auto"/>
              <w:rPr>
                <w:rFonts w:ascii="微软雅黑" w:hAnsi="微软雅黑" w:eastAsia="微软雅黑"/>
                <w:sz w:val="18"/>
                <w:szCs w:val="18"/>
              </w:rPr>
            </w:pPr>
            <w:r>
              <w:rPr>
                <w:rFonts w:ascii="微软雅黑" w:hAnsi="微软雅黑" w:eastAsia="微软雅黑"/>
                <w:sz w:val="18"/>
                <w:szCs w:val="18"/>
              </w:rPr>
              <w:t>0-</w:t>
            </w:r>
            <w:r>
              <w:rPr>
                <w:rFonts w:hint="eastAsia" w:ascii="微软雅黑" w:hAnsi="微软雅黑" w:eastAsia="微软雅黑"/>
                <w:sz w:val="18"/>
                <w:szCs w:val="18"/>
              </w:rPr>
              <w:t>6分</w:t>
            </w:r>
          </w:p>
        </w:tc>
        <w:tc>
          <w:tcPr>
            <w:tcW w:w="6939" w:type="dxa"/>
            <w:vAlign w:val="center"/>
          </w:tcPr>
          <w:p>
            <w:pPr>
              <w:pStyle w:val="83"/>
              <w:numPr>
                <w:ilvl w:val="0"/>
                <w:numId w:val="2"/>
              </w:numPr>
              <w:snapToGrid w:val="0"/>
              <w:spacing w:line="360" w:lineRule="auto"/>
              <w:ind w:firstLineChars="0"/>
              <w:rPr>
                <w:rFonts w:ascii="微软雅黑" w:hAnsi="微软雅黑" w:eastAsia="微软雅黑"/>
                <w:sz w:val="18"/>
                <w:szCs w:val="18"/>
              </w:rPr>
            </w:pPr>
            <w:r>
              <w:rPr>
                <w:rFonts w:hint="eastAsia" w:ascii="微软雅黑" w:hAnsi="微软雅黑" w:eastAsia="微软雅黑"/>
                <w:sz w:val="18"/>
                <w:szCs w:val="18"/>
              </w:rPr>
              <w:t>拟投入本项目的成员中具备高级工程师职称，</w:t>
            </w:r>
            <w:r>
              <w:rPr>
                <w:rFonts w:ascii="微软雅黑" w:hAnsi="微软雅黑" w:eastAsia="微软雅黑"/>
                <w:sz w:val="18"/>
                <w:szCs w:val="18"/>
              </w:rPr>
              <w:t>1人得1</w:t>
            </w:r>
            <w:r>
              <w:rPr>
                <w:rFonts w:hint="eastAsia" w:ascii="微软雅黑" w:hAnsi="微软雅黑" w:eastAsia="微软雅黑"/>
                <w:sz w:val="18"/>
                <w:szCs w:val="18"/>
              </w:rPr>
              <w:t>分，最高得3</w:t>
            </w:r>
            <w:r>
              <w:rPr>
                <w:rFonts w:ascii="微软雅黑" w:hAnsi="微软雅黑" w:eastAsia="微软雅黑"/>
                <w:sz w:val="18"/>
                <w:szCs w:val="18"/>
              </w:rPr>
              <w:t>分；</w:t>
            </w:r>
          </w:p>
          <w:p>
            <w:pPr>
              <w:pStyle w:val="83"/>
              <w:numPr>
                <w:ilvl w:val="0"/>
                <w:numId w:val="2"/>
              </w:numPr>
              <w:snapToGrid w:val="0"/>
              <w:spacing w:line="360" w:lineRule="auto"/>
              <w:ind w:firstLineChars="0"/>
              <w:rPr>
                <w:rFonts w:ascii="微软雅黑" w:hAnsi="微软雅黑" w:eastAsia="微软雅黑"/>
                <w:sz w:val="18"/>
                <w:szCs w:val="18"/>
              </w:rPr>
            </w:pPr>
            <w:r>
              <w:rPr>
                <w:rFonts w:hint="eastAsia" w:ascii="微软雅黑" w:hAnsi="微软雅黑" w:eastAsia="微软雅黑"/>
                <w:sz w:val="18"/>
                <w:szCs w:val="18"/>
              </w:rPr>
              <w:t>拟投入本项目的成员中具备博士学历，</w:t>
            </w:r>
            <w:r>
              <w:rPr>
                <w:rFonts w:ascii="微软雅黑" w:hAnsi="微软雅黑" w:eastAsia="微软雅黑"/>
                <w:sz w:val="18"/>
                <w:szCs w:val="18"/>
              </w:rPr>
              <w:t>1人得1分，最高得2分；</w:t>
            </w:r>
          </w:p>
          <w:p>
            <w:pPr>
              <w:pStyle w:val="83"/>
              <w:numPr>
                <w:ilvl w:val="0"/>
                <w:numId w:val="2"/>
              </w:numPr>
              <w:snapToGrid w:val="0"/>
              <w:spacing w:line="360" w:lineRule="auto"/>
              <w:ind w:firstLineChars="0"/>
              <w:rPr>
                <w:rFonts w:ascii="微软雅黑" w:hAnsi="微软雅黑" w:eastAsia="微软雅黑"/>
                <w:sz w:val="18"/>
                <w:szCs w:val="18"/>
              </w:rPr>
            </w:pPr>
            <w:r>
              <w:rPr>
                <w:rFonts w:hint="eastAsia" w:ascii="微软雅黑" w:hAnsi="微软雅黑" w:eastAsia="微软雅黑"/>
                <w:sz w:val="18"/>
                <w:szCs w:val="18"/>
              </w:rPr>
              <w:t>拟投入本项目的成员中具备硕士学历，</w:t>
            </w:r>
            <w:r>
              <w:rPr>
                <w:rFonts w:ascii="微软雅黑" w:hAnsi="微软雅黑" w:eastAsia="微软雅黑"/>
                <w:sz w:val="18"/>
                <w:szCs w:val="18"/>
              </w:rPr>
              <w:t>1人得0.5</w:t>
            </w:r>
            <w:r>
              <w:rPr>
                <w:rFonts w:hint="eastAsia" w:ascii="微软雅黑" w:hAnsi="微软雅黑" w:eastAsia="微软雅黑"/>
                <w:sz w:val="18"/>
                <w:szCs w:val="18"/>
              </w:rPr>
              <w:t>分，最高得</w:t>
            </w:r>
            <w:r>
              <w:rPr>
                <w:rFonts w:ascii="微软雅黑" w:hAnsi="微软雅黑" w:eastAsia="微软雅黑"/>
                <w:sz w:val="18"/>
                <w:szCs w:val="18"/>
              </w:rPr>
              <w:t>1分。</w:t>
            </w:r>
          </w:p>
          <w:p>
            <w:pPr>
              <w:snapToGrid w:val="0"/>
              <w:spacing w:line="360" w:lineRule="auto"/>
              <w:rPr>
                <w:rFonts w:ascii="微软雅黑" w:hAnsi="微软雅黑" w:eastAsia="微软雅黑"/>
                <w:sz w:val="18"/>
                <w:szCs w:val="18"/>
              </w:rPr>
            </w:pPr>
            <w:r>
              <w:rPr>
                <w:rFonts w:hint="eastAsia" w:ascii="微软雅黑" w:hAnsi="微软雅黑" w:eastAsia="微软雅黑"/>
                <w:sz w:val="18"/>
                <w:szCs w:val="18"/>
              </w:rPr>
              <w:t>注：须提供相应职称、学历证明文件，且提供人员在单位不少于近</w:t>
            </w:r>
            <w:r>
              <w:rPr>
                <w:rFonts w:ascii="微软雅黑" w:hAnsi="微软雅黑" w:eastAsia="微软雅黑"/>
                <w:sz w:val="18"/>
                <w:szCs w:val="18"/>
              </w:rPr>
              <w:t>2</w:t>
            </w:r>
            <w:r>
              <w:rPr>
                <w:rFonts w:hint="eastAsia" w:ascii="微软雅黑" w:hAnsi="微软雅黑" w:eastAsia="微软雅黑"/>
                <w:sz w:val="18"/>
                <w:szCs w:val="18"/>
              </w:rPr>
              <w:t>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55" w:type="dxa"/>
            <w:vAlign w:val="center"/>
          </w:tcPr>
          <w:p>
            <w:pPr>
              <w:snapToGrid w:val="0"/>
              <w:spacing w:line="360" w:lineRule="auto"/>
              <w:jc w:val="center"/>
              <w:rPr>
                <w:rFonts w:ascii="微软雅黑" w:hAnsi="微软雅黑" w:eastAsia="微软雅黑"/>
                <w:sz w:val="18"/>
                <w:szCs w:val="18"/>
              </w:rPr>
            </w:pPr>
            <w:r>
              <w:rPr>
                <w:rFonts w:hint="eastAsia" w:ascii="微软雅黑" w:hAnsi="微软雅黑" w:eastAsia="微软雅黑"/>
                <w:sz w:val="18"/>
                <w:szCs w:val="18"/>
              </w:rPr>
              <w:t>设备投入</w:t>
            </w:r>
          </w:p>
        </w:tc>
        <w:tc>
          <w:tcPr>
            <w:tcW w:w="1134" w:type="dxa"/>
            <w:vAlign w:val="center"/>
          </w:tcPr>
          <w:p>
            <w:pPr>
              <w:snapToGrid w:val="0"/>
              <w:spacing w:line="360" w:lineRule="auto"/>
              <w:rPr>
                <w:rFonts w:ascii="微软雅黑" w:hAnsi="微软雅黑" w:eastAsia="微软雅黑"/>
                <w:sz w:val="18"/>
                <w:szCs w:val="18"/>
              </w:rPr>
            </w:pPr>
            <w:r>
              <w:rPr>
                <w:rFonts w:ascii="微软雅黑" w:hAnsi="微软雅黑" w:eastAsia="微软雅黑"/>
                <w:sz w:val="18"/>
                <w:szCs w:val="18"/>
              </w:rPr>
              <w:t>0-</w:t>
            </w:r>
            <w:r>
              <w:rPr>
                <w:rFonts w:hint="eastAsia" w:ascii="微软雅黑" w:hAnsi="微软雅黑" w:eastAsia="微软雅黑"/>
                <w:sz w:val="18"/>
                <w:szCs w:val="18"/>
              </w:rPr>
              <w:t>6分</w:t>
            </w:r>
          </w:p>
        </w:tc>
        <w:tc>
          <w:tcPr>
            <w:tcW w:w="6939" w:type="dxa"/>
            <w:vAlign w:val="center"/>
          </w:tcPr>
          <w:p>
            <w:pPr>
              <w:pStyle w:val="83"/>
              <w:numPr>
                <w:ilvl w:val="0"/>
                <w:numId w:val="0"/>
              </w:numPr>
              <w:snapToGrid w:val="0"/>
              <w:spacing w:line="360" w:lineRule="auto"/>
              <w:ind w:firstLineChars="0"/>
              <w:rPr>
                <w:rFonts w:ascii="微软雅黑" w:hAnsi="微软雅黑" w:eastAsia="微软雅黑"/>
                <w:sz w:val="18"/>
                <w:szCs w:val="18"/>
              </w:rPr>
            </w:pPr>
            <w:r>
              <w:rPr>
                <w:rFonts w:hint="eastAsia" w:ascii="微软雅黑" w:hAnsi="微软雅黑" w:eastAsia="微软雅黑"/>
                <w:sz w:val="18"/>
                <w:szCs w:val="18"/>
              </w:rPr>
              <w:t>投标人设备的符合性、合理性、实用性、先进性等进行横向比较打分，最高得6</w:t>
            </w:r>
            <w:r>
              <w:rPr>
                <w:rFonts w:ascii="微软雅黑" w:hAnsi="微软雅黑" w:eastAsia="微软雅黑"/>
                <w:sz w:val="18"/>
                <w:szCs w:val="18"/>
              </w:rPr>
              <w:t>分</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55" w:type="dxa"/>
            <w:vAlign w:val="center"/>
          </w:tcPr>
          <w:p>
            <w:pPr>
              <w:snapToGrid w:val="0"/>
              <w:spacing w:line="360" w:lineRule="auto"/>
              <w:jc w:val="center"/>
              <w:rPr>
                <w:rFonts w:ascii="微软雅黑" w:hAnsi="微软雅黑" w:eastAsia="微软雅黑"/>
                <w:sz w:val="18"/>
                <w:szCs w:val="18"/>
              </w:rPr>
            </w:pPr>
            <w:r>
              <w:rPr>
                <w:rFonts w:hint="eastAsia" w:ascii="微软雅黑" w:hAnsi="微软雅黑" w:eastAsia="微软雅黑"/>
                <w:sz w:val="18"/>
                <w:szCs w:val="18"/>
              </w:rPr>
              <w:t>技术服务的合理化建议</w:t>
            </w:r>
          </w:p>
        </w:tc>
        <w:tc>
          <w:tcPr>
            <w:tcW w:w="1134" w:type="dxa"/>
            <w:vAlign w:val="center"/>
          </w:tcPr>
          <w:p>
            <w:pPr>
              <w:snapToGrid w:val="0"/>
              <w:spacing w:line="360" w:lineRule="auto"/>
              <w:rPr>
                <w:rFonts w:ascii="微软雅黑" w:hAnsi="微软雅黑" w:eastAsia="微软雅黑"/>
                <w:sz w:val="18"/>
                <w:szCs w:val="18"/>
              </w:rPr>
            </w:pPr>
            <w:r>
              <w:rPr>
                <w:rFonts w:ascii="微软雅黑" w:hAnsi="微软雅黑" w:eastAsia="微软雅黑"/>
                <w:sz w:val="18"/>
                <w:szCs w:val="18"/>
              </w:rPr>
              <w:t>0-</w:t>
            </w:r>
            <w:r>
              <w:rPr>
                <w:rFonts w:hint="eastAsia" w:ascii="微软雅黑" w:hAnsi="微软雅黑" w:eastAsia="微软雅黑"/>
                <w:sz w:val="18"/>
                <w:szCs w:val="18"/>
              </w:rPr>
              <w:t>3分</w:t>
            </w:r>
          </w:p>
        </w:tc>
        <w:tc>
          <w:tcPr>
            <w:tcW w:w="6939" w:type="dxa"/>
            <w:vAlign w:val="center"/>
          </w:tcPr>
          <w:p>
            <w:pPr>
              <w:widowControl/>
              <w:adjustRightInd w:val="0"/>
              <w:snapToGrid w:val="0"/>
              <w:spacing w:line="360" w:lineRule="auto"/>
              <w:rPr>
                <w:rFonts w:ascii="微软雅黑" w:hAnsi="微软雅黑" w:eastAsia="微软雅黑"/>
                <w:sz w:val="18"/>
                <w:szCs w:val="18"/>
              </w:rPr>
            </w:pPr>
            <w:r>
              <w:rPr>
                <w:rFonts w:hint="eastAsia" w:ascii="微软雅黑" w:hAnsi="微软雅黑" w:eastAsia="微软雅黑"/>
                <w:sz w:val="18"/>
                <w:szCs w:val="18"/>
              </w:rPr>
              <w:t>根据投标人针对本项目实际情况提出技术服务的建议，横向比较打分</w:t>
            </w:r>
            <w:r>
              <w:rPr>
                <w:rFonts w:ascii="微软雅黑" w:hAnsi="微软雅黑" w:eastAsia="微软雅黑"/>
                <w:sz w:val="18"/>
                <w:szCs w:val="18"/>
              </w:rPr>
              <w:t>，本项最多得</w:t>
            </w:r>
            <w:r>
              <w:rPr>
                <w:rFonts w:hint="eastAsia" w:ascii="微软雅黑" w:hAnsi="微软雅黑" w:eastAsia="微软雅黑"/>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55" w:type="dxa"/>
            <w:vAlign w:val="center"/>
          </w:tcPr>
          <w:p>
            <w:pPr>
              <w:snapToGrid w:val="0"/>
              <w:spacing w:line="360" w:lineRule="auto"/>
              <w:jc w:val="center"/>
              <w:rPr>
                <w:rFonts w:ascii="微软雅黑" w:hAnsi="微软雅黑" w:eastAsia="微软雅黑"/>
                <w:sz w:val="18"/>
                <w:szCs w:val="18"/>
              </w:rPr>
            </w:pPr>
            <w:r>
              <w:rPr>
                <w:rFonts w:hint="eastAsia" w:ascii="微软雅黑" w:hAnsi="微软雅黑" w:eastAsia="微软雅黑"/>
                <w:sz w:val="18"/>
                <w:szCs w:val="18"/>
              </w:rPr>
              <w:t>各类飞行区作业的措施、应急预案、处置流程</w:t>
            </w:r>
          </w:p>
        </w:tc>
        <w:tc>
          <w:tcPr>
            <w:tcW w:w="1134" w:type="dxa"/>
            <w:vAlign w:val="center"/>
          </w:tcPr>
          <w:p>
            <w:pPr>
              <w:snapToGrid w:val="0"/>
              <w:spacing w:line="360" w:lineRule="auto"/>
              <w:rPr>
                <w:rFonts w:ascii="微软雅黑" w:hAnsi="微软雅黑" w:eastAsia="微软雅黑"/>
                <w:sz w:val="18"/>
                <w:szCs w:val="18"/>
              </w:rPr>
            </w:pPr>
            <w:r>
              <w:rPr>
                <w:rFonts w:ascii="微软雅黑" w:hAnsi="微软雅黑" w:eastAsia="微软雅黑"/>
                <w:sz w:val="18"/>
                <w:szCs w:val="18"/>
              </w:rPr>
              <w:t>0-</w:t>
            </w:r>
            <w:r>
              <w:rPr>
                <w:rFonts w:hint="eastAsia" w:ascii="微软雅黑" w:hAnsi="微软雅黑" w:eastAsia="微软雅黑"/>
                <w:sz w:val="18"/>
                <w:szCs w:val="18"/>
              </w:rPr>
              <w:t>3分</w:t>
            </w:r>
          </w:p>
        </w:tc>
        <w:tc>
          <w:tcPr>
            <w:tcW w:w="6939" w:type="dxa"/>
            <w:vAlign w:val="center"/>
          </w:tcPr>
          <w:p>
            <w:pPr>
              <w:pStyle w:val="83"/>
              <w:numPr>
                <w:ilvl w:val="0"/>
                <w:numId w:val="3"/>
              </w:numPr>
              <w:snapToGrid w:val="0"/>
              <w:spacing w:line="360" w:lineRule="auto"/>
              <w:ind w:firstLineChars="0"/>
              <w:rPr>
                <w:rFonts w:ascii="微软雅黑" w:hAnsi="微软雅黑" w:eastAsia="微软雅黑"/>
                <w:sz w:val="18"/>
                <w:szCs w:val="18"/>
              </w:rPr>
            </w:pPr>
            <w:r>
              <w:rPr>
                <w:rFonts w:hint="eastAsia" w:ascii="微软雅黑" w:hAnsi="微软雅黑" w:eastAsia="微软雅黑"/>
                <w:sz w:val="18"/>
                <w:szCs w:val="18"/>
              </w:rPr>
              <w:t>飞行区作业的安全文明保证措施科学、合理、到位的，得2分。</w:t>
            </w:r>
          </w:p>
          <w:p>
            <w:pPr>
              <w:pStyle w:val="83"/>
              <w:numPr>
                <w:ilvl w:val="0"/>
                <w:numId w:val="3"/>
              </w:numPr>
              <w:snapToGrid w:val="0"/>
              <w:spacing w:line="360" w:lineRule="auto"/>
              <w:ind w:firstLineChars="0"/>
              <w:rPr>
                <w:rFonts w:ascii="微软雅黑" w:hAnsi="微软雅黑" w:eastAsia="微软雅黑"/>
                <w:sz w:val="18"/>
                <w:szCs w:val="18"/>
              </w:rPr>
            </w:pPr>
            <w:r>
              <w:rPr>
                <w:rFonts w:ascii="微软雅黑" w:hAnsi="微软雅黑" w:eastAsia="微软雅黑"/>
                <w:sz w:val="18"/>
                <w:szCs w:val="18"/>
              </w:rPr>
              <w:t>应急预案可行性情况</w:t>
            </w:r>
            <w:r>
              <w:rPr>
                <w:rFonts w:hint="eastAsia" w:ascii="微软雅黑" w:hAnsi="微软雅黑" w:eastAsia="微软雅黑"/>
                <w:sz w:val="18"/>
                <w:szCs w:val="18"/>
              </w:rPr>
              <w:t>，得</w:t>
            </w:r>
            <w:r>
              <w:rPr>
                <w:rFonts w:ascii="微软雅黑" w:hAnsi="微软雅黑" w:eastAsia="微软雅黑"/>
                <w:sz w:val="18"/>
                <w:szCs w:val="18"/>
              </w:rPr>
              <w:t>1</w:t>
            </w:r>
            <w:r>
              <w:rPr>
                <w:rFonts w:hint="eastAsia" w:ascii="微软雅黑" w:hAnsi="微软雅黑" w:eastAsia="微软雅黑"/>
                <w:sz w:val="18"/>
                <w:szCs w:val="18"/>
              </w:rPr>
              <w:t>分。</w:t>
            </w:r>
          </w:p>
        </w:tc>
      </w:tr>
    </w:tbl>
    <w:p>
      <w:pPr>
        <w:pStyle w:val="21"/>
        <w:adjustRightInd w:val="0"/>
        <w:snapToGrid w:val="0"/>
        <w:spacing w:line="360" w:lineRule="exact"/>
        <w:ind w:firstLine="440" w:firstLineChars="200"/>
        <w:rPr>
          <w:rFonts w:hint="eastAsia" w:hAnsi="宋体" w:cs="Calibri"/>
          <w:sz w:val="22"/>
          <w:szCs w:val="22"/>
          <w:lang w:eastAsia="zh-CN"/>
        </w:rPr>
      </w:pPr>
    </w:p>
    <w:p>
      <w:pPr>
        <w:pStyle w:val="21"/>
        <w:spacing w:line="360" w:lineRule="exact"/>
        <w:rPr>
          <w:rFonts w:hAnsi="宋体" w:cs="Calibri"/>
          <w:b/>
          <w:sz w:val="22"/>
          <w:szCs w:val="22"/>
        </w:rPr>
      </w:pPr>
      <w:r>
        <w:rPr>
          <w:rFonts w:hAnsi="宋体" w:cs="Calibri"/>
          <w:b/>
          <w:sz w:val="22"/>
          <w:szCs w:val="22"/>
        </w:rPr>
        <w:t>3.4推荐中标候选人</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3.3.1当有效投标文件大于等于二名时，评标委员会</w:t>
      </w:r>
      <w:r>
        <w:rPr>
          <w:rFonts w:hint="eastAsia" w:hAnsi="宋体" w:cs="Calibri"/>
          <w:sz w:val="22"/>
          <w:szCs w:val="22"/>
        </w:rPr>
        <w:t>得分最高、次高的投标人为中标候选人（如果得分相同则按投标人报价从低到高顺序推荐为中标候选人，如果投标报价也相同，则抽签决定）。</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3.3.3当有效投标文件只有一名时，则由评标委员会确定是否推荐为中标候选人。</w:t>
      </w:r>
    </w:p>
    <w:p>
      <w:pPr>
        <w:pStyle w:val="21"/>
        <w:spacing w:line="360" w:lineRule="exact"/>
        <w:rPr>
          <w:rFonts w:hAnsi="宋体" w:cs="Calibri"/>
          <w:b/>
          <w:sz w:val="22"/>
          <w:szCs w:val="22"/>
        </w:rPr>
      </w:pPr>
      <w:r>
        <w:rPr>
          <w:rFonts w:hAnsi="宋体" w:cs="Calibri"/>
          <w:b/>
          <w:sz w:val="22"/>
          <w:szCs w:val="22"/>
        </w:rPr>
        <w:t>3.</w:t>
      </w:r>
      <w:r>
        <w:rPr>
          <w:rFonts w:hint="eastAsia" w:hAnsi="宋体" w:cs="Calibri"/>
          <w:b/>
          <w:sz w:val="22"/>
          <w:szCs w:val="22"/>
        </w:rPr>
        <w:t>5</w:t>
      </w:r>
      <w:r>
        <w:rPr>
          <w:rFonts w:hAnsi="宋体" w:cs="Calibri"/>
          <w:b/>
          <w:sz w:val="22"/>
          <w:szCs w:val="22"/>
        </w:rPr>
        <w:t>评标报告</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pPr>
        <w:pStyle w:val="21"/>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4.4招标人对评标、定标结果不负责解释。</w:t>
      </w:r>
    </w:p>
    <w:bookmarkEnd w:id="124"/>
    <w:p>
      <w:pPr>
        <w:spacing w:line="360" w:lineRule="exact"/>
        <w:rPr>
          <w:rFonts w:ascii="宋体" w:hAnsi="宋体"/>
          <w:szCs w:val="21"/>
        </w:rPr>
      </w:pPr>
    </w:p>
    <w:p>
      <w:pPr>
        <w:pStyle w:val="4"/>
        <w:spacing w:before="0" w:after="0" w:line="360" w:lineRule="auto"/>
        <w:jc w:val="center"/>
        <w:rPr>
          <w:rFonts w:ascii="Calibri" w:hAnsi="Calibri" w:eastAsia="黑体" w:cs="Calibri"/>
          <w:kern w:val="0"/>
          <w:sz w:val="32"/>
        </w:rPr>
      </w:pPr>
      <w:r>
        <w:br w:type="page"/>
      </w:r>
      <w:bookmarkStart w:id="125" w:name="_Toc535504378"/>
      <w:r>
        <w:rPr>
          <w:rFonts w:ascii="Calibri" w:hAnsi="Calibri" w:eastAsia="黑体" w:cs="Calibri"/>
          <w:kern w:val="0"/>
          <w:sz w:val="32"/>
        </w:rPr>
        <w:t>第</w:t>
      </w:r>
      <w:r>
        <w:rPr>
          <w:rFonts w:hint="eastAsia" w:ascii="Calibri" w:hAnsi="Calibri" w:eastAsia="黑体" w:cs="Calibri"/>
          <w:kern w:val="0"/>
          <w:sz w:val="32"/>
          <w:lang w:eastAsia="zh-CN"/>
        </w:rPr>
        <w:t>六</w:t>
      </w:r>
      <w:r>
        <w:rPr>
          <w:rFonts w:ascii="Calibri" w:hAnsi="Calibri" w:eastAsia="黑体" w:cs="Calibri"/>
          <w:kern w:val="0"/>
          <w:sz w:val="32"/>
        </w:rPr>
        <w:t>章  投标文件格式</w:t>
      </w:r>
      <w:bookmarkEnd w:id="125"/>
    </w:p>
    <w:p>
      <w:pPr>
        <w:spacing w:line="440" w:lineRule="exact"/>
        <w:rPr>
          <w:rFonts w:cs="Calibri"/>
          <w:color w:val="000000"/>
          <w:sz w:val="24"/>
        </w:rPr>
      </w:pPr>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一、</w:t>
      </w:r>
      <w:r>
        <w:rPr>
          <w:rFonts w:ascii="宋体" w:hAnsi="宋体" w:cs="Calibri"/>
          <w:color w:val="000000"/>
          <w:sz w:val="22"/>
        </w:rPr>
        <w:t>投标函；</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二、</w:t>
      </w:r>
      <w:r>
        <w:rPr>
          <w:rFonts w:ascii="宋体" w:hAnsi="宋体" w:cs="Calibri"/>
          <w:color w:val="000000"/>
          <w:sz w:val="22"/>
        </w:rPr>
        <w:t>投标报价表；</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三、</w:t>
      </w:r>
      <w:r>
        <w:rPr>
          <w:rFonts w:ascii="宋体" w:hAnsi="宋体" w:cs="Calibri"/>
          <w:color w:val="000000"/>
          <w:sz w:val="22"/>
        </w:rPr>
        <w:t>法定代表人资格证明书；</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四、</w:t>
      </w:r>
      <w:r>
        <w:rPr>
          <w:rFonts w:ascii="宋体" w:hAnsi="宋体" w:cs="Calibri"/>
          <w:color w:val="000000"/>
          <w:sz w:val="22"/>
        </w:rPr>
        <w:t>授权委托书；</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五、</w:t>
      </w:r>
      <w:r>
        <w:rPr>
          <w:rFonts w:ascii="宋体" w:hAnsi="宋体" w:cs="Calibri"/>
          <w:color w:val="000000"/>
          <w:sz w:val="22"/>
        </w:rPr>
        <w:t>投标人资格证明文件：</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（1）投标人一般情况</w:t>
      </w:r>
      <w:r>
        <w:rPr>
          <w:rFonts w:hint="eastAsia" w:ascii="宋体" w:hAnsi="宋体" w:cs="Calibri"/>
          <w:color w:val="000000"/>
          <w:sz w:val="22"/>
        </w:rPr>
        <w:t>及</w:t>
      </w:r>
      <w:r>
        <w:rPr>
          <w:rFonts w:ascii="宋体" w:hAnsi="宋体" w:cs="Calibri"/>
          <w:color w:val="000000"/>
          <w:sz w:val="22"/>
        </w:rPr>
        <w:t>有关证明投标人法律地位的文件（包括营业执照</w:t>
      </w:r>
      <w:r>
        <w:rPr>
          <w:rFonts w:hint="eastAsia" w:ascii="宋体" w:hAnsi="宋体" w:cs="Calibri"/>
          <w:color w:val="000000"/>
          <w:sz w:val="22"/>
        </w:rPr>
        <w:t>、</w:t>
      </w:r>
      <w:r>
        <w:rPr>
          <w:rFonts w:hint="eastAsia" w:ascii="宋体" w:hAnsi="宋体" w:cs="Calibri"/>
          <w:sz w:val="22"/>
        </w:rPr>
        <w:t>税务登记证、</w:t>
      </w:r>
      <w:r>
        <w:rPr>
          <w:rFonts w:ascii="宋体" w:hAnsi="宋体" w:cs="Calibri"/>
          <w:sz w:val="22"/>
        </w:rPr>
        <w:t>一般纳税人证明材料</w:t>
      </w:r>
      <w:r>
        <w:rPr>
          <w:rFonts w:hint="eastAsia" w:ascii="宋体" w:hAnsi="宋体" w:cs="Calibri"/>
          <w:sz w:val="22"/>
        </w:rPr>
        <w:t>、</w:t>
      </w:r>
      <w:r>
        <w:rPr>
          <w:rFonts w:ascii="宋体" w:hAnsi="宋体" w:cs="Calibri"/>
          <w:color w:val="000000"/>
          <w:sz w:val="22"/>
        </w:rPr>
        <w:t>资质</w:t>
      </w:r>
      <w:r>
        <w:rPr>
          <w:rFonts w:hint="eastAsia" w:ascii="宋体" w:hAnsi="宋体" w:cs="Calibri"/>
          <w:color w:val="000000"/>
          <w:sz w:val="22"/>
        </w:rPr>
        <w:t>证书</w:t>
      </w:r>
      <w:r>
        <w:rPr>
          <w:rFonts w:ascii="宋体" w:hAnsi="宋体" w:cs="Calibri"/>
          <w:color w:val="000000"/>
          <w:sz w:val="22"/>
        </w:rPr>
        <w:t>等），说明投标人的注册地点和主要经营范围；</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（2）有关证明投标人的企业信誉及获得各种奖励等资料；</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（3）投标人经济实力：包括企业注册资金、财务报告与报表中反映的财务状况</w:t>
      </w:r>
      <w:r>
        <w:rPr>
          <w:rFonts w:hint="eastAsia" w:ascii="宋体" w:hAnsi="宋体" w:cs="Calibri"/>
          <w:color w:val="000000"/>
          <w:sz w:val="22"/>
        </w:rPr>
        <w:t>；</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（4）</w:t>
      </w:r>
      <w:r>
        <w:rPr>
          <w:rFonts w:ascii="宋体" w:hAnsi="宋体" w:cs="Calibri"/>
          <w:color w:val="000000"/>
          <w:sz w:val="22"/>
        </w:rPr>
        <w:t>近三年完成类似项目业绩情况</w:t>
      </w:r>
      <w:r>
        <w:rPr>
          <w:rFonts w:hint="eastAsia" w:ascii="宋体" w:hAnsi="宋体" w:cs="Calibri"/>
          <w:color w:val="000000"/>
          <w:sz w:val="22"/>
        </w:rPr>
        <w:t>。</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六、</w:t>
      </w:r>
      <w:r>
        <w:rPr>
          <w:rFonts w:ascii="宋体" w:hAnsi="宋体" w:cs="Calibri"/>
          <w:color w:val="000000"/>
          <w:sz w:val="22"/>
        </w:rPr>
        <w:t>服务大纲</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（1）本项目概况；</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（2）工作内容和依据；</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（3）服务管理班子的组织结构形式；</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（4）服务人员的作业安排和进场计划；</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（5）服务人员工作守则；</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（6）对本项目的实施意见及重点</w:t>
      </w:r>
      <w:r>
        <w:rPr>
          <w:rFonts w:hint="eastAsia" w:ascii="宋体" w:hAnsi="宋体" w:cs="Calibri"/>
          <w:color w:val="000000"/>
          <w:sz w:val="22"/>
        </w:rPr>
        <w:t>、</w:t>
      </w:r>
      <w:r>
        <w:rPr>
          <w:rFonts w:ascii="宋体" w:hAnsi="宋体" w:cs="Calibri"/>
          <w:color w:val="000000"/>
          <w:sz w:val="22"/>
        </w:rPr>
        <w:t>难点控制；</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（7）投入到本项目的项目负责人、其他人员的情况汇总表及业绩、经历、能力介绍、资格证明材料及人员到位率的承诺；</w:t>
      </w:r>
    </w:p>
    <w:p>
      <w:pPr>
        <w:adjustRightInd w:val="0"/>
        <w:snapToGrid w:val="0"/>
        <w:spacing w:line="400" w:lineRule="exact"/>
        <w:ind w:firstLine="440" w:firstLineChars="200"/>
        <w:rPr>
          <w:rFonts w:ascii="宋体" w:hAnsi="宋体" w:cs="Calibri"/>
          <w:color w:val="000000"/>
          <w:sz w:val="22"/>
        </w:rPr>
      </w:pPr>
      <w:r>
        <w:rPr>
          <w:rFonts w:ascii="宋体" w:hAnsi="宋体" w:cs="Calibri"/>
          <w:color w:val="000000"/>
          <w:sz w:val="22"/>
        </w:rPr>
        <w:t>（8）投入本项目服务的仪器、仪表、设备及交通工具汇总表</w:t>
      </w:r>
      <w:r>
        <w:rPr>
          <w:rFonts w:hint="eastAsia" w:ascii="宋体" w:hAnsi="宋体" w:cs="Calibri"/>
          <w:color w:val="000000"/>
          <w:sz w:val="22"/>
        </w:rPr>
        <w:t>。</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七、</w:t>
      </w:r>
      <w:r>
        <w:rPr>
          <w:rFonts w:hint="eastAsia" w:ascii="宋体" w:hAnsi="宋体" w:cs="Arial"/>
          <w:color w:val="000000"/>
          <w:sz w:val="22"/>
        </w:rPr>
        <w:t>投标人认为</w:t>
      </w:r>
      <w:r>
        <w:rPr>
          <w:rFonts w:ascii="宋体" w:hAnsi="宋体" w:cs="Arial"/>
          <w:color w:val="000000"/>
          <w:sz w:val="22"/>
        </w:rPr>
        <w:t>应该提供的其他材料</w:t>
      </w:r>
      <w:r>
        <w:rPr>
          <w:rFonts w:hint="eastAsia" w:ascii="宋体" w:hAnsi="宋体" w:cs="Arial"/>
          <w:color w:val="000000"/>
          <w:sz w:val="22"/>
        </w:rPr>
        <w:t>。</w:t>
      </w:r>
    </w:p>
    <w:p>
      <w:pPr>
        <w:rPr>
          <w:rFonts w:ascii="宋体" w:hAnsi="宋体" w:cs="Calibri"/>
          <w:sz w:val="22"/>
        </w:rPr>
      </w:pPr>
    </w:p>
    <w:p>
      <w:pPr>
        <w:spacing w:line="440" w:lineRule="exact"/>
        <w:rPr>
          <w:rFonts w:ascii="宋体" w:hAnsi="宋体" w:cs="Calibri"/>
          <w:color w:val="000000"/>
          <w:sz w:val="22"/>
        </w:rPr>
      </w:pPr>
    </w:p>
    <w:p>
      <w:pPr>
        <w:spacing w:line="440" w:lineRule="exact"/>
        <w:ind w:right="420"/>
        <w:rPr>
          <w:rFonts w:ascii="宋体" w:hAnsi="宋体" w:cs="Calibri"/>
          <w:color w:val="000000"/>
          <w:sz w:val="22"/>
        </w:rPr>
      </w:pPr>
      <w:r>
        <w:rPr>
          <w:rFonts w:hint="eastAsia" w:ascii="宋体" w:hAnsi="宋体" w:cs="Calibri"/>
          <w:color w:val="000000"/>
          <w:sz w:val="22"/>
        </w:rPr>
        <w:t>注：未提供格式的由投标人自行拟定格式。</w:t>
      </w:r>
    </w:p>
    <w:p>
      <w:pPr>
        <w:spacing w:line="440" w:lineRule="exact"/>
        <w:ind w:right="420"/>
        <w:rPr>
          <w:rFonts w:ascii="宋体" w:hAnsi="宋体" w:cs="Calibri"/>
          <w:color w:val="000000"/>
        </w:rPr>
      </w:pPr>
    </w:p>
    <w:p>
      <w:pPr>
        <w:spacing w:line="440" w:lineRule="exact"/>
        <w:ind w:right="420"/>
        <w:rPr>
          <w:rFonts w:cs="Calibri"/>
          <w:color w:val="000000"/>
        </w:rPr>
      </w:pPr>
    </w:p>
    <w:p>
      <w:pPr>
        <w:spacing w:line="440" w:lineRule="exact"/>
        <w:ind w:right="420"/>
        <w:jc w:val="right"/>
        <w:rPr>
          <w:rFonts w:cs="Calibri"/>
          <w:color w:val="000000"/>
        </w:rPr>
      </w:pPr>
      <w:r>
        <w:rPr>
          <w:rFonts w:cs="Calibri"/>
          <w:color w:val="000000"/>
        </w:rPr>
        <w:br w:type="page"/>
      </w:r>
      <w:r>
        <w:rPr>
          <w:rFonts w:cs="Calibri"/>
          <w:color w:val="000000"/>
        </w:rPr>
        <w:t>正本（或副本）</w:t>
      </w:r>
    </w:p>
    <w:p>
      <w:pPr>
        <w:spacing w:line="440" w:lineRule="exact"/>
        <w:rPr>
          <w:rFonts w:cs="Calibri"/>
          <w:color w:val="000000"/>
          <w:sz w:val="24"/>
          <w:u w:val="single"/>
        </w:rPr>
      </w:pPr>
      <w:bookmarkStart w:id="126" w:name="_Toc171421958"/>
      <w:r>
        <w:rPr>
          <w:rFonts w:cs="Calibri"/>
          <w:color w:val="000000"/>
        </w:rPr>
        <w:t>封面</w:t>
      </w:r>
      <w:bookmarkEnd w:id="126"/>
    </w:p>
    <w:p>
      <w:pPr>
        <w:autoSpaceDE w:val="0"/>
        <w:autoSpaceDN w:val="0"/>
        <w:adjustRightInd w:val="0"/>
        <w:jc w:val="center"/>
        <w:rPr>
          <w:rFonts w:cs="Calibri"/>
          <w:b/>
          <w:spacing w:val="20"/>
          <w:kern w:val="0"/>
          <w:sz w:val="48"/>
          <w:szCs w:val="48"/>
        </w:rPr>
      </w:pPr>
    </w:p>
    <w:p>
      <w:pPr>
        <w:autoSpaceDE w:val="0"/>
        <w:autoSpaceDN w:val="0"/>
        <w:adjustRightInd w:val="0"/>
        <w:jc w:val="center"/>
        <w:rPr>
          <w:rFonts w:eastAsia="黑体" w:cs="Calibri"/>
          <w:b/>
          <w:sz w:val="44"/>
          <w:szCs w:val="44"/>
        </w:rPr>
      </w:pPr>
      <w:r>
        <w:rPr>
          <w:rFonts w:hint="eastAsia" w:eastAsia="黑体" w:cs="Calibri"/>
          <w:b/>
          <w:sz w:val="44"/>
          <w:szCs w:val="44"/>
        </w:rPr>
        <w:t>杭州萧山国际机场</w:t>
      </w:r>
      <w:r>
        <w:rPr>
          <w:rFonts w:hint="eastAsia" w:eastAsia="黑体" w:cs="Calibri"/>
          <w:b/>
          <w:sz w:val="44"/>
          <w:szCs w:val="44"/>
          <w:u w:val="single"/>
        </w:rPr>
        <w:t xml:space="preserve">         </w:t>
      </w:r>
      <w:r>
        <w:rPr>
          <w:rFonts w:eastAsia="黑体" w:cs="Calibri"/>
          <w:b/>
          <w:sz w:val="44"/>
          <w:szCs w:val="44"/>
        </w:rPr>
        <w:t>项目</w:t>
      </w:r>
    </w:p>
    <w:p>
      <w:pPr>
        <w:spacing w:line="440" w:lineRule="exact"/>
        <w:rPr>
          <w:rFonts w:cs="Calibri"/>
          <w:color w:val="000000"/>
          <w:sz w:val="36"/>
          <w:szCs w:val="36"/>
        </w:rPr>
      </w:pPr>
    </w:p>
    <w:p>
      <w:pPr>
        <w:spacing w:line="440" w:lineRule="exact"/>
        <w:ind w:firstLine="480" w:firstLineChars="200"/>
        <w:jc w:val="center"/>
        <w:rPr>
          <w:rFonts w:cs="Calibri"/>
          <w:color w:val="000000"/>
          <w:sz w:val="24"/>
        </w:rPr>
      </w:pPr>
    </w:p>
    <w:p>
      <w:pPr>
        <w:spacing w:line="440" w:lineRule="exact"/>
        <w:rPr>
          <w:rFonts w:cs="Calibri"/>
          <w:color w:val="000000"/>
          <w:sz w:val="44"/>
          <w:szCs w:val="44"/>
        </w:rPr>
      </w:pPr>
    </w:p>
    <w:p>
      <w:pPr>
        <w:spacing w:before="480" w:beforeLines="200" w:after="48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80" w:firstLineChars="200"/>
        <w:jc w:val="center"/>
        <w:rPr>
          <w:rFonts w:cs="Calibri"/>
          <w:color w:val="000000"/>
          <w:sz w:val="24"/>
        </w:rPr>
      </w:pPr>
    </w:p>
    <w:p>
      <w:pPr>
        <w:spacing w:line="440" w:lineRule="exact"/>
        <w:ind w:firstLine="480" w:firstLineChars="200"/>
        <w:rPr>
          <w:rFonts w:cs="Calibri"/>
          <w:color w:val="000000"/>
          <w:sz w:val="24"/>
        </w:rPr>
      </w:pPr>
      <w:r>
        <w:rPr>
          <w:rFonts w:cs="Calibri"/>
          <w:color w:val="000000"/>
          <w:sz w:val="24"/>
        </w:rPr>
        <w:t xml:space="preserve">                  </w:t>
      </w: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spacing w:line="360" w:lineRule="auto"/>
        <w:ind w:firstLine="1400" w:firstLineChars="500"/>
        <w:rPr>
          <w:rFonts w:cs="Calibri"/>
          <w:color w:val="000000"/>
          <w:sz w:val="28"/>
          <w:szCs w:val="28"/>
        </w:rPr>
      </w:pPr>
    </w:p>
    <w:p>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t>一、投 标 函</w:t>
      </w:r>
    </w:p>
    <w:p>
      <w:pPr>
        <w:spacing w:line="440" w:lineRule="exact"/>
        <w:jc w:val="center"/>
        <w:rPr>
          <w:rFonts w:cs="Calibri"/>
          <w:b/>
          <w:bCs/>
          <w:color w:val="000000"/>
          <w:sz w:val="28"/>
          <w:szCs w:val="28"/>
        </w:rPr>
      </w:pPr>
    </w:p>
    <w:p>
      <w:pPr>
        <w:snapToGrid w:val="0"/>
        <w:spacing w:line="360" w:lineRule="auto"/>
        <w:rPr>
          <w:rFonts w:ascii="宋体" w:hAnsi="宋体" w:cs="Calibri"/>
          <w:b/>
          <w:bCs/>
          <w:sz w:val="24"/>
          <w:szCs w:val="24"/>
        </w:rPr>
      </w:pPr>
      <w:r>
        <w:rPr>
          <w:rFonts w:ascii="宋体" w:hAnsi="宋体"/>
          <w:sz w:val="24"/>
          <w:szCs w:val="24"/>
        </w:rPr>
        <w:t>致：</w:t>
      </w:r>
      <w:r>
        <w:rPr>
          <w:rFonts w:hint="eastAsia" w:ascii="宋体" w:hAnsi="宋体"/>
          <w:sz w:val="24"/>
          <w:szCs w:val="24"/>
        </w:rPr>
        <w:t>杭州萧山国际机场</w:t>
      </w:r>
      <w:r>
        <w:rPr>
          <w:rFonts w:ascii="宋体" w:hAnsi="宋体"/>
          <w:sz w:val="24"/>
          <w:szCs w:val="24"/>
        </w:rPr>
        <w:t>有限公司</w:t>
      </w:r>
    </w:p>
    <w:p>
      <w:pPr>
        <w:snapToGrid w:val="0"/>
        <w:spacing w:line="360" w:lineRule="auto"/>
        <w:ind w:firstLine="600" w:firstLineChars="250"/>
        <w:rPr>
          <w:rFonts w:ascii="宋体" w:hAnsi="宋体" w:cs="Calibri"/>
          <w:sz w:val="24"/>
        </w:rPr>
      </w:pPr>
      <w:r>
        <w:rPr>
          <w:rFonts w:ascii="宋体" w:hAnsi="宋体" w:cs="Calibri"/>
          <w:sz w:val="24"/>
        </w:rPr>
        <w:t>1、根据已收到的</w:t>
      </w:r>
      <w:r>
        <w:rPr>
          <w:rFonts w:ascii="宋体" w:hAnsi="宋体" w:cs="Calibri"/>
          <w:sz w:val="24"/>
          <w:u w:val="single"/>
        </w:rPr>
        <w:t xml:space="preserve">                           </w:t>
      </w:r>
      <w:r>
        <w:rPr>
          <w:rFonts w:ascii="宋体" w:hAnsi="宋体" w:cs="Calibri"/>
          <w:sz w:val="24"/>
        </w:rPr>
        <w:t>招标文件，遵照《中华人民共和国招标投标法》等有关规定，经考察现场和研究上述招标文件后，我方愿以投标总价</w:t>
      </w:r>
      <w:r>
        <w:rPr>
          <w:rFonts w:hint="eastAsia" w:ascii="宋体" w:hAnsi="宋体" w:cs="Calibri"/>
          <w:sz w:val="24"/>
        </w:rPr>
        <w:t>为</w:t>
      </w:r>
      <w:r>
        <w:rPr>
          <w:rFonts w:ascii="宋体" w:hAnsi="宋体" w:cs="Calibri"/>
          <w:sz w:val="24"/>
        </w:rPr>
        <w:t>人民币 (大写)：</w:t>
      </w:r>
      <w:r>
        <w:rPr>
          <w:rFonts w:ascii="宋体" w:hAnsi="宋体" w:cs="Calibri"/>
          <w:sz w:val="24"/>
          <w:u w:val="single"/>
        </w:rPr>
        <w:t xml:space="preserve">               </w:t>
      </w:r>
      <w:r>
        <w:rPr>
          <w:rFonts w:ascii="宋体" w:hAnsi="宋体" w:cs="Calibri"/>
          <w:sz w:val="24"/>
        </w:rPr>
        <w:t>元（RMB</w:t>
      </w:r>
      <w:r>
        <w:rPr>
          <w:rFonts w:ascii="宋体" w:hAnsi="宋体" w:cs="Calibri"/>
          <w:sz w:val="24"/>
          <w:u w:val="single"/>
        </w:rPr>
        <w:t xml:space="preserve">         </w:t>
      </w:r>
      <w:r>
        <w:rPr>
          <w:rFonts w:ascii="宋体" w:hAnsi="宋体" w:cs="Calibri"/>
          <w:sz w:val="24"/>
        </w:rPr>
        <w:t>元）报价并按上述招标文件要求承揽上述项目</w:t>
      </w:r>
      <w:r>
        <w:rPr>
          <w:rFonts w:hint="eastAsia" w:ascii="宋体" w:hAnsi="宋体" w:cs="Calibri"/>
          <w:bCs/>
          <w:sz w:val="24"/>
        </w:rPr>
        <w:t>所有</w:t>
      </w:r>
      <w:r>
        <w:rPr>
          <w:rFonts w:ascii="宋体" w:hAnsi="宋体" w:cs="Calibri"/>
          <w:bCs/>
          <w:sz w:val="24"/>
        </w:rPr>
        <w:t>等工作</w:t>
      </w:r>
      <w:r>
        <w:rPr>
          <w:rFonts w:ascii="宋体" w:hAnsi="宋体" w:cs="Calibri"/>
          <w:sz w:val="24"/>
          <w:szCs w:val="21"/>
        </w:rPr>
        <w:t>。</w:t>
      </w:r>
      <w:r>
        <w:rPr>
          <w:rFonts w:ascii="宋体" w:hAnsi="宋体" w:cs="Calibri"/>
          <w:sz w:val="24"/>
        </w:rPr>
        <w:t xml:space="preserve"> </w:t>
      </w:r>
    </w:p>
    <w:p>
      <w:pPr>
        <w:snapToGrid w:val="0"/>
        <w:spacing w:line="360" w:lineRule="auto"/>
        <w:ind w:firstLine="600" w:firstLineChars="250"/>
        <w:rPr>
          <w:rFonts w:ascii="宋体" w:hAnsi="宋体" w:cs="Calibri"/>
          <w:b/>
          <w:sz w:val="24"/>
        </w:rPr>
      </w:pPr>
      <w:r>
        <w:rPr>
          <w:rFonts w:ascii="宋体" w:hAnsi="宋体" w:cs="Calibri"/>
          <w:sz w:val="24"/>
        </w:rPr>
        <w:t>2、一旦我方中标，我方保证在</w:t>
      </w:r>
      <w:r>
        <w:rPr>
          <w:rFonts w:hint="eastAsia" w:ascii="宋体" w:hAnsi="宋体" w:cs="Calibri"/>
          <w:sz w:val="24"/>
        </w:rPr>
        <w:t>合同</w:t>
      </w:r>
      <w:r>
        <w:rPr>
          <w:rFonts w:ascii="宋体" w:hAnsi="宋体" w:cs="Calibri"/>
          <w:sz w:val="24"/>
        </w:rPr>
        <w:t>期内完成上述</w:t>
      </w:r>
      <w:r>
        <w:rPr>
          <w:rFonts w:ascii="宋体" w:hAnsi="宋体" w:cs="Calibri"/>
          <w:bCs/>
          <w:sz w:val="24"/>
        </w:rPr>
        <w:t>全部工作</w:t>
      </w:r>
      <w:r>
        <w:rPr>
          <w:rFonts w:ascii="宋体" w:hAnsi="宋体" w:cs="Calibri"/>
          <w:sz w:val="24"/>
        </w:rPr>
        <w:t>。</w:t>
      </w:r>
    </w:p>
    <w:p>
      <w:pPr>
        <w:snapToGrid w:val="0"/>
        <w:spacing w:line="360" w:lineRule="auto"/>
        <w:rPr>
          <w:rFonts w:ascii="宋体" w:hAnsi="宋体" w:cs="Calibri"/>
          <w:sz w:val="24"/>
          <w:szCs w:val="20"/>
        </w:rPr>
      </w:pPr>
      <w:r>
        <w:rPr>
          <w:rFonts w:ascii="宋体" w:hAnsi="宋体" w:cs="Calibri"/>
          <w:sz w:val="24"/>
        </w:rPr>
        <w:t>　　 3、我方同意所递交的投标文件在“前附表”规定的投标有效期内有效，在此期间内我方的投标有可能中标，我方将受此约束。</w:t>
      </w:r>
    </w:p>
    <w:p>
      <w:pPr>
        <w:snapToGrid w:val="0"/>
        <w:spacing w:line="360" w:lineRule="auto"/>
        <w:rPr>
          <w:rFonts w:ascii="宋体" w:hAnsi="宋体" w:cs="Calibri"/>
          <w:sz w:val="24"/>
          <w:szCs w:val="20"/>
        </w:rPr>
      </w:pPr>
      <w:r>
        <w:rPr>
          <w:rFonts w:ascii="宋体" w:hAnsi="宋体" w:cs="Calibri"/>
          <w:sz w:val="24"/>
        </w:rPr>
        <w:t xml:space="preserve">     4、除非另外达成协议并生效，你方的中标通知书和本投标文件将构成约束我们双方的合同。</w:t>
      </w:r>
    </w:p>
    <w:p>
      <w:pPr>
        <w:snapToGrid w:val="0"/>
        <w:spacing w:line="360" w:lineRule="auto"/>
        <w:ind w:firstLine="600" w:firstLineChars="250"/>
        <w:rPr>
          <w:rFonts w:ascii="宋体" w:hAnsi="宋体" w:cs="Calibri"/>
          <w:sz w:val="24"/>
        </w:rPr>
      </w:pPr>
      <w:r>
        <w:rPr>
          <w:rFonts w:ascii="宋体" w:hAnsi="宋体" w:cs="Calibri"/>
          <w:sz w:val="24"/>
        </w:rPr>
        <w:t>5、一旦我方中标，我方保证按照招标文件的要求，按时签订</w:t>
      </w:r>
      <w:r>
        <w:rPr>
          <w:rFonts w:hint="eastAsia" w:ascii="宋体" w:hAnsi="宋体" w:cs="Calibri"/>
          <w:sz w:val="24"/>
        </w:rPr>
        <w:t>服务</w:t>
      </w:r>
      <w:r>
        <w:rPr>
          <w:rFonts w:ascii="宋体" w:hAnsi="宋体" w:cs="Calibri"/>
          <w:sz w:val="24"/>
        </w:rPr>
        <w:t>合同</w:t>
      </w:r>
      <w:r>
        <w:rPr>
          <w:rFonts w:hint="eastAsia" w:ascii="宋体" w:hAnsi="宋体" w:cs="Calibri"/>
          <w:sz w:val="24"/>
        </w:rPr>
        <w:t>，并</w:t>
      </w:r>
      <w:r>
        <w:rPr>
          <w:rFonts w:ascii="宋体" w:hAnsi="宋体" w:cs="Calibri"/>
          <w:sz w:val="24"/>
        </w:rPr>
        <w:t>全面履行</w:t>
      </w:r>
      <w:r>
        <w:rPr>
          <w:rFonts w:hint="eastAsia" w:ascii="宋体" w:hAnsi="宋体" w:cs="Calibri"/>
          <w:sz w:val="24"/>
        </w:rPr>
        <w:t>服务</w:t>
      </w:r>
      <w:r>
        <w:rPr>
          <w:rFonts w:ascii="宋体" w:hAnsi="宋体" w:cs="Calibri"/>
          <w:sz w:val="24"/>
        </w:rPr>
        <w:t>合同。</w:t>
      </w:r>
    </w:p>
    <w:p>
      <w:pPr>
        <w:snapToGrid w:val="0"/>
        <w:spacing w:line="440" w:lineRule="exact"/>
        <w:rPr>
          <w:rFonts w:ascii="宋体" w:hAnsi="宋体" w:cs="Calibri"/>
          <w:color w:val="000000"/>
          <w:szCs w:val="21"/>
        </w:rPr>
      </w:pPr>
    </w:p>
    <w:p>
      <w:pPr>
        <w:snapToGrid w:val="0"/>
        <w:spacing w:line="440" w:lineRule="exact"/>
        <w:rPr>
          <w:rFonts w:ascii="宋体" w:hAnsi="宋体" w:cs="Calibri"/>
          <w:color w:val="000000"/>
          <w:szCs w:val="21"/>
        </w:rPr>
      </w:pPr>
    </w:p>
    <w:p>
      <w:pPr>
        <w:snapToGrid w:val="0"/>
        <w:spacing w:line="440" w:lineRule="exact"/>
        <w:rPr>
          <w:rFonts w:ascii="宋体" w:hAnsi="宋体" w:cs="Calibri"/>
          <w:color w:val="000000"/>
          <w:szCs w:val="21"/>
        </w:rPr>
      </w:pP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投标人：（盖单位章）</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法定代表人或其委托代理人：（签字或盖章）</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地    址：</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邮政编码：</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电    话：</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传    真：</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开户银行：</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账    号：</w:t>
      </w:r>
    </w:p>
    <w:p>
      <w:pPr>
        <w:snapToGrid w:val="0"/>
        <w:spacing w:line="440" w:lineRule="exact"/>
        <w:ind w:firstLine="3600" w:firstLineChars="1500"/>
        <w:rPr>
          <w:rFonts w:ascii="宋体" w:hAnsi="宋体" w:cs="Calibri"/>
          <w:color w:val="000000"/>
          <w:sz w:val="24"/>
        </w:rPr>
      </w:pPr>
      <w:r>
        <w:rPr>
          <w:rFonts w:ascii="宋体" w:hAnsi="宋体" w:cs="Calibri"/>
          <w:color w:val="000000"/>
          <w:sz w:val="24"/>
        </w:rPr>
        <w:t>日    期：    年     月     日</w:t>
      </w:r>
    </w:p>
    <w:p>
      <w:pPr>
        <w:snapToGrid w:val="0"/>
        <w:spacing w:line="440" w:lineRule="exact"/>
        <w:ind w:firstLine="3150" w:firstLineChars="1500"/>
        <w:rPr>
          <w:rFonts w:cs="Calibri"/>
          <w:color w:val="000000"/>
          <w:szCs w:val="21"/>
        </w:rPr>
      </w:pPr>
    </w:p>
    <w:p>
      <w:pPr>
        <w:snapToGrid w:val="0"/>
        <w:spacing w:line="440" w:lineRule="exact"/>
        <w:ind w:firstLine="3150" w:firstLineChars="1500"/>
        <w:rPr>
          <w:rFonts w:cs="Calibri"/>
          <w:color w:val="000000"/>
          <w:szCs w:val="21"/>
        </w:rPr>
      </w:pPr>
    </w:p>
    <w:p>
      <w:pPr>
        <w:spacing w:line="440" w:lineRule="exact"/>
        <w:jc w:val="center"/>
        <w:rPr>
          <w:rFonts w:eastAsia="黑体" w:cs="Calibri"/>
          <w:color w:val="000000"/>
          <w:sz w:val="32"/>
          <w:szCs w:val="32"/>
        </w:rPr>
      </w:pPr>
      <w:r>
        <w:rPr>
          <w:rFonts w:eastAsia="黑体" w:cs="Calibri"/>
          <w:color w:val="000000"/>
          <w:sz w:val="32"/>
          <w:szCs w:val="32"/>
        </w:rPr>
        <w:br w:type="page"/>
      </w:r>
    </w:p>
    <w:p>
      <w:pPr>
        <w:adjustRightInd w:val="0"/>
        <w:snapToGrid w:val="0"/>
        <w:jc w:val="center"/>
        <w:rPr>
          <w:rFonts w:eastAsia="黑体" w:cs="Calibri"/>
          <w:color w:val="000000"/>
          <w:sz w:val="32"/>
          <w:szCs w:val="32"/>
        </w:rPr>
      </w:pPr>
      <w:r>
        <w:rPr>
          <w:rFonts w:hint="eastAsia" w:eastAsia="黑体" w:cs="Calibri"/>
          <w:color w:val="000000"/>
          <w:sz w:val="32"/>
          <w:szCs w:val="32"/>
        </w:rPr>
        <w:t>二</w:t>
      </w:r>
      <w:r>
        <w:rPr>
          <w:rFonts w:eastAsia="黑体" w:cs="Calibri"/>
          <w:color w:val="000000"/>
          <w:sz w:val="32"/>
          <w:szCs w:val="32"/>
        </w:rPr>
        <w:t>、法定代表人身份证明</w:t>
      </w:r>
    </w:p>
    <w:p>
      <w:pPr>
        <w:spacing w:after="120" w:afterLines="50" w:line="440" w:lineRule="exact"/>
        <w:rPr>
          <w:rFonts w:cs="Calibri"/>
          <w:color w:val="000000"/>
          <w:sz w:val="24"/>
        </w:rPr>
      </w:pPr>
    </w:p>
    <w:p>
      <w:pPr>
        <w:spacing w:after="120"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pacing w:after="120"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性别：</w:t>
      </w:r>
      <w:r>
        <w:rPr>
          <w:rFonts w:cs="Calibri"/>
          <w:color w:val="000000"/>
          <w:szCs w:val="21"/>
          <w:u w:val="single"/>
        </w:rPr>
        <w:t xml:space="preserve">         </w:t>
      </w:r>
      <w:r>
        <w:rPr>
          <w:rFonts w:cs="Calibri"/>
          <w:color w:val="000000"/>
          <w:szCs w:val="21"/>
        </w:rPr>
        <w:t xml:space="preserve">  年龄：</w:t>
      </w:r>
      <w:r>
        <w:rPr>
          <w:rFonts w:cs="Calibri"/>
          <w:color w:val="000000"/>
          <w:szCs w:val="21"/>
          <w:u w:val="single"/>
        </w:rPr>
        <w:t xml:space="preserve">         </w:t>
      </w:r>
      <w:r>
        <w:rPr>
          <w:rFonts w:cs="Calibri"/>
          <w:color w:val="000000"/>
          <w:szCs w:val="21"/>
        </w:rPr>
        <w:t xml:space="preserve">  职务：</w:t>
      </w:r>
      <w:r>
        <w:rPr>
          <w:rFonts w:cs="Calibri"/>
          <w:color w:val="000000"/>
          <w:szCs w:val="21"/>
          <w:u w:val="single"/>
        </w:rPr>
        <w:t xml:space="preserve">         </w:t>
      </w:r>
      <w:r>
        <w:rPr>
          <w:rFonts w:cs="Calibri"/>
          <w:color w:val="000000"/>
          <w:szCs w:val="21"/>
        </w:rPr>
        <w:t xml:space="preserve">  </w:t>
      </w:r>
    </w:p>
    <w:p>
      <w:pPr>
        <w:spacing w:after="120"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 xml:space="preserve">    系</w:t>
      </w:r>
      <w:r>
        <w:rPr>
          <w:rFonts w:cs="Calibri"/>
          <w:color w:val="000000"/>
          <w:szCs w:val="21"/>
          <w:u w:val="single"/>
        </w:rPr>
        <w:t xml:space="preserve">                          </w:t>
      </w:r>
      <w:r>
        <w:rPr>
          <w:rFonts w:cs="Calibri"/>
          <w:color w:val="000000"/>
          <w:szCs w:val="21"/>
        </w:rPr>
        <w:t>（投标人名称）的法定代表人。</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特此证明。</w:t>
      </w:r>
    </w:p>
    <w:p>
      <w:pPr>
        <w:spacing w:line="440" w:lineRule="exact"/>
        <w:rPr>
          <w:rFonts w:cs="Calibri"/>
          <w:color w:val="000000"/>
          <w:szCs w:val="21"/>
        </w:rPr>
      </w:pPr>
      <w:r>
        <w:rPr>
          <w:rFonts w:cs="Calibri"/>
          <w:color w:val="000000"/>
          <w:szCs w:val="21"/>
        </w:rPr>
        <w:t>附：法定代表人身份证复印件</w:t>
      </w:r>
    </w:p>
    <w:p>
      <w:pPr>
        <w:spacing w:line="440" w:lineRule="exact"/>
        <w:rPr>
          <w:rFonts w:cs="Calibri"/>
          <w:color w:val="000000"/>
          <w:szCs w:val="21"/>
        </w:rPr>
      </w:pPr>
      <w:r>
        <w:rPr>
          <w:rFonts w:cs="Calibri"/>
          <w:color w:val="000000"/>
          <w:szCs w:val="21"/>
        </w:rPr>
        <w:t xml:space="preserve">投标人：（盖单位章） </w:t>
      </w:r>
    </w:p>
    <w:p>
      <w:pPr>
        <w:spacing w:line="440" w:lineRule="exact"/>
        <w:ind w:firstLine="6216" w:firstLineChars="2960"/>
        <w:rPr>
          <w:rFonts w:cs="Calibri"/>
          <w:b/>
          <w:color w:val="000000"/>
          <w:szCs w:val="21"/>
        </w:rPr>
      </w:pPr>
      <w:r>
        <w:rPr>
          <w:rFonts w:cs="Calibri"/>
          <w:b/>
          <w:color w:val="000000"/>
          <w:szCs w:val="21"/>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372100" cy="2179320"/>
                <wp:effectExtent l="4445" t="4445" r="14605" b="6985"/>
                <wp:wrapSquare wrapText="bothSides"/>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pt;margin-top:31.2pt;height:171.6pt;width:423pt;mso-wrap-distance-bottom:0pt;mso-wrap-distance-left:9pt;mso-wrap-distance-right:9pt;mso-wrap-distance-top:0pt;z-index:251658240;mso-width-relative:page;mso-height-relative:page;" fillcolor="#FFFFFF" filled="t" stroked="t" coordsize="21600,2160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nyu01wAAAAcB&#10;AAAPAAAAAAAAAAEAIAAAACIAAABkcnMvZG93bnJldi54bWxQSwECFAAUAAAACACHTuJAfeOQExwC&#10;AABHBAAADgAAAAAAAAABACAAAAAmAQAAZHJzL2Uyb0RvYy54bWxQSwUGAAAAAAYABgBZAQAAtAUA&#10;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cs="Calibri"/>
          <w:color w:val="000000"/>
          <w:szCs w:val="21"/>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20" w:firstLineChars="200"/>
        <w:rPr>
          <w:rFonts w:cs="Calibri"/>
          <w:color w:val="000000"/>
          <w:szCs w:val="21"/>
        </w:rPr>
      </w:pPr>
      <w:r>
        <w:rPr>
          <w:rFonts w:cs="Calibri"/>
          <w:color w:val="000000"/>
          <w:szCs w:val="21"/>
        </w:rPr>
        <w:t>本人</w:t>
      </w:r>
      <w:r>
        <w:rPr>
          <w:rFonts w:cs="Calibri"/>
          <w:color w:val="000000"/>
          <w:szCs w:val="21"/>
          <w:u w:val="single"/>
        </w:rPr>
        <w:t xml:space="preserve">        </w:t>
      </w:r>
      <w:r>
        <w:rPr>
          <w:rFonts w:cs="Calibri"/>
          <w:color w:val="000000"/>
          <w:szCs w:val="21"/>
        </w:rPr>
        <w:t>（姓名）系</w:t>
      </w:r>
      <w:r>
        <w:rPr>
          <w:rFonts w:cs="Calibri"/>
          <w:color w:val="000000"/>
          <w:szCs w:val="21"/>
          <w:u w:val="single"/>
        </w:rPr>
        <w:t xml:space="preserve">                </w:t>
      </w:r>
      <w:r>
        <w:rPr>
          <w:rFonts w:cs="Calibri"/>
          <w:color w:val="000000"/>
          <w:szCs w:val="21"/>
        </w:rPr>
        <w:t>（投标人名称）的法定代表人，现委托</w:t>
      </w:r>
      <w:r>
        <w:rPr>
          <w:rFonts w:cs="Calibri"/>
          <w:color w:val="000000"/>
          <w:szCs w:val="21"/>
          <w:u w:val="single"/>
        </w:rPr>
        <w:t xml:space="preserve">      </w:t>
      </w:r>
      <w:r>
        <w:rPr>
          <w:rFonts w:cs="Calibri"/>
          <w:color w:val="000000"/>
          <w:szCs w:val="21"/>
        </w:rPr>
        <w:t>（姓名）为我方代理人。代理人根据授权，以我方名义签署、澄清、说明、补正、递交、撤回、修改</w:t>
      </w:r>
      <w:r>
        <w:rPr>
          <w:rFonts w:cs="Calibri"/>
          <w:color w:val="000000"/>
          <w:szCs w:val="21"/>
          <w:u w:val="single"/>
        </w:rPr>
        <w:t xml:space="preserve">              </w:t>
      </w:r>
      <w:r>
        <w:rPr>
          <w:rFonts w:cs="Calibri"/>
          <w:color w:val="000000"/>
          <w:szCs w:val="21"/>
        </w:rPr>
        <w:t>（项目名称）投标文件、签订合同和处理有关事宜，其法律后果由我方承担。</w:t>
      </w:r>
    </w:p>
    <w:p>
      <w:pPr>
        <w:spacing w:line="440" w:lineRule="exact"/>
        <w:ind w:firstLine="420" w:firstLineChars="200"/>
        <w:rPr>
          <w:rFonts w:cs="Calibri"/>
          <w:color w:val="000000"/>
          <w:szCs w:val="21"/>
        </w:rPr>
      </w:pPr>
      <w:r>
        <w:rPr>
          <w:rFonts w:cs="Calibri"/>
          <w:color w:val="000000"/>
          <w:szCs w:val="21"/>
        </w:rPr>
        <w:t>代理人无转委托权。</w:t>
      </w:r>
    </w:p>
    <w:p>
      <w:pPr>
        <w:spacing w:line="440" w:lineRule="exact"/>
        <w:ind w:firstLine="420" w:firstLineChars="200"/>
        <w:rPr>
          <w:rFonts w:cs="Calibri"/>
          <w:color w:val="000000"/>
          <w:szCs w:val="21"/>
        </w:rPr>
      </w:pPr>
      <w:r>
        <w:rPr>
          <w:rFonts w:cs="Calibri"/>
          <w:color w:val="000000"/>
          <w:szCs w:val="21"/>
        </w:rPr>
        <w:t>附：委托代理人身份证复印件</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投标人：（盖单位章）</w:t>
      </w:r>
    </w:p>
    <w:p>
      <w:pPr>
        <w:spacing w:line="440" w:lineRule="exact"/>
        <w:rPr>
          <w:rFonts w:cs="Calibri"/>
          <w:color w:val="000000"/>
          <w:szCs w:val="21"/>
        </w:rPr>
      </w:pPr>
      <w:r>
        <w:rPr>
          <w:rFonts w:cs="Calibri"/>
          <w:color w:val="000000"/>
          <w:szCs w:val="21"/>
        </w:rPr>
        <w:t>法定代表人：（签字或盖章）</w:t>
      </w:r>
    </w:p>
    <w:p>
      <w:pPr>
        <w:spacing w:line="440" w:lineRule="exact"/>
        <w:rPr>
          <w:rFonts w:cs="Calibri"/>
          <w:color w:val="000000"/>
          <w:szCs w:val="21"/>
        </w:rPr>
      </w:pPr>
      <w:r>
        <w:rPr>
          <w:rFonts w:cs="Calibri"/>
          <w:color w:val="000000"/>
          <w:szCs w:val="21"/>
        </w:rPr>
        <w:t>身份证号码：</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委托的代理人：（签字或盖章）</w:t>
      </w:r>
    </w:p>
    <w:p>
      <w:pPr>
        <w:spacing w:line="440" w:lineRule="exact"/>
        <w:rPr>
          <w:rFonts w:cs="Calibri"/>
          <w:color w:val="000000"/>
          <w:szCs w:val="21"/>
        </w:rPr>
      </w:pPr>
      <w:r>
        <w:rPr>
          <w:rFonts w:cs="Calibri"/>
          <w:color w:val="000000"/>
          <w:szCs w:val="21"/>
        </w:rPr>
        <w:t>身份证号码：</w:t>
      </w:r>
    </w:p>
    <w:p>
      <w:pPr>
        <w:spacing w:line="440" w:lineRule="exact"/>
        <w:ind w:firstLine="4515" w:firstLineChars="2150"/>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napToGrid w:val="0"/>
        <w:spacing w:line="440" w:lineRule="exact"/>
        <w:rPr>
          <w:rFonts w:cs="Calibri"/>
          <w:color w:val="000000"/>
          <w:szCs w:val="21"/>
        </w:rPr>
      </w:pPr>
      <w:r>
        <w:rPr>
          <w:rFonts w:cs="Calibri"/>
          <w:b/>
          <w:color w:val="000000"/>
          <w:szCs w:val="21"/>
          <w:lang/>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264160</wp:posOffset>
                </wp:positionV>
                <wp:extent cx="5372100" cy="2179320"/>
                <wp:effectExtent l="4445" t="4445" r="14605" b="6985"/>
                <wp:wrapSquare wrapText="bothSides"/>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9.15pt;margin-top:20.8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k96wdcAAAAJ&#10;AQAADwAAAAAAAAABACAAAAAiAAAAZHJzL2Rvd25yZXYueG1sUEsBAhQAFAAAAAgAh07iQI+uuFgd&#10;AgAARwQAAA4AAAAAAAAAAQAgAAAAJgEAAGRycy9lMm9Eb2MueG1sUEsFBgAAAAAGAAYAWQEAALUF&#10;A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mc:Fallback>
        </mc:AlternateConten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b/>
          <w:bCs/>
          <w:color w:val="000000"/>
          <w:sz w:val="32"/>
        </w:rPr>
      </w:pPr>
    </w:p>
    <w:p>
      <w:pPr>
        <w:widowControl/>
        <w:jc w:val="left"/>
        <w:rPr>
          <w:rFonts w:cs="Calibri"/>
          <w:b/>
          <w:bCs/>
          <w:color w:val="000000"/>
          <w:sz w:val="32"/>
        </w:rPr>
      </w:pPr>
      <w:r>
        <w:rPr>
          <w:rFonts w:cs="Calibri"/>
          <w:b/>
          <w:bCs/>
          <w:color w:val="000000"/>
          <w:sz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四</w:t>
      </w:r>
      <w:r>
        <w:rPr>
          <w:rFonts w:eastAsia="黑体" w:cs="Calibri"/>
          <w:color w:val="000000"/>
          <w:sz w:val="32"/>
          <w:szCs w:val="32"/>
        </w:rPr>
        <w:t>、投标报价表</w:t>
      </w:r>
    </w:p>
    <w:p>
      <w:pPr>
        <w:rPr>
          <w:rFonts w:cs="Calibri"/>
          <w:sz w:val="24"/>
        </w:rPr>
      </w:pPr>
    </w:p>
    <w:p>
      <w:pPr>
        <w:jc w:val="right"/>
        <w:rPr>
          <w:rFonts w:cs="Calibri"/>
          <w:bCs/>
          <w:sz w:val="24"/>
        </w:rPr>
      </w:pPr>
      <w:r>
        <w:rPr>
          <w:rFonts w:hint="eastAsia" w:cs="Calibri"/>
          <w:bCs/>
          <w:sz w:val="24"/>
        </w:rPr>
        <w:t>单位：万元</w:t>
      </w:r>
    </w:p>
    <w:tbl>
      <w:tblPr>
        <w:tblStyle w:val="5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8" w:firstLineChars="1890"/>
        <w:rPr>
          <w:rFonts w:cs="Calibri"/>
          <w:color w:val="000000"/>
          <w:szCs w:val="21"/>
        </w:rPr>
      </w:pPr>
      <w:r>
        <w:rPr>
          <w:rFonts w:cs="Calibri"/>
          <w:color w:val="000000"/>
          <w:szCs w:val="21"/>
        </w:rPr>
        <w:t>投标人：（盖单位章）</w:t>
      </w:r>
    </w:p>
    <w:p>
      <w:pPr>
        <w:snapToGrid w:val="0"/>
        <w:spacing w:line="440" w:lineRule="exact"/>
        <w:ind w:firstLine="3968"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8"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spacing w:line="440" w:lineRule="exact"/>
        <w:jc w:val="center"/>
        <w:rPr>
          <w:rFonts w:eastAsia="黑体" w:cs="Calibri"/>
          <w:color w:val="000000"/>
          <w:sz w:val="32"/>
          <w:szCs w:val="32"/>
        </w:rPr>
      </w:pPr>
      <w:r>
        <w:rPr>
          <w:rFonts w:eastAsia="黑体" w:cs="Calibri"/>
          <w:color w:val="000000"/>
          <w:sz w:val="32"/>
          <w:szCs w:val="32"/>
        </w:rPr>
        <w:t>五、投标人资格证明文件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r>
        <w:rPr>
          <w:rFonts w:eastAsia="黑体" w:cs="Calibri"/>
          <w:color w:val="000000"/>
          <w:sz w:val="32"/>
          <w:szCs w:val="32"/>
        </w:rPr>
        <w:t>（一）投标人一般情况</w:t>
      </w:r>
    </w:p>
    <w:tbl>
      <w:tblPr>
        <w:tblStyle w:val="5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1011"/>
        <w:gridCol w:w="360"/>
        <w:gridCol w:w="709"/>
        <w:gridCol w:w="95"/>
        <w:gridCol w:w="620"/>
        <w:gridCol w:w="215"/>
        <w:gridCol w:w="771"/>
        <w:gridCol w:w="126"/>
        <w:gridCol w:w="1008"/>
        <w:gridCol w:w="30"/>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企业名称</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企业地址</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电话</w:t>
            </w:r>
          </w:p>
        </w:tc>
        <w:tc>
          <w:tcPr>
            <w:tcW w:w="30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传真</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企业成立年份</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企业性质</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上级主管部门</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企业技术</w:t>
            </w:r>
          </w:p>
          <w:p>
            <w:pPr>
              <w:snapToGrid w:val="0"/>
              <w:jc w:val="center"/>
              <w:rPr>
                <w:rFonts w:cs="Calibri"/>
                <w:szCs w:val="21"/>
              </w:rPr>
            </w:pPr>
            <w:r>
              <w:rPr>
                <w:rFonts w:cs="Calibri"/>
                <w:szCs w:val="21"/>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p>
            <w:pPr>
              <w:snapToGrid w:val="0"/>
              <w:ind w:firstLine="210" w:firstLineChars="100"/>
              <w:jc w:val="center"/>
              <w:rPr>
                <w:rFonts w:cs="Calibri"/>
                <w:szCs w:val="21"/>
              </w:rPr>
            </w:pPr>
            <w:r>
              <w:rPr>
                <w:rFonts w:cs="Calibri"/>
                <w:szCs w:val="21"/>
              </w:rPr>
              <w:t>企业编制人数</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在册人数</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高级职称（其中注册人员）</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中级职称（其中注册人员）</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初级职称</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ind w:firstLine="210" w:firstLineChars="100"/>
              <w:jc w:val="center"/>
              <w:rPr>
                <w:rFonts w:cs="Calibri"/>
                <w:szCs w:val="21"/>
              </w:rPr>
            </w:pPr>
            <w:r>
              <w:rPr>
                <w:rFonts w:cs="Calibri"/>
                <w:szCs w:val="21"/>
              </w:rPr>
              <w:t>企业资质等级及证号</w:t>
            </w: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工商营业执照及营业范围</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注册资金</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开户银行及帐号</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联系人姓名</w:t>
            </w:r>
          </w:p>
          <w:p>
            <w:pPr>
              <w:snapToGrid w:val="0"/>
              <w:jc w:val="center"/>
              <w:rPr>
                <w:rFonts w:cs="Calibri"/>
                <w:szCs w:val="21"/>
              </w:rPr>
            </w:pPr>
            <w:r>
              <w:rPr>
                <w:rFonts w:cs="Calibri"/>
                <w:szCs w:val="21"/>
              </w:rPr>
              <w:t>及电话号码</w:t>
            </w:r>
          </w:p>
        </w:tc>
        <w:tc>
          <w:tcPr>
            <w:tcW w:w="22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过去3年完成</w:t>
            </w:r>
          </w:p>
          <w:p>
            <w:pPr>
              <w:snapToGrid w:val="0"/>
              <w:jc w:val="center"/>
              <w:rPr>
                <w:rFonts w:cs="Calibri"/>
                <w:szCs w:val="21"/>
              </w:rPr>
            </w:pPr>
            <w:r>
              <w:rPr>
                <w:rFonts w:cs="Calibri"/>
                <w:szCs w:val="21"/>
              </w:rPr>
              <w:t>产值/人均产值</w:t>
            </w:r>
          </w:p>
        </w:tc>
        <w:tc>
          <w:tcPr>
            <w:tcW w:w="193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22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35" w:type="dxa"/>
            <w:gridSpan w:val="4"/>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r>
              <w:rPr>
                <w:rFonts w:cs="Calibri"/>
                <w:szCs w:val="21"/>
              </w:rPr>
              <w:t xml:space="preserve">        </w:t>
            </w:r>
          </w:p>
        </w:tc>
        <w:tc>
          <w:tcPr>
            <w:tcW w:w="1190"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r>
              <w:rPr>
                <w:rFonts w:cs="Calibri"/>
                <w:szCs w:val="21"/>
              </w:rPr>
              <w:t xml:space="preserve">        </w:t>
            </w:r>
          </w:p>
        </w:tc>
      </w:tr>
    </w:tbl>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widowControl/>
        <w:jc w:val="left"/>
        <w:rPr>
          <w:rFonts w:cs="Calibri"/>
          <w:b/>
          <w:sz w:val="36"/>
          <w:szCs w:val="36"/>
        </w:rPr>
      </w:pPr>
      <w:r>
        <w:rPr>
          <w:rFonts w:cs="Calibri"/>
          <w:b/>
          <w:sz w:val="36"/>
          <w:szCs w:val="36"/>
        </w:rPr>
        <w:br w:type="page"/>
      </w:r>
    </w:p>
    <w:p>
      <w:pPr>
        <w:spacing w:line="440" w:lineRule="exact"/>
        <w:jc w:val="center"/>
        <w:rPr>
          <w:rFonts w:eastAsia="黑体" w:cs="Calibri"/>
          <w:color w:val="000000"/>
          <w:sz w:val="32"/>
          <w:szCs w:val="32"/>
        </w:rPr>
      </w:pPr>
      <w:r>
        <w:rPr>
          <w:rFonts w:eastAsia="黑体" w:cs="Calibri"/>
          <w:color w:val="000000"/>
          <w:sz w:val="32"/>
          <w:szCs w:val="32"/>
        </w:rPr>
        <w:t>（二）近三年完成类似</w:t>
      </w:r>
      <w:r>
        <w:rPr>
          <w:rFonts w:hint="eastAsia" w:eastAsia="黑体" w:cs="Calibri"/>
          <w:color w:val="000000"/>
          <w:sz w:val="32"/>
          <w:szCs w:val="32"/>
        </w:rPr>
        <w:t>项目业绩</w:t>
      </w:r>
      <w:r>
        <w:rPr>
          <w:rFonts w:eastAsia="黑体" w:cs="Calibri"/>
          <w:color w:val="000000"/>
          <w:sz w:val="32"/>
          <w:szCs w:val="32"/>
        </w:rPr>
        <w:t>情况</w:t>
      </w:r>
    </w:p>
    <w:tbl>
      <w:tblPr>
        <w:tblStyle w:val="55"/>
        <w:tblpPr w:leftFromText="180" w:rightFromText="180" w:vertAnchor="text" w:horzAnchor="margin" w:tblpXSpec="center" w:tblpY="317"/>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340"/>
        <w:gridCol w:w="876"/>
        <w:gridCol w:w="1356"/>
        <w:gridCol w:w="1596"/>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p>
            <w:pPr>
              <w:snapToGrid w:val="0"/>
              <w:jc w:val="center"/>
              <w:rPr>
                <w:rFonts w:cs="Calibri"/>
                <w:szCs w:val="21"/>
              </w:rPr>
            </w:pPr>
            <w:r>
              <w:rPr>
                <w:rFonts w:cs="Calibri"/>
                <w:szCs w:val="21"/>
              </w:rPr>
              <w:t>及建设地点</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类型</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建设规模</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开竣工日期</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质量达到</w:t>
            </w:r>
          </w:p>
          <w:p>
            <w:pPr>
              <w:snapToGrid w:val="0"/>
              <w:jc w:val="center"/>
              <w:rPr>
                <w:rFonts w:cs="Calibri"/>
                <w:szCs w:val="21"/>
              </w:rPr>
            </w:pPr>
            <w:r>
              <w:rPr>
                <w:rFonts w:cs="Calibri"/>
                <w:szCs w:val="21"/>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pStyle w:val="24"/>
              <w:spacing w:line="360" w:lineRule="auto"/>
              <w:ind w:left="5250"/>
              <w:rPr>
                <w:rFonts w:ascii="Calibri" w:hAnsi="Calibri" w:cs="Calibri"/>
                <w:kern w:val="2"/>
                <w:sz w:val="21"/>
                <w:szCs w:val="21"/>
                <w:lang w:val="en-US" w:eastAsia="zh-CN"/>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bl>
    <w:p>
      <w:pPr>
        <w:spacing w:line="360" w:lineRule="auto"/>
        <w:jc w:val="left"/>
        <w:rPr>
          <w:rFonts w:cs="Calibri"/>
          <w:b/>
          <w:sz w:val="36"/>
          <w:szCs w:val="36"/>
        </w:rPr>
      </w:pPr>
      <w:r>
        <w:rPr>
          <w:rFonts w:cs="Calibri"/>
          <w:szCs w:val="21"/>
        </w:rPr>
        <w:t>注：附</w:t>
      </w:r>
      <w:r>
        <w:rPr>
          <w:rFonts w:hint="eastAsia" w:cs="Calibri"/>
          <w:szCs w:val="21"/>
        </w:rPr>
        <w:t>服务</w:t>
      </w:r>
      <w:r>
        <w:rPr>
          <w:rFonts w:cs="Calibri"/>
          <w:szCs w:val="21"/>
        </w:rPr>
        <w:t>合同等相应证明文件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p>
    <w:p>
      <w:pPr>
        <w:widowControl/>
        <w:jc w:val="left"/>
        <w:rPr>
          <w:rFonts w:eastAsia="黑体" w:cs="Calibri"/>
          <w:color w:val="000000"/>
          <w:sz w:val="32"/>
          <w:szCs w:val="32"/>
        </w:rPr>
      </w:pPr>
      <w:r>
        <w:rPr>
          <w:rFonts w:eastAsia="黑体" w:cs="Calibri"/>
          <w:color w:val="000000"/>
          <w:sz w:val="32"/>
          <w:szCs w:val="32"/>
        </w:rPr>
        <w:br w:type="page"/>
      </w:r>
    </w:p>
    <w:p>
      <w:pPr>
        <w:spacing w:line="440" w:lineRule="exact"/>
        <w:jc w:val="center"/>
        <w:rPr>
          <w:rFonts w:eastAsia="黑体" w:cs="Calibri"/>
          <w:color w:val="000000"/>
          <w:sz w:val="32"/>
          <w:szCs w:val="32"/>
        </w:rPr>
      </w:pPr>
      <w:r>
        <w:rPr>
          <w:rFonts w:eastAsia="黑体" w:cs="Calibri"/>
          <w:color w:val="000000"/>
          <w:sz w:val="32"/>
          <w:szCs w:val="32"/>
        </w:rPr>
        <w:t>六、</w:t>
      </w:r>
      <w:r>
        <w:rPr>
          <w:rFonts w:hint="eastAsia" w:eastAsia="黑体" w:cs="Calibri"/>
          <w:color w:val="000000"/>
          <w:sz w:val="32"/>
          <w:szCs w:val="32"/>
        </w:rPr>
        <w:t>服务大纲</w:t>
      </w: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rPr>
        <w:t>一</w:t>
      </w:r>
      <w:r>
        <w:rPr>
          <w:rFonts w:eastAsia="黑体" w:cs="Calibri"/>
          <w:color w:val="000000"/>
          <w:sz w:val="32"/>
          <w:szCs w:val="32"/>
        </w:rPr>
        <w:t>）项目负责人简介</w:t>
      </w:r>
    </w:p>
    <w:tbl>
      <w:tblPr>
        <w:tblStyle w:val="55"/>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建设单位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cs="Calibri"/>
                <w:szCs w:val="21"/>
              </w:rPr>
              <w:t>建设规模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pStyle w:val="24"/>
              <w:snapToGrid w:val="0"/>
              <w:ind w:left="5250"/>
              <w:rPr>
                <w:rFonts w:ascii="Calibri" w:hAnsi="Calibri" w:cs="Calibri"/>
                <w:kern w:val="2"/>
                <w:sz w:val="21"/>
                <w:szCs w:val="21"/>
                <w:lang w:val="en-US" w:eastAsia="zh-CN"/>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pStyle w:val="24"/>
              <w:snapToGrid w:val="0"/>
              <w:ind w:left="5250"/>
              <w:rPr>
                <w:rFonts w:ascii="Calibri" w:hAnsi="Calibri" w:cs="Calibri"/>
                <w:kern w:val="2"/>
                <w:sz w:val="21"/>
                <w:szCs w:val="21"/>
                <w:lang w:val="en-US" w:eastAsia="zh-CN"/>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rPr>
          <w:rFonts w:cs="Calibri"/>
          <w:sz w:val="24"/>
        </w:rPr>
      </w:pPr>
    </w:p>
    <w:p>
      <w:pPr>
        <w:spacing w:line="360" w:lineRule="auto"/>
        <w:rPr>
          <w:rFonts w:cs="Calibri"/>
          <w:sz w:val="24"/>
        </w:rPr>
      </w:pPr>
    </w:p>
    <w:p>
      <w:pPr>
        <w:spacing w:line="440" w:lineRule="exact"/>
        <w:jc w:val="center"/>
        <w:rPr>
          <w:rFonts w:eastAsia="黑体" w:cs="Calibri"/>
          <w:color w:val="000000"/>
          <w:sz w:val="32"/>
          <w:szCs w:val="32"/>
        </w:rPr>
      </w:pPr>
      <w:r>
        <w:rPr>
          <w:rFonts w:eastAsia="黑体" w:cs="Calibri"/>
          <w:color w:val="000000"/>
          <w:sz w:val="32"/>
          <w:szCs w:val="32"/>
        </w:rPr>
        <w:t>（五）主要参与</w:t>
      </w:r>
      <w:r>
        <w:rPr>
          <w:rFonts w:hint="eastAsia" w:eastAsia="黑体" w:cs="Calibri"/>
          <w:color w:val="000000"/>
          <w:sz w:val="32"/>
          <w:szCs w:val="32"/>
        </w:rPr>
        <w:t>服务</w:t>
      </w:r>
      <w:r>
        <w:rPr>
          <w:rFonts w:eastAsia="黑体" w:cs="Calibri"/>
          <w:color w:val="000000"/>
          <w:sz w:val="32"/>
          <w:szCs w:val="32"/>
        </w:rPr>
        <w:t>人员简介</w:t>
      </w:r>
    </w:p>
    <w:tbl>
      <w:tblPr>
        <w:tblStyle w:val="5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0"/>
        <w:gridCol w:w="152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pStyle w:val="13"/>
              <w:snapToGrid w:val="0"/>
              <w:ind w:firstLine="241"/>
              <w:jc w:val="center"/>
              <w:rPr>
                <w:rFonts w:ascii="Calibri" w:hAnsi="Calibri" w:cs="Calibri"/>
                <w:bCs/>
                <w:sz w:val="21"/>
                <w:szCs w:val="21"/>
                <w:lang w:val="en-US" w:eastAsia="zh-CN"/>
              </w:rPr>
            </w:pPr>
            <w:r>
              <w:rPr>
                <w:rFonts w:ascii="Calibri" w:hAnsi="Calibri" w:cs="Calibri"/>
                <w:bCs/>
                <w:sz w:val="21"/>
                <w:szCs w:val="21"/>
                <w:lang w:val="en-US" w:eastAsia="zh-CN"/>
              </w:rPr>
              <w:t>岗位名称</w:t>
            </w:r>
          </w:p>
        </w:tc>
        <w:tc>
          <w:tcPr>
            <w:tcW w:w="1540" w:type="dxa"/>
            <w:vAlign w:val="center"/>
          </w:tcPr>
          <w:p>
            <w:pPr>
              <w:pStyle w:val="13"/>
              <w:snapToGrid w:val="0"/>
              <w:ind w:firstLine="241"/>
              <w:jc w:val="center"/>
              <w:rPr>
                <w:rFonts w:ascii="Calibri" w:hAnsi="Calibri" w:cs="Calibri"/>
                <w:bCs/>
                <w:sz w:val="21"/>
                <w:szCs w:val="21"/>
                <w:lang w:val="en-US" w:eastAsia="zh-CN"/>
              </w:rPr>
            </w:pPr>
            <w:r>
              <w:rPr>
                <w:rFonts w:ascii="Calibri" w:hAnsi="Calibri" w:cs="Calibri"/>
                <w:bCs/>
                <w:sz w:val="21"/>
                <w:szCs w:val="21"/>
                <w:lang w:val="en-US" w:eastAsia="zh-CN"/>
              </w:rPr>
              <w:t>姓名</w:t>
            </w:r>
          </w:p>
        </w:tc>
        <w:tc>
          <w:tcPr>
            <w:tcW w:w="1520" w:type="dxa"/>
            <w:vAlign w:val="center"/>
          </w:tcPr>
          <w:p>
            <w:pPr>
              <w:pStyle w:val="13"/>
              <w:snapToGrid w:val="0"/>
              <w:ind w:firstLine="241"/>
              <w:jc w:val="center"/>
              <w:rPr>
                <w:rFonts w:ascii="Calibri" w:hAnsi="Calibri" w:cs="Calibri"/>
                <w:bCs/>
                <w:sz w:val="21"/>
                <w:szCs w:val="21"/>
                <w:lang w:val="en-US" w:eastAsia="zh-CN"/>
              </w:rPr>
            </w:pPr>
            <w:r>
              <w:rPr>
                <w:rFonts w:ascii="Calibri" w:hAnsi="Calibri" w:cs="Calibri"/>
                <w:bCs/>
                <w:sz w:val="21"/>
                <w:szCs w:val="21"/>
                <w:lang w:val="en-US" w:eastAsia="zh-CN"/>
              </w:rPr>
              <w:t>执业资格/职称</w:t>
            </w:r>
          </w:p>
        </w:tc>
        <w:tc>
          <w:tcPr>
            <w:tcW w:w="1620" w:type="dxa"/>
            <w:vAlign w:val="center"/>
          </w:tcPr>
          <w:p>
            <w:pPr>
              <w:snapToGrid w:val="0"/>
              <w:jc w:val="center"/>
              <w:rPr>
                <w:rFonts w:cs="Calibri"/>
                <w:bCs/>
                <w:szCs w:val="21"/>
              </w:rPr>
            </w:pPr>
            <w:r>
              <w:rPr>
                <w:rFonts w:cs="Calibri"/>
                <w:bCs/>
                <w:szCs w:val="21"/>
              </w:rPr>
              <w:t>本项目</w:t>
            </w:r>
          </w:p>
          <w:p>
            <w:pPr>
              <w:snapToGrid w:val="0"/>
              <w:jc w:val="center"/>
              <w:rPr>
                <w:rFonts w:cs="Calibri"/>
                <w:bCs/>
                <w:szCs w:val="21"/>
              </w:rPr>
            </w:pPr>
            <w:r>
              <w:rPr>
                <w:rFonts w:cs="Calibri"/>
                <w:bCs/>
                <w:szCs w:val="21"/>
              </w:rPr>
              <w:t>拟任职务</w:t>
            </w:r>
          </w:p>
        </w:tc>
        <w:tc>
          <w:tcPr>
            <w:tcW w:w="2880" w:type="dxa"/>
            <w:vAlign w:val="center"/>
          </w:tcPr>
          <w:p>
            <w:pPr>
              <w:snapToGrid w:val="0"/>
              <w:jc w:val="center"/>
              <w:rPr>
                <w:rFonts w:cs="Calibri"/>
                <w:bCs/>
                <w:szCs w:val="21"/>
              </w:rPr>
            </w:pPr>
            <w:r>
              <w:rPr>
                <w:rFonts w:cs="Calibri"/>
                <w:bCs/>
                <w:szCs w:val="21"/>
              </w:rPr>
              <w:t>工作年限、主要经验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241"/>
              <w:jc w:val="center"/>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13"/>
              <w:snapToGrid w:val="0"/>
              <w:ind w:firstLine="0"/>
              <w:rPr>
                <w:rFonts w:ascii="Calibri" w:hAnsi="Calibri" w:cs="Calibri"/>
                <w:sz w:val="21"/>
                <w:szCs w:val="21"/>
                <w:lang w:val="en-US" w:eastAsia="zh-CN"/>
              </w:rPr>
            </w:pPr>
          </w:p>
        </w:tc>
        <w:tc>
          <w:tcPr>
            <w:tcW w:w="1540" w:type="dxa"/>
            <w:vAlign w:val="top"/>
          </w:tcPr>
          <w:p>
            <w:pPr>
              <w:pStyle w:val="13"/>
              <w:snapToGrid w:val="0"/>
              <w:ind w:firstLine="241"/>
              <w:jc w:val="center"/>
              <w:rPr>
                <w:rFonts w:ascii="Calibri" w:hAnsi="Calibri" w:cs="Calibri"/>
                <w:sz w:val="21"/>
                <w:szCs w:val="21"/>
                <w:lang w:val="en-US" w:eastAsia="zh-CN"/>
              </w:rPr>
            </w:pPr>
          </w:p>
        </w:tc>
        <w:tc>
          <w:tcPr>
            <w:tcW w:w="1520" w:type="dxa"/>
            <w:vAlign w:val="top"/>
          </w:tcPr>
          <w:p>
            <w:pPr>
              <w:pStyle w:val="13"/>
              <w:snapToGrid w:val="0"/>
              <w:ind w:firstLine="241"/>
              <w:jc w:val="center"/>
              <w:rPr>
                <w:rFonts w:ascii="Calibri" w:hAnsi="Calibri" w:cs="Calibri"/>
                <w:sz w:val="21"/>
                <w:szCs w:val="21"/>
                <w:lang w:val="en-US" w:eastAsia="zh-CN"/>
              </w:rPr>
            </w:pPr>
          </w:p>
        </w:tc>
        <w:tc>
          <w:tcPr>
            <w:tcW w:w="1620" w:type="dxa"/>
            <w:vAlign w:val="top"/>
          </w:tcPr>
          <w:p>
            <w:pPr>
              <w:pStyle w:val="13"/>
              <w:snapToGrid w:val="0"/>
              <w:ind w:firstLine="241"/>
              <w:jc w:val="center"/>
              <w:rPr>
                <w:rFonts w:ascii="Calibri" w:hAnsi="Calibri" w:cs="Calibri"/>
                <w:sz w:val="21"/>
                <w:szCs w:val="21"/>
                <w:lang w:val="en-US" w:eastAsia="zh-CN"/>
              </w:rPr>
            </w:pPr>
          </w:p>
        </w:tc>
        <w:tc>
          <w:tcPr>
            <w:tcW w:w="2880" w:type="dxa"/>
            <w:vAlign w:val="top"/>
          </w:tcPr>
          <w:p>
            <w:pPr>
              <w:pStyle w:val="13"/>
              <w:snapToGrid w:val="0"/>
              <w:ind w:firstLine="241"/>
              <w:jc w:val="center"/>
              <w:rPr>
                <w:rFonts w:ascii="Calibri" w:hAnsi="Calibri" w:cs="Calibri"/>
                <w:sz w:val="21"/>
                <w:szCs w:val="21"/>
                <w:lang w:val="en-US" w:eastAsia="zh-CN"/>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r>
        <w:rPr>
          <w:rFonts w:eastAsia="黑体" w:cs="Calibri"/>
          <w:color w:val="000000"/>
          <w:sz w:val="32"/>
          <w:szCs w:val="32"/>
        </w:rPr>
        <w:t>七、</w:t>
      </w:r>
      <w:r>
        <w:rPr>
          <w:rFonts w:hint="eastAsia" w:eastAsia="黑体" w:cs="Calibri"/>
          <w:color w:val="000000"/>
          <w:sz w:val="32"/>
          <w:szCs w:val="32"/>
        </w:rPr>
        <w:t>投标人认为</w:t>
      </w:r>
      <w:r>
        <w:rPr>
          <w:rFonts w:eastAsia="黑体" w:cs="Calibri"/>
          <w:color w:val="000000"/>
          <w:sz w:val="32"/>
          <w:szCs w:val="32"/>
        </w:rPr>
        <w:t>应该提供的其他材料</w:t>
      </w: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p>
    <w:sectPr>
      <w:headerReference r:id="rId7" w:type="default"/>
      <w:footerReference r:id="rId8" w:type="default"/>
      <w:pgSz w:w="11906" w:h="16838"/>
      <w:pgMar w:top="1134" w:right="1247" w:bottom="1134"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1" w:usb1="08070000" w:usb2="00000010" w:usb3="00000000" w:csb0="00020000"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rPr>
        <w:lang/>
      </w:rPr>
      <w:t xml:space="preserve"> 11 -</w:t>
    </w:r>
    <w:r>
      <w:rPr>
        <w:lang/>
      </w:rPr>
      <w:fldChar w:fldCharType="end"/>
    </w:r>
  </w:p>
  <w:p>
    <w:pPr>
      <w:pStyle w:val="27"/>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8"/>
      </w:rPr>
    </w:pPr>
    <w:r>
      <w:fldChar w:fldCharType="begin"/>
    </w:r>
    <w:r>
      <w:rPr>
        <w:rStyle w:val="48"/>
      </w:rPr>
      <w:instrText xml:space="preserve">PAGE  </w:instrText>
    </w:r>
    <w:r>
      <w:fldChar w:fldCharType="separate"/>
    </w:r>
    <w:r>
      <w:rPr>
        <w:rStyle w:val="48"/>
      </w:rPr>
      <w:t>0</w:t>
    </w:r>
    <w:r>
      <w:fldChar w:fldCharType="end"/>
    </w:r>
  </w:p>
  <w:p>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- 22 -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a2PQWAgAAFQQAAA4AAABkcnMvZTJvRG9jLnhtbK1TzY7TMBC+I/EO&#10;lu80aRGrbt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2tj0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rPr>
      <w:t>杭州萧山国际机场</w:t>
    </w:r>
    <w:r>
      <w:rPr>
        <w:rFonts w:hint="eastAsia"/>
        <w:lang w:val="zh-CN"/>
      </w:rPr>
      <w:t>飞行区道面病害调查技术服务项目</w:t>
    </w:r>
    <w:r>
      <w:rPr>
        <w:rFonts w:hint="eastAsia"/>
      </w:rPr>
      <w:t>招标文件</w:t>
    </w:r>
  </w:p>
  <w:p>
    <w:pPr>
      <w:widowControl/>
      <w:adjustRightInd w:val="0"/>
      <w:snapToGrid w:val="0"/>
      <w:textAlignment w:val="baseline"/>
      <w:rPr>
        <w:color w:val="000000"/>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ascii="仿宋_GB2312" w:eastAsia="仿宋_GB2312"/>
      </w:rPr>
    </w:pPr>
    <w:r>
      <w:rPr>
        <w:rFonts w:hint="eastAsia"/>
      </w:rPr>
      <w:t>杭州萧山国际机场</w:t>
    </w:r>
    <w:r>
      <w:rPr>
        <w:rFonts w:hint="eastAsia"/>
        <w:lang w:val="zh-CN"/>
      </w:rPr>
      <w:t>飞行区道面病害调查技术服务项目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53565323"/>
    <w:multiLevelType w:val="multilevel"/>
    <w:tmpl w:val="535653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FB33FE"/>
    <w:multiLevelType w:val="multilevel"/>
    <w:tmpl w:val="61FB33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31"/>
    <w:rsid w:val="00014A41"/>
    <w:rsid w:val="00043D80"/>
    <w:rsid w:val="0005073D"/>
    <w:rsid w:val="00054BA8"/>
    <w:rsid w:val="000558BB"/>
    <w:rsid w:val="00083718"/>
    <w:rsid w:val="000A5055"/>
    <w:rsid w:val="000D2991"/>
    <w:rsid w:val="000D716E"/>
    <w:rsid w:val="000E1A44"/>
    <w:rsid w:val="000E41E0"/>
    <w:rsid w:val="000E6C5F"/>
    <w:rsid w:val="000F424B"/>
    <w:rsid w:val="00103B6E"/>
    <w:rsid w:val="00112398"/>
    <w:rsid w:val="001214AA"/>
    <w:rsid w:val="001257A8"/>
    <w:rsid w:val="00126584"/>
    <w:rsid w:val="00135207"/>
    <w:rsid w:val="00135E42"/>
    <w:rsid w:val="00157A36"/>
    <w:rsid w:val="00160D3E"/>
    <w:rsid w:val="00170181"/>
    <w:rsid w:val="00174AA0"/>
    <w:rsid w:val="0017705A"/>
    <w:rsid w:val="00191182"/>
    <w:rsid w:val="001953D7"/>
    <w:rsid w:val="001A5FC5"/>
    <w:rsid w:val="001B6993"/>
    <w:rsid w:val="0020590F"/>
    <w:rsid w:val="00235211"/>
    <w:rsid w:val="00240577"/>
    <w:rsid w:val="00265CFE"/>
    <w:rsid w:val="00281975"/>
    <w:rsid w:val="002923E5"/>
    <w:rsid w:val="002A4593"/>
    <w:rsid w:val="002A4C59"/>
    <w:rsid w:val="002F2CA0"/>
    <w:rsid w:val="00304601"/>
    <w:rsid w:val="00320C5E"/>
    <w:rsid w:val="00324045"/>
    <w:rsid w:val="0032405E"/>
    <w:rsid w:val="00327C4A"/>
    <w:rsid w:val="00360221"/>
    <w:rsid w:val="00363BD3"/>
    <w:rsid w:val="00363F33"/>
    <w:rsid w:val="00394A07"/>
    <w:rsid w:val="003953EC"/>
    <w:rsid w:val="00395FF0"/>
    <w:rsid w:val="003B54EE"/>
    <w:rsid w:val="003D75CB"/>
    <w:rsid w:val="003E581E"/>
    <w:rsid w:val="003F27B0"/>
    <w:rsid w:val="00400C61"/>
    <w:rsid w:val="004329D3"/>
    <w:rsid w:val="00434759"/>
    <w:rsid w:val="0047086F"/>
    <w:rsid w:val="004C1164"/>
    <w:rsid w:val="004D1EC1"/>
    <w:rsid w:val="004E4274"/>
    <w:rsid w:val="004F2693"/>
    <w:rsid w:val="0050601A"/>
    <w:rsid w:val="005301FD"/>
    <w:rsid w:val="00537797"/>
    <w:rsid w:val="0054747C"/>
    <w:rsid w:val="005714F5"/>
    <w:rsid w:val="005920F8"/>
    <w:rsid w:val="006040B9"/>
    <w:rsid w:val="00605AC7"/>
    <w:rsid w:val="00631B6C"/>
    <w:rsid w:val="00651E2B"/>
    <w:rsid w:val="00675583"/>
    <w:rsid w:val="00675ECF"/>
    <w:rsid w:val="0069025B"/>
    <w:rsid w:val="00697CD5"/>
    <w:rsid w:val="006B2FF9"/>
    <w:rsid w:val="006B42FA"/>
    <w:rsid w:val="006B70B2"/>
    <w:rsid w:val="006C26EF"/>
    <w:rsid w:val="006C3DFF"/>
    <w:rsid w:val="006E40ED"/>
    <w:rsid w:val="006F0A51"/>
    <w:rsid w:val="00700706"/>
    <w:rsid w:val="00722B4F"/>
    <w:rsid w:val="007329DB"/>
    <w:rsid w:val="00733C0A"/>
    <w:rsid w:val="00735422"/>
    <w:rsid w:val="00742504"/>
    <w:rsid w:val="007551D4"/>
    <w:rsid w:val="00760CE1"/>
    <w:rsid w:val="007836C1"/>
    <w:rsid w:val="007A2F66"/>
    <w:rsid w:val="007B0A6C"/>
    <w:rsid w:val="007B58ED"/>
    <w:rsid w:val="007F2CA8"/>
    <w:rsid w:val="007F60B6"/>
    <w:rsid w:val="00804666"/>
    <w:rsid w:val="008170D0"/>
    <w:rsid w:val="008243A2"/>
    <w:rsid w:val="0082712F"/>
    <w:rsid w:val="00855504"/>
    <w:rsid w:val="0086238C"/>
    <w:rsid w:val="0086475B"/>
    <w:rsid w:val="00872C20"/>
    <w:rsid w:val="008733F9"/>
    <w:rsid w:val="0087643C"/>
    <w:rsid w:val="008A26D8"/>
    <w:rsid w:val="008B43CD"/>
    <w:rsid w:val="008F0B28"/>
    <w:rsid w:val="008F53D3"/>
    <w:rsid w:val="00925B09"/>
    <w:rsid w:val="009263ED"/>
    <w:rsid w:val="00926FFE"/>
    <w:rsid w:val="009413A1"/>
    <w:rsid w:val="00953F65"/>
    <w:rsid w:val="00985930"/>
    <w:rsid w:val="0099013C"/>
    <w:rsid w:val="009B1643"/>
    <w:rsid w:val="009C2765"/>
    <w:rsid w:val="009D0030"/>
    <w:rsid w:val="009E436E"/>
    <w:rsid w:val="009E7118"/>
    <w:rsid w:val="00A2314E"/>
    <w:rsid w:val="00A3100D"/>
    <w:rsid w:val="00A33C75"/>
    <w:rsid w:val="00A52F4B"/>
    <w:rsid w:val="00A60929"/>
    <w:rsid w:val="00A65350"/>
    <w:rsid w:val="00A67D7A"/>
    <w:rsid w:val="00AB5AB7"/>
    <w:rsid w:val="00AC0461"/>
    <w:rsid w:val="00AD5994"/>
    <w:rsid w:val="00AF3DB6"/>
    <w:rsid w:val="00AF72DD"/>
    <w:rsid w:val="00B1319B"/>
    <w:rsid w:val="00B245A5"/>
    <w:rsid w:val="00B512D6"/>
    <w:rsid w:val="00B8052C"/>
    <w:rsid w:val="00B80A03"/>
    <w:rsid w:val="00BA6EE7"/>
    <w:rsid w:val="00BA7AD7"/>
    <w:rsid w:val="00BA7C2E"/>
    <w:rsid w:val="00BB2D18"/>
    <w:rsid w:val="00BB3A42"/>
    <w:rsid w:val="00BC0E7C"/>
    <w:rsid w:val="00BE2377"/>
    <w:rsid w:val="00C159D6"/>
    <w:rsid w:val="00C33078"/>
    <w:rsid w:val="00C5464C"/>
    <w:rsid w:val="00C661A6"/>
    <w:rsid w:val="00C723FA"/>
    <w:rsid w:val="00C72C67"/>
    <w:rsid w:val="00C73031"/>
    <w:rsid w:val="00C83DF1"/>
    <w:rsid w:val="00CC7F12"/>
    <w:rsid w:val="00CD5A61"/>
    <w:rsid w:val="00CE6C5C"/>
    <w:rsid w:val="00CF0F32"/>
    <w:rsid w:val="00CF2FE2"/>
    <w:rsid w:val="00D105E4"/>
    <w:rsid w:val="00D12CA3"/>
    <w:rsid w:val="00D208A0"/>
    <w:rsid w:val="00D34245"/>
    <w:rsid w:val="00D57159"/>
    <w:rsid w:val="00D6013E"/>
    <w:rsid w:val="00D60371"/>
    <w:rsid w:val="00D61800"/>
    <w:rsid w:val="00D73807"/>
    <w:rsid w:val="00D907DD"/>
    <w:rsid w:val="00D947BF"/>
    <w:rsid w:val="00DB2F82"/>
    <w:rsid w:val="00DC16DD"/>
    <w:rsid w:val="00DC1D68"/>
    <w:rsid w:val="00DC6785"/>
    <w:rsid w:val="00DD4E83"/>
    <w:rsid w:val="00DE5CE4"/>
    <w:rsid w:val="00DF0448"/>
    <w:rsid w:val="00DF11E1"/>
    <w:rsid w:val="00E17128"/>
    <w:rsid w:val="00E5698C"/>
    <w:rsid w:val="00E57BC4"/>
    <w:rsid w:val="00E66104"/>
    <w:rsid w:val="00EA5BC9"/>
    <w:rsid w:val="00ED0393"/>
    <w:rsid w:val="00ED186E"/>
    <w:rsid w:val="00F60998"/>
    <w:rsid w:val="00F710B4"/>
    <w:rsid w:val="00F92745"/>
    <w:rsid w:val="00FA4609"/>
    <w:rsid w:val="00FB355C"/>
    <w:rsid w:val="00FC55D4"/>
    <w:rsid w:val="00FF17E6"/>
    <w:rsid w:val="071767FA"/>
    <w:rsid w:val="07A87E35"/>
    <w:rsid w:val="131416DE"/>
    <w:rsid w:val="13F827C0"/>
    <w:rsid w:val="1A051295"/>
    <w:rsid w:val="1B646DA3"/>
    <w:rsid w:val="2367123B"/>
    <w:rsid w:val="258B6126"/>
    <w:rsid w:val="2C6F5475"/>
    <w:rsid w:val="3ADA504E"/>
    <w:rsid w:val="4AEC39BA"/>
    <w:rsid w:val="5C2E46B1"/>
    <w:rsid w:val="5F561299"/>
    <w:rsid w:val="61CE31B6"/>
    <w:rsid w:val="687E4F1E"/>
    <w:rsid w:val="69981CD0"/>
    <w:rsid w:val="69FF5FDE"/>
    <w:rsid w:val="6DD316D4"/>
    <w:rsid w:val="6F7C42FD"/>
    <w:rsid w:val="740D4710"/>
    <w:rsid w:val="75C539F4"/>
    <w:rsid w:val="789A70A6"/>
    <w:rsid w:val="7EB433A0"/>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0" w:semiHidden="0" w:name="Body Text"/>
    <w:lsdException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
    <w:lsdException w:unhideWhenUsed="0" w:uiPriority="0" w:semiHidden="0" w:name=""/>
    <w:lsdException w:qFormat="1" w:unhideWhenUsed="0" w:uiPriority="0"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iPriority="69" w:name="Light Shading"/>
    <w:lsdException w:uiPriority="70" w:name="Light List"/>
    <w:lsdException w:uiPriority="71" w:name="Light Grid"/>
    <w:lsdException w:uiPriority="72" w:name="Medium Shading 1"/>
    <w:lsdException w:uiPriority="73" w:name="Medium Shading 2"/>
    <w:lsdException w:uiPriority="60" w:name="Medium List 1"/>
    <w:lsdException w:uiPriority="61" w:name="Medium List 2"/>
    <w:lsdException w:uiPriority="62" w:name="Medium Grid 1"/>
    <w:lsdException w:uiPriority="63" w:name="Medium Grid 2"/>
    <w:lsdException w:uiPriority="64" w:name="Medium Grid 3"/>
    <w:lsdException w:uiPriority="65" w:name="Dark List"/>
    <w:lsdException w:unhideWhenUsed="0" w:uiPriority="99" w:name="Colorful Shading"/>
    <w:lsdException w:qFormat="1" w:unhideWhenUsed="0" w:uiPriority="0" w:semiHidden="0" w:name="Colorful List"/>
    <w:lsdException w:qFormat="1" w:unhideWhenUsed="0" w:uiPriority="29" w:semiHidden="0" w:name="Colorful Grid"/>
    <w:lsdException w:qFormat="1" w:unhideWhenUsed="0" w:uiPriority="30" w:semiHidden="0"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71" w:semiHidden="0" w:name=""/>
    <w:lsdException w:qFormat="1" w:unhideWhenUsed="0" w:uiPriority="0" w:semiHidden="0" w:name=""/>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iPriority="66" w:name="Colorful Shading Accent 1"/>
    <w:lsdException w:uiPriority="67" w:name="Colorful List Accent 1"/>
    <w:lsdException w:uiPriority="68" w:name="Colorful Grid Accent 1"/>
    <w:lsdException w:uiPriority="69" w:name="Light Shading Accent 2"/>
    <w:lsdException w:uiPriority="70" w:name="Light List Accent 2"/>
    <w:lsdException w:uiPriority="71" w:name="Light Grid Accent 2"/>
    <w:lsdException w:uiPriority="72" w:name="Medium Shading 1 Accent 2"/>
    <w:lsdException w:uiPriority="73" w:name="Medium Shading 2 Accent 2"/>
    <w:lsdException w:uiPriority="60" w:name="Medium List 1 Accent 2"/>
    <w:lsdException w:uiPriority="61" w:name="Medium List 2 Accent 2"/>
    <w:lsdException w:uiPriority="62" w:name="Medium Grid 1 Accent 2"/>
    <w:lsdException w:uiPriority="63" w:name="Medium Grid 2 Accent 2"/>
    <w:lsdException w:uiPriority="64" w:name="Medium Grid 3 Accent 2"/>
    <w:lsdException w:uiPriority="65" w:name="Dark List Accent 2"/>
    <w:lsdException w:uiPriority="66" w:name="Colorful Shading Accent 2"/>
    <w:lsdException w:uiPriority="67" w:name="Colorful List Accent 2"/>
    <w:lsdException w:uiPriority="68" w:name="Colorful Grid Accent 2"/>
    <w:lsdException w:uiPriority="69" w:name="Light Shading Accent 3"/>
    <w:lsdException w:uiPriority="70" w:name="Light List Accent 3"/>
    <w:lsdException w:uiPriority="71" w:name="Light Grid Accent 3"/>
    <w:lsdException w:uiPriority="72" w:name="Medium Shading 1 Accent 3"/>
    <w:lsdException w:uiPriority="73" w:name="Medium Shading 2 Accent 3"/>
    <w:lsdException w:uiPriority="60" w:name="Medium List 1 Accent 3"/>
    <w:lsdException w:uiPriority="61" w:name="Medium List 2 Accent 3"/>
    <w:lsdException w:uiPriority="62" w:name="Medium Grid 1 Accent 3"/>
    <w:lsdException w:uiPriority="63" w:name="Medium Grid 2 Accent 3"/>
    <w:lsdException w:uiPriority="64" w:name="Medium Grid 3 Accent 3"/>
    <w:lsdException w:uiPriority="65" w:name="Dark List Accent 3"/>
    <w:lsdException w:uiPriority="66" w:name="Colorful Shading Accent 3"/>
    <w:lsdException w:uiPriority="67" w:name="Colorful List Accent 3"/>
    <w:lsdException w:uiPriority="68" w:name="Colorful Grid Accent 3"/>
    <w:lsdException w:uiPriority="69" w:name="Light Shading Accent 4"/>
    <w:lsdException w:uiPriority="70" w:name="Light List Accent 4"/>
    <w:lsdException w:uiPriority="71" w:name="Light Grid Accent 4"/>
    <w:lsdException w:uiPriority="72" w:name="Medium Shading 1 Accent 4"/>
    <w:lsdException w:uiPriority="73" w:name="Medium Shading 2 Accent 4"/>
    <w:lsdException w:uiPriority="60" w:name="Medium List 1 Accent 4"/>
    <w:lsdException w:uiPriority="61" w:name="Medium List 2 Accent 4"/>
    <w:lsdException w:uiPriority="62" w:name="Medium Grid 1 Accent 4"/>
    <w:lsdException w:uiPriority="63" w:name="Medium Grid 2 Accent 4"/>
    <w:lsdException w:uiPriority="64" w:name="Medium Grid 3 Accent 4"/>
    <w:lsdException w:uiPriority="65" w:name="Dark List Accent 4"/>
    <w:lsdException w:uiPriority="66" w:name="Colorful Shading Accent 4"/>
    <w:lsdException w:uiPriority="67" w:name="Colorful List Accent 4"/>
    <w:lsdException w:uiPriority="68" w:name="Colorful Grid Accent 4"/>
    <w:lsdException w:uiPriority="69" w:name="Light Shading Accent 5"/>
    <w:lsdException w:uiPriority="70" w:name="Light List Accent 5"/>
    <w:lsdException w:uiPriority="71" w:name="Light Grid Accent 5"/>
    <w:lsdException w:uiPriority="72" w:name="Medium Shading 1 Accent 5"/>
    <w:lsdException w:uiPriority="73" w:name="Medium Shading 2 Accent 5"/>
    <w:lsdException w:uiPriority="60" w:name="Medium List 1 Accent 5"/>
    <w:lsdException w:uiPriority="61" w:name="Medium List 2 Accent 5"/>
    <w:lsdException w:uiPriority="62" w:name="Medium Grid 1 Accent 5"/>
    <w:lsdException w:uiPriority="63" w:name="Medium Grid 2 Accent 5"/>
    <w:lsdException w:uiPriority="64" w:name="Medium Grid 3 Accent 5"/>
    <w:lsdException w:uiPriority="65" w:name="Dark List Accent 5"/>
    <w:lsdException w:uiPriority="66" w:name="Colorful Shading Accent 5"/>
    <w:lsdException w:uiPriority="67" w:name="Colorful List Accent 5"/>
    <w:lsdException w:uiPriority="68" w:name="Colorful Grid Accent 5"/>
    <w:lsdException w:uiPriority="69" w:name="Light Shading Accent 6"/>
    <w:lsdException w:uiPriority="70" w:name="Light List Accent 6"/>
    <w:lsdException w:uiPriority="71" w:name="Light Grid Accent 6"/>
    <w:lsdException w:uiPriority="72" w:name="Medium Shading 1 Accent 6"/>
    <w:lsdException w:uiPriority="73" w:name="Medium Shading 2 Accent 6"/>
    <w:lsdException w:qFormat="1" w:unhideWhenUsed="0" w:uiPriority="19" w:semiHidden="0" w:name="Medium List 1 Accent 6"/>
    <w:lsdException w:qFormat="1" w:unhideWhenUsed="0" w:uiPriority="21" w:semiHidden="0" w:name="Medium List 2 Accent 6"/>
    <w:lsdException w:qFormat="1" w:unhideWhenUsed="0" w:uiPriority="31" w:semiHidden="0" w:name="Medium Grid 1 Accent 6"/>
    <w:lsdException w:qFormat="1" w:unhideWhenUsed="0" w:uiPriority="32" w:semiHidden="0" w:name="Medium Grid 2 Accent 6"/>
    <w:lsdException w:qFormat="1" w:unhideWhenUsed="0" w:uiPriority="33" w:semiHidden="0" w:name="Medium Grid 3 Accent 6"/>
    <w:lsdException w:uiPriority="37" w:name="Dark List Accent 6"/>
    <w:lsdException w:qFormat="1" w:uiPriority="39"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1"/>
    <w:basedOn w:val="1"/>
    <w:next w:val="1"/>
    <w:link w:val="10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38"/>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link w:val="128"/>
    <w:qFormat/>
    <w:uiPriority w:val="0"/>
    <w:pPr>
      <w:spacing w:line="440" w:lineRule="atLeast"/>
      <w:outlineLvl w:val="2"/>
    </w:pPr>
    <w:rPr>
      <w:rFonts w:eastAsia="楷体_GB2312"/>
      <w:kern w:val="0"/>
      <w:sz w:val="28"/>
      <w:szCs w:val="20"/>
    </w:rPr>
  </w:style>
  <w:style w:type="paragraph" w:styleId="7">
    <w:name w:val="heading 4"/>
    <w:basedOn w:val="1"/>
    <w:next w:val="1"/>
    <w:link w:val="139"/>
    <w:qFormat/>
    <w:uiPriority w:val="0"/>
    <w:pPr>
      <w:keepNext/>
      <w:keepLines/>
      <w:spacing w:before="280" w:after="290" w:line="372" w:lineRule="auto"/>
      <w:outlineLvl w:val="3"/>
    </w:pPr>
    <w:rPr>
      <w:rFonts w:ascii="Arial" w:hAnsi="Arial" w:eastAsia="黑体"/>
      <w:b/>
      <w:bCs/>
      <w:kern w:val="0"/>
      <w:sz w:val="28"/>
      <w:szCs w:val="28"/>
    </w:rPr>
  </w:style>
  <w:style w:type="paragraph" w:styleId="8">
    <w:name w:val="heading 5"/>
    <w:basedOn w:val="1"/>
    <w:next w:val="1"/>
    <w:link w:val="124"/>
    <w:qFormat/>
    <w:uiPriority w:val="0"/>
    <w:pPr>
      <w:keepNext/>
      <w:keepLines/>
      <w:spacing w:before="280" w:after="290" w:line="372" w:lineRule="auto"/>
      <w:outlineLvl w:val="4"/>
    </w:pPr>
    <w:rPr>
      <w:b/>
      <w:bCs/>
      <w:kern w:val="0"/>
      <w:sz w:val="28"/>
      <w:szCs w:val="28"/>
    </w:rPr>
  </w:style>
  <w:style w:type="character" w:default="1" w:styleId="46">
    <w:name w:val="Default Paragraph Font"/>
    <w:unhideWhenUsed/>
    <w:uiPriority w:val="1"/>
  </w:style>
  <w:style w:type="table" w:default="1" w:styleId="55">
    <w:name w:val="Normal Table"/>
    <w:unhideWhenUsed/>
    <w:qFormat/>
    <w:uiPriority w:val="99"/>
    <w:tblPr>
      <w:tblStyle w:val="55"/>
      <w:tblLayout w:type="fixed"/>
      <w:tblCellMar>
        <w:top w:w="0" w:type="dxa"/>
        <w:left w:w="108" w:type="dxa"/>
        <w:bottom w:w="0" w:type="dxa"/>
        <w:right w:w="108" w:type="dxa"/>
      </w:tblCellMar>
    </w:tblPr>
    <w:tcPr>
      <w:textDirection w:val="lrTb"/>
    </w:tcPr>
  </w:style>
  <w:style w:type="paragraph" w:styleId="2">
    <w:name w:val="Body Text First Indent"/>
    <w:basedOn w:val="3"/>
    <w:link w:val="111"/>
    <w:uiPriority w:val="0"/>
    <w:pPr>
      <w:ind w:firstLine="420" w:firstLineChars="100"/>
    </w:pPr>
    <w:rPr>
      <w:rFonts w:ascii="Times New Roman" w:hAnsi="Times New Roman"/>
      <w:szCs w:val="24"/>
    </w:rPr>
  </w:style>
  <w:style w:type="paragraph" w:styleId="3">
    <w:name w:val="Body Text"/>
    <w:basedOn w:val="1"/>
    <w:link w:val="101"/>
    <w:unhideWhenUsed/>
    <w:uiPriority w:val="0"/>
    <w:pPr>
      <w:spacing w:after="120"/>
    </w:pPr>
    <w:rPr>
      <w:rFonts w:ascii="Calibri" w:hAnsi="Calibri"/>
      <w:kern w:val="0"/>
      <w:sz w:val="20"/>
      <w:szCs w:val="20"/>
    </w:rPr>
  </w:style>
  <w:style w:type="paragraph" w:styleId="9">
    <w:name w:val="List 3"/>
    <w:basedOn w:val="1"/>
    <w:uiPriority w:val="0"/>
    <w:pPr>
      <w:ind w:left="100" w:leftChars="400" w:hanging="200" w:hangingChars="200"/>
    </w:pPr>
    <w:rPr>
      <w:rFonts w:ascii="Times New Roman" w:hAnsi="Times New Roman"/>
      <w:szCs w:val="24"/>
    </w:rPr>
  </w:style>
  <w:style w:type="paragraph" w:styleId="10">
    <w:name w:val="annotation subject"/>
    <w:basedOn w:val="11"/>
    <w:next w:val="11"/>
    <w:link w:val="102"/>
    <w:semiHidden/>
    <w:uiPriority w:val="0"/>
    <w:rPr>
      <w:b/>
      <w:bCs/>
      <w:szCs w:val="24"/>
    </w:rPr>
  </w:style>
  <w:style w:type="paragraph" w:styleId="11">
    <w:name w:val="annotation text"/>
    <w:basedOn w:val="1"/>
    <w:link w:val="122"/>
    <w:unhideWhenUsed/>
    <w:uiPriority w:val="99"/>
    <w:pPr>
      <w:jc w:val="left"/>
    </w:pPr>
  </w:style>
  <w:style w:type="paragraph" w:styleId="12">
    <w:name w:val="toc 7"/>
    <w:basedOn w:val="1"/>
    <w:next w:val="1"/>
    <w:uiPriority w:val="0"/>
    <w:pPr>
      <w:ind w:left="2520"/>
    </w:pPr>
    <w:rPr>
      <w:rFonts w:ascii="Times New Roman" w:hAnsi="Times New Roman"/>
      <w:szCs w:val="24"/>
    </w:rPr>
  </w:style>
  <w:style w:type="paragraph" w:styleId="13">
    <w:name w:val="Normal Indent"/>
    <w:basedOn w:val="1"/>
    <w:link w:val="113"/>
    <w:qFormat/>
    <w:uiPriority w:val="0"/>
    <w:pPr>
      <w:autoSpaceDE w:val="0"/>
      <w:autoSpaceDN w:val="0"/>
      <w:adjustRightInd w:val="0"/>
      <w:ind w:firstLine="420"/>
      <w:jc w:val="left"/>
    </w:pPr>
    <w:rPr>
      <w:rFonts w:ascii="宋体"/>
      <w:kern w:val="0"/>
      <w:sz w:val="3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92"/>
    <w:uiPriority w:val="0"/>
    <w:pPr>
      <w:shd w:val="clear" w:color="auto" w:fill="000080"/>
    </w:pPr>
    <w:rPr>
      <w:kern w:val="0"/>
      <w:sz w:val="20"/>
      <w:szCs w:val="24"/>
    </w:rPr>
  </w:style>
  <w:style w:type="paragraph" w:styleId="16">
    <w:name w:val="toa heading"/>
    <w:basedOn w:val="1"/>
    <w:next w:val="1"/>
    <w:uiPriority w:val="0"/>
    <w:pPr>
      <w:spacing w:before="120"/>
    </w:pPr>
    <w:rPr>
      <w:rFonts w:ascii="Arial" w:hAnsi="Arial" w:cs="Arial"/>
      <w:sz w:val="24"/>
      <w:szCs w:val="24"/>
    </w:rPr>
  </w:style>
  <w:style w:type="paragraph" w:styleId="17">
    <w:name w:val="Body Text Indent"/>
    <w:basedOn w:val="1"/>
    <w:link w:val="93"/>
    <w:unhideWhenUsed/>
    <w:uiPriority w:val="0"/>
    <w:pPr>
      <w:spacing w:after="120"/>
      <w:ind w:left="420" w:leftChars="200"/>
    </w:pPr>
    <w:rPr>
      <w:rFonts w:ascii="Calibri" w:hAnsi="Calibri"/>
      <w:kern w:val="0"/>
      <w:sz w:val="20"/>
      <w:szCs w:val="20"/>
    </w:rPr>
  </w:style>
  <w:style w:type="paragraph" w:styleId="18">
    <w:name w:val="List 2"/>
    <w:basedOn w:val="1"/>
    <w:uiPriority w:val="0"/>
    <w:pPr>
      <w:ind w:left="100" w:leftChars="200" w:hanging="200" w:hangingChars="200"/>
    </w:pPr>
    <w:rPr>
      <w:rFonts w:ascii="Times New Roman" w:hAnsi="Times New Roman"/>
      <w:szCs w:val="24"/>
    </w:rPr>
  </w:style>
  <w:style w:type="paragraph" w:styleId="19">
    <w:name w:val="toc 5"/>
    <w:basedOn w:val="1"/>
    <w:next w:val="1"/>
    <w:uiPriority w:val="0"/>
    <w:pPr>
      <w:ind w:left="1680"/>
    </w:pPr>
    <w:rPr>
      <w:rFonts w:ascii="Times New Roman" w:hAnsi="Times New Roman"/>
      <w:szCs w:val="24"/>
    </w:rPr>
  </w:style>
  <w:style w:type="paragraph" w:styleId="20">
    <w:name w:val="toc 3"/>
    <w:basedOn w:val="1"/>
    <w:next w:val="1"/>
    <w:uiPriority w:val="39"/>
    <w:pPr>
      <w:spacing w:line="360" w:lineRule="auto"/>
      <w:ind w:left="400" w:leftChars="400"/>
    </w:pPr>
    <w:rPr>
      <w:rFonts w:ascii="Times New Roman" w:hAnsi="Times New Roman"/>
      <w:szCs w:val="24"/>
    </w:rPr>
  </w:style>
  <w:style w:type="paragraph" w:styleId="21">
    <w:name w:val="Plain Text"/>
    <w:basedOn w:val="1"/>
    <w:link w:val="110"/>
    <w:uiPriority w:val="0"/>
    <w:rPr>
      <w:rFonts w:ascii="宋体" w:hAnsi="Courier New"/>
      <w:kern w:val="0"/>
      <w:sz w:val="20"/>
      <w:szCs w:val="21"/>
    </w:rPr>
  </w:style>
  <w:style w:type="paragraph" w:styleId="22">
    <w:name w:val="toc 8"/>
    <w:basedOn w:val="1"/>
    <w:next w:val="1"/>
    <w:uiPriority w:val="0"/>
    <w:pPr>
      <w:ind w:left="2940"/>
    </w:pPr>
    <w:rPr>
      <w:rFonts w:ascii="Times New Roman" w:hAnsi="Times New Roman"/>
      <w:szCs w:val="24"/>
    </w:rPr>
  </w:style>
  <w:style w:type="paragraph" w:styleId="23">
    <w:name w:val="index 3"/>
    <w:basedOn w:val="1"/>
    <w:next w:val="1"/>
    <w:uiPriority w:val="0"/>
    <w:pPr>
      <w:ind w:left="400" w:leftChars="400"/>
    </w:pPr>
    <w:rPr>
      <w:rFonts w:ascii="Times New Roman" w:hAnsi="Times New Roman"/>
      <w:szCs w:val="24"/>
    </w:rPr>
  </w:style>
  <w:style w:type="paragraph" w:styleId="24">
    <w:name w:val="Date"/>
    <w:basedOn w:val="1"/>
    <w:next w:val="1"/>
    <w:link w:val="94"/>
    <w:uiPriority w:val="0"/>
    <w:pPr>
      <w:ind w:left="100" w:leftChars="2500"/>
    </w:pPr>
    <w:rPr>
      <w:b/>
      <w:bCs/>
      <w:kern w:val="0"/>
      <w:sz w:val="36"/>
      <w:szCs w:val="24"/>
    </w:rPr>
  </w:style>
  <w:style w:type="paragraph" w:styleId="25">
    <w:name w:val="Body Text Indent 2"/>
    <w:basedOn w:val="1"/>
    <w:link w:val="105"/>
    <w:uiPriority w:val="0"/>
    <w:pPr>
      <w:spacing w:after="120" w:line="480" w:lineRule="auto"/>
      <w:ind w:left="420" w:leftChars="200"/>
    </w:pPr>
    <w:rPr>
      <w:kern w:val="0"/>
      <w:sz w:val="20"/>
      <w:szCs w:val="24"/>
    </w:rPr>
  </w:style>
  <w:style w:type="paragraph" w:styleId="26">
    <w:name w:val="Balloon Text"/>
    <w:basedOn w:val="1"/>
    <w:link w:val="131"/>
    <w:uiPriority w:val="0"/>
    <w:rPr>
      <w:kern w:val="0"/>
      <w:sz w:val="18"/>
      <w:szCs w:val="18"/>
    </w:rPr>
  </w:style>
  <w:style w:type="paragraph" w:styleId="27">
    <w:name w:val="footer"/>
    <w:basedOn w:val="1"/>
    <w:link w:val="127"/>
    <w:uiPriority w:val="99"/>
    <w:pPr>
      <w:tabs>
        <w:tab w:val="center" w:pos="4153"/>
        <w:tab w:val="right" w:pos="8306"/>
      </w:tabs>
      <w:snapToGrid w:val="0"/>
      <w:jc w:val="left"/>
    </w:pPr>
    <w:rPr>
      <w:kern w:val="0"/>
      <w:sz w:val="18"/>
      <w:szCs w:val="18"/>
    </w:rPr>
  </w:style>
  <w:style w:type="paragraph" w:styleId="28">
    <w:name w:val="Body Text First Indent 2"/>
    <w:basedOn w:val="17"/>
    <w:link w:val="120"/>
    <w:uiPriority w:val="0"/>
    <w:pPr>
      <w:ind w:firstLine="420" w:firstLineChars="200"/>
    </w:pPr>
    <w:rPr>
      <w:szCs w:val="24"/>
    </w:rPr>
  </w:style>
  <w:style w:type="paragraph" w:styleId="29">
    <w:name w:val="header"/>
    <w:basedOn w:val="1"/>
    <w:link w:val="99"/>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4"/>
    <w:next w:val="1"/>
    <w:uiPriority w:val="39"/>
    <w:pPr>
      <w:tabs>
        <w:tab w:val="right" w:leader="dot" w:pos="8659"/>
      </w:tabs>
      <w:spacing w:before="0" w:after="0" w:line="240" w:lineRule="auto"/>
      <w:jc w:val="center"/>
    </w:pPr>
    <w:rPr>
      <w:b w:val="0"/>
      <w:sz w:val="21"/>
    </w:rPr>
  </w:style>
  <w:style w:type="paragraph" w:styleId="31">
    <w:name w:val="toc 4"/>
    <w:basedOn w:val="1"/>
    <w:next w:val="1"/>
    <w:uiPriority w:val="0"/>
    <w:pPr>
      <w:ind w:left="1260"/>
    </w:pPr>
    <w:rPr>
      <w:rFonts w:ascii="Times New Roman" w:hAnsi="Times New Roman"/>
      <w:szCs w:val="24"/>
    </w:rPr>
  </w:style>
  <w:style w:type="paragraph" w:styleId="32">
    <w:name w:val="List"/>
    <w:basedOn w:val="1"/>
    <w:uiPriority w:val="0"/>
    <w:pPr>
      <w:ind w:left="200" w:hanging="200" w:hangingChars="200"/>
    </w:pPr>
    <w:rPr>
      <w:rFonts w:ascii="Times New Roman" w:hAnsi="Times New Roman"/>
      <w:szCs w:val="24"/>
    </w:rPr>
  </w:style>
  <w:style w:type="paragraph" w:styleId="33">
    <w:name w:val="footnote text"/>
    <w:basedOn w:val="1"/>
    <w:link w:val="117"/>
    <w:uiPriority w:val="0"/>
    <w:pPr>
      <w:snapToGrid w:val="0"/>
      <w:jc w:val="left"/>
    </w:pPr>
    <w:rPr>
      <w:kern w:val="0"/>
      <w:sz w:val="18"/>
      <w:szCs w:val="18"/>
    </w:rPr>
  </w:style>
  <w:style w:type="paragraph" w:styleId="34">
    <w:name w:val="toc 6"/>
    <w:basedOn w:val="1"/>
    <w:next w:val="1"/>
    <w:uiPriority w:val="0"/>
    <w:pPr>
      <w:ind w:left="2100"/>
    </w:pPr>
    <w:rPr>
      <w:rFonts w:ascii="Times New Roman" w:hAnsi="Times New Roman"/>
      <w:szCs w:val="24"/>
    </w:rPr>
  </w:style>
  <w:style w:type="paragraph" w:styleId="35">
    <w:name w:val="Body Text Indent 3"/>
    <w:basedOn w:val="1"/>
    <w:link w:val="96"/>
    <w:uiPriority w:val="0"/>
    <w:pPr>
      <w:spacing w:line="540" w:lineRule="atLeast"/>
      <w:ind w:firstLine="480" w:firstLineChars="200"/>
    </w:pPr>
    <w:rPr>
      <w:kern w:val="0"/>
      <w:sz w:val="24"/>
      <w:szCs w:val="24"/>
    </w:rPr>
  </w:style>
  <w:style w:type="paragraph" w:styleId="36">
    <w:name w:val="table of figures"/>
    <w:basedOn w:val="1"/>
    <w:next w:val="1"/>
    <w:uiPriority w:val="0"/>
    <w:pPr>
      <w:ind w:left="200" w:leftChars="200" w:hanging="200" w:hangingChars="200"/>
    </w:pPr>
    <w:rPr>
      <w:rFonts w:ascii="Times New Roman" w:hAnsi="Times New Roman"/>
      <w:szCs w:val="24"/>
    </w:rPr>
  </w:style>
  <w:style w:type="paragraph" w:styleId="37">
    <w:name w:val="toc 2"/>
    <w:basedOn w:val="1"/>
    <w:next w:val="1"/>
    <w:uiPriority w:val="39"/>
    <w:pPr>
      <w:spacing w:line="360" w:lineRule="auto"/>
      <w:ind w:left="200" w:leftChars="200"/>
    </w:pPr>
    <w:rPr>
      <w:rFonts w:ascii="Times New Roman" w:hAnsi="Times New Roman"/>
      <w:szCs w:val="24"/>
    </w:rPr>
  </w:style>
  <w:style w:type="paragraph" w:styleId="38">
    <w:name w:val="toc 9"/>
    <w:basedOn w:val="1"/>
    <w:next w:val="1"/>
    <w:uiPriority w:val="0"/>
    <w:pPr>
      <w:ind w:left="3360"/>
    </w:pPr>
    <w:rPr>
      <w:rFonts w:ascii="Times New Roman" w:hAnsi="Times New Roman"/>
      <w:szCs w:val="24"/>
    </w:rPr>
  </w:style>
  <w:style w:type="paragraph" w:styleId="39">
    <w:name w:val="Body Text 2"/>
    <w:basedOn w:val="1"/>
    <w:link w:val="115"/>
    <w:uiPriority w:val="0"/>
    <w:pPr>
      <w:spacing w:after="120" w:line="480" w:lineRule="auto"/>
    </w:pPr>
    <w:rPr>
      <w:kern w:val="0"/>
      <w:sz w:val="20"/>
      <w:szCs w:val="24"/>
    </w:rPr>
  </w:style>
  <w:style w:type="paragraph" w:styleId="40">
    <w:name w:val="List 4"/>
    <w:basedOn w:val="1"/>
    <w:uiPriority w:val="0"/>
    <w:pPr>
      <w:ind w:left="100" w:leftChars="600" w:hanging="200" w:hangingChars="200"/>
    </w:pPr>
    <w:rPr>
      <w:rFonts w:ascii="Times New Roman" w:hAnsi="Times New Roman"/>
      <w:szCs w:val="24"/>
    </w:rPr>
  </w:style>
  <w:style w:type="paragraph" w:styleId="41">
    <w:name w:val="List Continue 2"/>
    <w:basedOn w:val="1"/>
    <w:uiPriority w:val="0"/>
    <w:pPr>
      <w:spacing w:after="120"/>
      <w:ind w:left="840" w:leftChars="400"/>
    </w:pPr>
    <w:rPr>
      <w:rFonts w:ascii="Times New Roman" w:hAnsi="Times New Roman"/>
      <w:szCs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uiPriority w:val="0"/>
    <w:pPr>
      <w:spacing w:line="320" w:lineRule="exact"/>
    </w:pPr>
    <w:rPr>
      <w:rFonts w:ascii="Times New Roman" w:hAnsi="Times New Roman"/>
      <w:snapToGrid w:val="0"/>
      <w:color w:val="FF6600"/>
      <w:kern w:val="0"/>
      <w:sz w:val="18"/>
      <w:szCs w:val="21"/>
    </w:rPr>
  </w:style>
  <w:style w:type="paragraph" w:styleId="44">
    <w:name w:val="index 2"/>
    <w:basedOn w:val="1"/>
    <w:next w:val="1"/>
    <w:uiPriority w:val="0"/>
    <w:pPr>
      <w:ind w:left="200" w:leftChars="200"/>
    </w:pPr>
    <w:rPr>
      <w:rFonts w:ascii="Times New Roman" w:hAnsi="Times New Roman"/>
      <w:szCs w:val="24"/>
    </w:rPr>
  </w:style>
  <w:style w:type="paragraph" w:styleId="45">
    <w:name w:val="Title"/>
    <w:basedOn w:val="1"/>
    <w:next w:val="1"/>
    <w:link w:val="91"/>
    <w:qFormat/>
    <w:uiPriority w:val="0"/>
    <w:pPr>
      <w:spacing w:before="240" w:after="60"/>
      <w:jc w:val="center"/>
      <w:outlineLvl w:val="0"/>
    </w:pPr>
    <w:rPr>
      <w:rFonts w:ascii="Arial" w:hAnsi="Arial"/>
      <w:b/>
      <w:bCs/>
      <w:kern w:val="0"/>
      <w:sz w:val="32"/>
      <w:szCs w:val="32"/>
    </w:rPr>
  </w:style>
  <w:style w:type="character" w:styleId="47">
    <w:name w:val="Strong"/>
    <w:basedOn w:val="46"/>
    <w:qFormat/>
    <w:uiPriority w:val="22"/>
    <w:rPr>
      <w:b/>
      <w:sz w:val="24"/>
      <w:szCs w:val="24"/>
    </w:rPr>
  </w:style>
  <w:style w:type="character" w:styleId="48">
    <w:name w:val="page number"/>
    <w:uiPriority w:val="0"/>
  </w:style>
  <w:style w:type="character" w:styleId="49">
    <w:name w:val="FollowedHyperlink"/>
    <w:uiPriority w:val="0"/>
    <w:rPr>
      <w:color w:val="800080"/>
      <w:u w:val="single"/>
    </w:rPr>
  </w:style>
  <w:style w:type="character" w:styleId="50">
    <w:name w:val="Emphasis"/>
    <w:qFormat/>
    <w:uiPriority w:val="2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styleId="53">
    <w:name w:val="HTML Cite"/>
    <w:basedOn w:val="46"/>
    <w:unhideWhenUsed/>
    <w:uiPriority w:val="99"/>
    <w:rPr>
      <w:sz w:val="24"/>
      <w:szCs w:val="24"/>
    </w:rPr>
  </w:style>
  <w:style w:type="character" w:styleId="54">
    <w:name w:val="footnote reference"/>
    <w:uiPriority w:val="0"/>
    <w:rPr>
      <w:vertAlign w:val="superscript"/>
    </w:rPr>
  </w:style>
  <w:style w:type="paragraph" w:customStyle="1" w:styleId="56">
    <w:name w:val="Char 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57">
    <w:name w:val="表格一"/>
    <w:basedOn w:val="1"/>
    <w:uiPriority w:val="0"/>
    <w:pPr>
      <w:spacing w:line="240" w:lineRule="exact"/>
      <w:ind w:left="105" w:leftChars="50"/>
    </w:pPr>
    <w:rPr>
      <w:rFonts w:ascii="Times New Roman" w:hAnsi="Times New Roman"/>
      <w:sz w:val="18"/>
      <w:szCs w:val="21"/>
    </w:rPr>
  </w:style>
  <w:style w:type="paragraph" w:customStyle="1" w:styleId="58">
    <w:name w:val="末级"/>
    <w:basedOn w:val="1"/>
    <w:uiPriority w:val="0"/>
    <w:pPr>
      <w:tabs>
        <w:tab w:val="left" w:pos="851"/>
      </w:tabs>
      <w:spacing w:line="360" w:lineRule="auto"/>
      <w:ind w:firstLine="510"/>
    </w:pPr>
    <w:rPr>
      <w:rFonts w:ascii="Times New Roman" w:hAnsi="Times New Roman"/>
      <w:sz w:val="24"/>
      <w:szCs w:val="24"/>
    </w:rPr>
  </w:style>
  <w:style w:type="paragraph" w:customStyle="1" w:styleId="59">
    <w:name w:val="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60">
    <w:name w:val="样式2"/>
    <w:basedOn w:val="36"/>
    <w:uiPriority w:val="0"/>
    <w:pPr>
      <w:ind w:firstLine="2720"/>
    </w:pPr>
    <w:rPr>
      <w:bCs/>
    </w:rPr>
  </w:style>
  <w:style w:type="paragraph" w:customStyle="1" w:styleId="61">
    <w:name w:val="样式3"/>
    <w:basedOn w:val="6"/>
    <w:uiPriority w:val="0"/>
    <w:pPr>
      <w:keepNext/>
      <w:keepLines/>
      <w:spacing w:before="120" w:after="120" w:line="360" w:lineRule="auto"/>
    </w:pPr>
    <w:rPr>
      <w:rFonts w:eastAsia="宋体"/>
      <w:sz w:val="24"/>
      <w:szCs w:val="24"/>
    </w:rPr>
  </w:style>
  <w:style w:type="paragraph" w:customStyle="1" w:styleId="62">
    <w:name w:val="样式 一号 加粗 居中"/>
    <w:basedOn w:val="1"/>
    <w:uiPriority w:val="0"/>
    <w:pPr>
      <w:jc w:val="center"/>
    </w:pPr>
    <w:rPr>
      <w:rFonts w:ascii="Times New Roman" w:hAnsi="Times New Roman" w:cs="宋体"/>
      <w:bCs/>
      <w:sz w:val="52"/>
      <w:szCs w:val="20"/>
    </w:rPr>
  </w:style>
  <w:style w:type="paragraph" w:customStyle="1" w:styleId="63">
    <w:name w:val="Char"/>
    <w:basedOn w:val="1"/>
    <w:uiPriority w:val="0"/>
    <w:pPr>
      <w:spacing w:line="360" w:lineRule="auto"/>
    </w:pPr>
    <w:rPr>
      <w:rFonts w:ascii="黑体" w:hAnsi="黑体"/>
      <w:sz w:val="24"/>
      <w:szCs w:val="24"/>
      <w:lang w:val="zh-CN"/>
    </w:rPr>
  </w:style>
  <w:style w:type="paragraph" w:customStyle="1" w:styleId="64">
    <w:name w:val="Char Char Char Char"/>
    <w:basedOn w:val="1"/>
    <w:uiPriority w:val="0"/>
    <w:rPr>
      <w:rFonts w:ascii="仿宋_GB2312" w:hAnsi="Times New Roman" w:eastAsia="仿宋_GB2312"/>
      <w:b/>
      <w:sz w:val="32"/>
      <w:szCs w:val="32"/>
    </w:rPr>
  </w:style>
  <w:style w:type="paragraph" w:styleId="65">
    <w:name w:val=""/>
    <w:unhideWhenUsed/>
    <w:uiPriority w:val="71"/>
    <w:rPr>
      <w:kern w:val="2"/>
      <w:sz w:val="21"/>
      <w:szCs w:val="22"/>
      <w:lang w:val="en-US" w:eastAsia="zh-CN" w:bidi="ar-SA"/>
    </w:rPr>
  </w:style>
  <w:style w:type="paragraph" w:customStyle="1" w:styleId="66">
    <w:name w:val="样式1"/>
    <w:basedOn w:val="1"/>
    <w:uiPriority w:val="0"/>
    <w:pPr>
      <w:spacing w:line="360" w:lineRule="auto"/>
      <w:jc w:val="center"/>
    </w:pPr>
    <w:rPr>
      <w:rFonts w:ascii="宋体" w:hAnsi="宋体"/>
      <w:sz w:val="32"/>
      <w:szCs w:val="30"/>
    </w:rPr>
  </w:style>
  <w:style w:type="paragraph" w:styleId="67">
    <w:name w:val=""/>
    <w:basedOn w:val="1"/>
    <w:next w:val="1"/>
    <w:link w:val="119"/>
    <w:uiPriority w:val="0"/>
    <w:pPr>
      <w:pBdr>
        <w:bottom w:val="single" w:color="auto" w:sz="6" w:space="1"/>
      </w:pBdr>
      <w:jc w:val="center"/>
    </w:pPr>
    <w:rPr>
      <w:rFonts w:ascii="Arial" w:hAnsi="Arial"/>
      <w:vanish/>
      <w:kern w:val="0"/>
      <w:sz w:val="16"/>
      <w:szCs w:val="16"/>
    </w:rPr>
  </w:style>
  <w:style w:type="paragraph" w:customStyle="1" w:styleId="68">
    <w:name w:val="Blockquote"/>
    <w:basedOn w:val="1"/>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69">
    <w:name w:val="列出段落1"/>
    <w:basedOn w:val="1"/>
    <w:uiPriority w:val="0"/>
    <w:pPr>
      <w:ind w:firstLine="420" w:firstLineChars="200"/>
    </w:pPr>
  </w:style>
  <w:style w:type="paragraph" w:customStyle="1" w:styleId="70">
    <w:name w:val="正文段"/>
    <w:basedOn w:val="1"/>
    <w:uiPriority w:val="0"/>
    <w:pPr>
      <w:spacing w:line="360" w:lineRule="auto"/>
      <w:ind w:firstLine="420"/>
    </w:pPr>
    <w:rPr>
      <w:rFonts w:ascii="宋体" w:hAnsi="Times New Roman"/>
      <w:sz w:val="24"/>
      <w:szCs w:val="24"/>
    </w:rPr>
  </w:style>
  <w:style w:type="paragraph" w:customStyle="1" w:styleId="71">
    <w:name w:val="Char Char Char Char Char Char Char"/>
    <w:basedOn w:val="1"/>
    <w:uiPriority w:val="0"/>
    <w:pPr>
      <w:widowControl/>
      <w:spacing w:after="160" w:line="240" w:lineRule="exact"/>
      <w:jc w:val="left"/>
    </w:pPr>
    <w:rPr>
      <w:rFonts w:ascii="Times New Roman" w:hAnsi="Times New Roman"/>
      <w:szCs w:val="20"/>
    </w:rPr>
  </w:style>
  <w:style w:type="paragraph" w:customStyle="1" w:styleId="72">
    <w:name w:val="_Style 10"/>
    <w:basedOn w:val="1"/>
    <w:next w:val="1"/>
    <w:uiPriority w:val="0"/>
    <w:rPr>
      <w:rFonts w:ascii="Times New Roman" w:hAnsi="Times New Roman"/>
      <w:szCs w:val="24"/>
    </w:rPr>
  </w:style>
  <w:style w:type="paragraph" w:styleId="73">
    <w:name w:val=""/>
    <w:basedOn w:val="1"/>
    <w:next w:val="1"/>
    <w:link w:val="97"/>
    <w:uiPriority w:val="0"/>
    <w:pPr>
      <w:pBdr>
        <w:top w:val="single" w:color="auto" w:sz="6" w:space="1"/>
      </w:pBdr>
      <w:jc w:val="center"/>
    </w:pPr>
    <w:rPr>
      <w:rFonts w:ascii="Arial" w:hAnsi="Arial"/>
      <w:vanish/>
      <w:kern w:val="0"/>
      <w:sz w:val="16"/>
      <w:szCs w:val="16"/>
    </w:rPr>
  </w:style>
  <w:style w:type="paragraph" w:customStyle="1" w:styleId="7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
    <w:name w:val="0"/>
    <w:basedOn w:val="1"/>
    <w:uiPriority w:val="0"/>
    <w:pPr>
      <w:widowControl/>
    </w:pPr>
    <w:rPr>
      <w:rFonts w:ascii="Times New Roman" w:hAnsi="Times New Roman"/>
      <w:kern w:val="0"/>
      <w:szCs w:val="20"/>
    </w:rPr>
  </w:style>
  <w:style w:type="paragraph" w:styleId="76">
    <w:name w:val=""/>
    <w:basedOn w:val="1"/>
    <w:qFormat/>
    <w:uiPriority w:val="0"/>
    <w:pPr>
      <w:spacing w:before="100" w:beforeAutospacing="1" w:after="100" w:afterAutospacing="1" w:line="300" w:lineRule="auto"/>
      <w:ind w:firstLine="420" w:firstLineChars="200"/>
    </w:pPr>
  </w:style>
  <w:style w:type="paragraph" w:customStyle="1" w:styleId="77">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78">
    <w:name w:val="表"/>
    <w:basedOn w:val="1"/>
    <w:uiPriority w:val="0"/>
    <w:pPr>
      <w:spacing w:line="360" w:lineRule="auto"/>
      <w:jc w:val="center"/>
    </w:pPr>
    <w:rPr>
      <w:rFonts w:ascii="Times New Roman" w:hAnsi="Times New Roman"/>
      <w:color w:val="000000"/>
      <w:szCs w:val="21"/>
    </w:rPr>
  </w:style>
  <w:style w:type="paragraph" w:customStyle="1" w:styleId="79">
    <w:name w:val="样式 标题 1 + (符号) Arial 三号"/>
    <w:basedOn w:val="4"/>
    <w:uiPriority w:val="0"/>
    <w:pPr>
      <w:snapToGrid w:val="0"/>
      <w:spacing w:before="0" w:after="0" w:line="360" w:lineRule="auto"/>
    </w:pPr>
    <w:rPr>
      <w:sz w:val="32"/>
    </w:rPr>
  </w:style>
  <w:style w:type="paragraph" w:customStyle="1" w:styleId="80">
    <w:name w:val="Char1"/>
    <w:basedOn w:val="1"/>
    <w:uiPriority w:val="0"/>
    <w:pPr>
      <w:widowControl/>
      <w:spacing w:after="160" w:line="240" w:lineRule="exact"/>
      <w:jc w:val="left"/>
    </w:pPr>
    <w:rPr>
      <w:rFonts w:ascii="Tahoma" w:hAnsi="Tahoma"/>
      <w:kern w:val="0"/>
      <w:sz w:val="24"/>
      <w:szCs w:val="24"/>
      <w:lang w:eastAsia="en-US"/>
    </w:rPr>
  </w:style>
  <w:style w:type="paragraph" w:customStyle="1" w:styleId="81">
    <w:name w:val="_Style 5"/>
    <w:basedOn w:val="1"/>
    <w:next w:val="1"/>
    <w:uiPriority w:val="0"/>
    <w:rPr>
      <w:rFonts w:ascii="Times New Roman" w:hAnsi="Times New Roman"/>
      <w:szCs w:val="20"/>
    </w:rPr>
  </w:style>
  <w:style w:type="paragraph" w:customStyle="1" w:styleId="82">
    <w:name w:val="Char Char"/>
    <w:basedOn w:val="1"/>
    <w:uiPriority w:val="0"/>
    <w:rPr>
      <w:rFonts w:ascii="Tahoma" w:hAnsi="Tahoma"/>
      <w:sz w:val="24"/>
      <w:szCs w:val="20"/>
    </w:rPr>
  </w:style>
  <w:style w:type="paragraph" w:customStyle="1" w:styleId="83">
    <w:name w:val="List Paragraph"/>
    <w:basedOn w:val="1"/>
    <w:qFormat/>
    <w:uiPriority w:val="99"/>
    <w:pPr>
      <w:ind w:firstLine="420" w:firstLineChars="200"/>
    </w:pPr>
  </w:style>
  <w:style w:type="paragraph" w:customStyle="1" w:styleId="84">
    <w:name w:val="表1"/>
    <w:basedOn w:val="1"/>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kern w:val="0"/>
      <w:sz w:val="24"/>
      <w:szCs w:val="20"/>
    </w:rPr>
  </w:style>
  <w:style w:type="paragraph" w:customStyle="1" w:styleId="85">
    <w:name w:val="!机场正文"/>
    <w:basedOn w:val="1"/>
    <w:qFormat/>
    <w:uiPriority w:val="0"/>
    <w:pPr>
      <w:spacing w:line="560" w:lineRule="exact"/>
      <w:ind w:firstLine="200" w:firstLineChars="200"/>
    </w:pPr>
    <w:rPr>
      <w:rFonts w:ascii="仿宋_GB2312" w:hAnsi="仿宋_GB2312" w:eastAsia="仿宋_GB2312"/>
      <w:sz w:val="32"/>
    </w:rPr>
  </w:style>
  <w:style w:type="paragraph" w:customStyle="1" w:styleId="86">
    <w:name w:val="默认段落字体 Para Char Char Char Char"/>
    <w:basedOn w:val="1"/>
    <w:uiPriority w:val="0"/>
    <w:pPr>
      <w:spacing w:line="360" w:lineRule="auto"/>
      <w:ind w:firstLine="200" w:firstLineChars="200"/>
    </w:pPr>
    <w:rPr>
      <w:rFonts w:ascii="宋体" w:hAnsi="宋体" w:cs="宋体"/>
      <w:sz w:val="24"/>
      <w:szCs w:val="24"/>
    </w:rPr>
  </w:style>
  <w:style w:type="paragraph" w:customStyle="1" w:styleId="87">
    <w:name w:val="1 Char Char Char"/>
    <w:basedOn w:val="1"/>
    <w:next w:val="6"/>
    <w:uiPriority w:val="0"/>
    <w:pPr>
      <w:spacing w:line="500" w:lineRule="exact"/>
      <w:ind w:firstLine="200"/>
      <w:jc w:val="center"/>
    </w:pPr>
    <w:rPr>
      <w:rFonts w:ascii="仿宋_GB2312" w:hAnsi="Arial" w:eastAsia="仿宋_GB2312" w:cs="Arial"/>
      <w:bCs/>
      <w:sz w:val="32"/>
      <w:szCs w:val="32"/>
    </w:rPr>
  </w:style>
  <w:style w:type="paragraph" w:customStyle="1" w:styleId="88">
    <w:name w:val="内文正文"/>
    <w:uiPriority w:val="0"/>
    <w:pPr>
      <w:autoSpaceDE w:val="0"/>
      <w:autoSpaceDN w:val="0"/>
      <w:spacing w:line="400" w:lineRule="exact"/>
      <w:ind w:firstLine="200" w:firstLineChars="200"/>
      <w:jc w:val="both"/>
      <w:textAlignment w:val="bottom"/>
    </w:pPr>
    <w:rPr>
      <w:rFonts w:ascii="宋体" w:hAnsi="???|CS?o｡ﾀ?"/>
      <w:sz w:val="21"/>
      <w:lang w:val="en-US" w:eastAsia="zh-CN" w:bidi="ar-SA"/>
    </w:rPr>
  </w:style>
  <w:style w:type="paragraph" w:customStyle="1" w:styleId="89">
    <w:name w:val="样式 样式1 + 首行缩进:  2 字符"/>
    <w:basedOn w:val="66"/>
    <w:link w:val="116"/>
    <w:uiPriority w:val="0"/>
    <w:pPr>
      <w:spacing w:line="360" w:lineRule="exact"/>
      <w:ind w:firstLine="420" w:firstLineChars="200"/>
      <w:jc w:val="both"/>
    </w:pPr>
    <w:rPr>
      <w:rFonts w:ascii="Arial" w:hAnsi="Arial"/>
      <w:kern w:val="0"/>
      <w:sz w:val="24"/>
      <w:szCs w:val="20"/>
    </w:rPr>
  </w:style>
  <w:style w:type="paragraph" w:customStyle="1" w:styleId="90">
    <w:name w:val="19"/>
    <w:basedOn w:val="1"/>
    <w:uiPriority w:val="0"/>
    <w:pPr>
      <w:widowControl/>
      <w:snapToGrid w:val="0"/>
      <w:spacing w:before="100" w:beforeAutospacing="1" w:after="120" w:line="360" w:lineRule="atLeast"/>
      <w:jc w:val="left"/>
    </w:pPr>
    <w:rPr>
      <w:rFonts w:ascii="宋体" w:hAnsi="宋体"/>
      <w:kern w:val="0"/>
      <w:sz w:val="28"/>
      <w:szCs w:val="20"/>
    </w:rPr>
  </w:style>
  <w:style w:type="character" w:customStyle="1" w:styleId="91">
    <w:name w:val="标题 Char"/>
    <w:link w:val="45"/>
    <w:uiPriority w:val="0"/>
    <w:rPr>
      <w:rFonts w:ascii="Arial" w:hAnsi="Arial" w:eastAsia="宋体" w:cs="Times New Roman"/>
      <w:b/>
      <w:bCs/>
      <w:kern w:val="0"/>
      <w:sz w:val="32"/>
      <w:szCs w:val="32"/>
    </w:rPr>
  </w:style>
  <w:style w:type="character" w:customStyle="1" w:styleId="92">
    <w:name w:val="文档结构图 Char"/>
    <w:link w:val="15"/>
    <w:uiPriority w:val="0"/>
    <w:rPr>
      <w:rFonts w:ascii="Times New Roman" w:hAnsi="Times New Roman" w:eastAsia="宋体" w:cs="Times New Roman"/>
      <w:kern w:val="0"/>
      <w:sz w:val="20"/>
      <w:szCs w:val="24"/>
      <w:shd w:val="clear" w:color="auto" w:fill="000080"/>
    </w:rPr>
  </w:style>
  <w:style w:type="character" w:customStyle="1" w:styleId="93">
    <w:name w:val="正文文本缩进 Char"/>
    <w:link w:val="17"/>
    <w:uiPriority w:val="0"/>
    <w:rPr>
      <w:rFonts w:ascii="Calibri" w:hAnsi="Calibri" w:eastAsia="宋体" w:cs="Times New Roman"/>
    </w:rPr>
  </w:style>
  <w:style w:type="character" w:customStyle="1" w:styleId="94">
    <w:name w:val="日期 Char"/>
    <w:link w:val="24"/>
    <w:uiPriority w:val="0"/>
    <w:rPr>
      <w:rFonts w:ascii="Times New Roman" w:hAnsi="Times New Roman" w:eastAsia="宋体" w:cs="Times New Roman"/>
      <w:b/>
      <w:bCs/>
      <w:kern w:val="0"/>
      <w:sz w:val="36"/>
      <w:szCs w:val="24"/>
    </w:rPr>
  </w:style>
  <w:style w:type="character" w:customStyle="1" w:styleId="95">
    <w:name w:val="标题 字符"/>
    <w:uiPriority w:val="10"/>
    <w:rPr>
      <w:rFonts w:ascii="Calibri Light" w:hAnsi="Calibri Light" w:eastAsia="宋体" w:cs="Times New Roman"/>
      <w:b/>
      <w:bCs/>
      <w:sz w:val="32"/>
      <w:szCs w:val="32"/>
    </w:rPr>
  </w:style>
  <w:style w:type="character" w:customStyle="1" w:styleId="96">
    <w:name w:val="正文文本缩进 3 Char"/>
    <w:link w:val="35"/>
    <w:uiPriority w:val="0"/>
    <w:rPr>
      <w:rFonts w:ascii="Times New Roman" w:hAnsi="Times New Roman" w:eastAsia="宋体" w:cs="Times New Roman"/>
      <w:kern w:val="0"/>
      <w:sz w:val="24"/>
      <w:szCs w:val="24"/>
    </w:rPr>
  </w:style>
  <w:style w:type="character" w:customStyle="1" w:styleId="97">
    <w:name w:val="z-窗体底端 Char"/>
    <w:link w:val="73"/>
    <w:uiPriority w:val="0"/>
    <w:rPr>
      <w:rFonts w:ascii="Arial" w:hAnsi="Arial" w:eastAsia="宋体" w:cs="Times New Roman"/>
      <w:vanish/>
      <w:kern w:val="0"/>
      <w:sz w:val="16"/>
      <w:szCs w:val="16"/>
    </w:rPr>
  </w:style>
  <w:style w:type="character" w:customStyle="1" w:styleId="98">
    <w:name w:val="纯文本 字符"/>
    <w:semiHidden/>
    <w:uiPriority w:val="99"/>
    <w:rPr>
      <w:rFonts w:ascii="宋体" w:hAnsi="Courier New" w:cs="Courier New"/>
    </w:rPr>
  </w:style>
  <w:style w:type="character" w:customStyle="1" w:styleId="99">
    <w:name w:val="页眉 Char"/>
    <w:link w:val="29"/>
    <w:uiPriority w:val="99"/>
    <w:rPr>
      <w:rFonts w:ascii="Times New Roman" w:hAnsi="Times New Roman" w:eastAsia="宋体" w:cs="Times New Roman"/>
      <w:kern w:val="0"/>
      <w:sz w:val="18"/>
      <w:szCs w:val="18"/>
    </w:rPr>
  </w:style>
  <w:style w:type="character" w:customStyle="1" w:styleId="100">
    <w:name w:val="文档结构图 字符"/>
    <w:semiHidden/>
    <w:uiPriority w:val="99"/>
    <w:rPr>
      <w:rFonts w:ascii="Microsoft YaHei UI" w:eastAsia="Microsoft YaHei UI"/>
      <w:sz w:val="18"/>
      <w:szCs w:val="18"/>
    </w:rPr>
  </w:style>
  <w:style w:type="character" w:customStyle="1" w:styleId="101">
    <w:name w:val="正文文本 Char"/>
    <w:link w:val="3"/>
    <w:uiPriority w:val="0"/>
    <w:rPr>
      <w:rFonts w:ascii="Calibri" w:hAnsi="Calibri" w:eastAsia="宋体" w:cs="Times New Roman"/>
    </w:rPr>
  </w:style>
  <w:style w:type="character" w:customStyle="1" w:styleId="102">
    <w:name w:val="批注主题 Char"/>
    <w:link w:val="10"/>
    <w:semiHidden/>
    <w:uiPriority w:val="0"/>
    <w:rPr>
      <w:rFonts w:ascii="Times New Roman" w:hAnsi="Times New Roman"/>
      <w:b/>
      <w:bCs/>
      <w:kern w:val="2"/>
      <w:sz w:val="21"/>
      <w:szCs w:val="24"/>
    </w:rPr>
  </w:style>
  <w:style w:type="character" w:customStyle="1" w:styleId="103">
    <w:name w:val="批注框文本 字符"/>
    <w:semiHidden/>
    <w:uiPriority w:val="99"/>
    <w:rPr>
      <w:sz w:val="18"/>
      <w:szCs w:val="18"/>
    </w:rPr>
  </w:style>
  <w:style w:type="character" w:customStyle="1" w:styleId="104">
    <w:name w:val="标题 1 Char"/>
    <w:link w:val="4"/>
    <w:uiPriority w:val="0"/>
    <w:rPr>
      <w:rFonts w:ascii="Times New Roman" w:hAnsi="Times New Roman" w:eastAsia="宋体" w:cs="Times New Roman"/>
      <w:b/>
      <w:bCs/>
      <w:kern w:val="44"/>
      <w:sz w:val="44"/>
      <w:szCs w:val="44"/>
    </w:rPr>
  </w:style>
  <w:style w:type="character" w:customStyle="1" w:styleId="105">
    <w:name w:val="正文文本缩进 2 Char"/>
    <w:link w:val="25"/>
    <w:uiPriority w:val="0"/>
    <w:rPr>
      <w:rFonts w:ascii="Times New Roman" w:hAnsi="Times New Roman" w:eastAsia="宋体" w:cs="Times New Roman"/>
      <w:kern w:val="0"/>
      <w:sz w:val="20"/>
      <w:szCs w:val="24"/>
    </w:rPr>
  </w:style>
  <w:style w:type="character" w:customStyle="1" w:styleId="106">
    <w:name w:val="z-窗体顶端 字符"/>
    <w:semiHidden/>
    <w:uiPriority w:val="99"/>
    <w:rPr>
      <w:rFonts w:ascii="Arial" w:hAnsi="Arial" w:cs="Arial"/>
      <w:vanish/>
      <w:sz w:val="16"/>
      <w:szCs w:val="16"/>
    </w:rPr>
  </w:style>
  <w:style w:type="character" w:customStyle="1" w:styleId="107">
    <w:name w:val="纯文本 Char1"/>
    <w:uiPriority w:val="99"/>
    <w:rPr>
      <w:rFonts w:ascii="宋体" w:hAnsi="Courier New" w:eastAsia="宋体" w:cs="Courier New"/>
      <w:szCs w:val="21"/>
    </w:rPr>
  </w:style>
  <w:style w:type="character" w:customStyle="1" w:styleId="108">
    <w:name w:val="Char Char14"/>
    <w:uiPriority w:val="0"/>
    <w:rPr>
      <w:rFonts w:ascii="宋体" w:hAnsi="Courier New" w:eastAsia="宋体" w:cs="Courier New"/>
      <w:kern w:val="2"/>
      <w:sz w:val="21"/>
      <w:szCs w:val="21"/>
      <w:lang w:val="en-US" w:eastAsia="zh-CN" w:bidi="ar-SA"/>
    </w:rPr>
  </w:style>
  <w:style w:type="character" w:customStyle="1" w:styleId="109">
    <w:name w:val="z-窗体底端 字符"/>
    <w:semiHidden/>
    <w:uiPriority w:val="99"/>
    <w:rPr>
      <w:rFonts w:ascii="Arial" w:hAnsi="Arial" w:cs="Arial"/>
      <w:vanish/>
      <w:sz w:val="16"/>
      <w:szCs w:val="16"/>
    </w:rPr>
  </w:style>
  <w:style w:type="character" w:customStyle="1" w:styleId="110">
    <w:name w:val="纯文本 Char"/>
    <w:link w:val="21"/>
    <w:uiPriority w:val="0"/>
    <w:rPr>
      <w:rFonts w:ascii="宋体" w:hAnsi="Courier New" w:eastAsia="宋体" w:cs="Times New Roman"/>
      <w:kern w:val="0"/>
      <w:sz w:val="20"/>
      <w:szCs w:val="21"/>
    </w:rPr>
  </w:style>
  <w:style w:type="character" w:customStyle="1" w:styleId="111">
    <w:name w:val="正文首行缩进 Char"/>
    <w:link w:val="2"/>
    <w:uiPriority w:val="0"/>
    <w:rPr>
      <w:rFonts w:ascii="Times New Roman" w:hAnsi="Times New Roman" w:eastAsia="宋体" w:cs="Times New Roman"/>
      <w:kern w:val="0"/>
      <w:sz w:val="20"/>
      <w:szCs w:val="24"/>
    </w:rPr>
  </w:style>
  <w:style w:type="character" w:customStyle="1" w:styleId="112">
    <w:name w:val="正文文本缩进 2 字符"/>
    <w:basedOn w:val="46"/>
    <w:semiHidden/>
    <w:uiPriority w:val="99"/>
  </w:style>
  <w:style w:type="character" w:customStyle="1" w:styleId="113">
    <w:name w:val="正文缩进 Char"/>
    <w:link w:val="13"/>
    <w:uiPriority w:val="0"/>
    <w:rPr>
      <w:rFonts w:ascii="宋体" w:hAnsi="Times New Roman"/>
      <w:sz w:val="34"/>
    </w:rPr>
  </w:style>
  <w:style w:type="character" w:customStyle="1" w:styleId="114">
    <w:name w:val="脚注文本 字符"/>
    <w:semiHidden/>
    <w:uiPriority w:val="99"/>
    <w:rPr>
      <w:sz w:val="18"/>
      <w:szCs w:val="18"/>
    </w:rPr>
  </w:style>
  <w:style w:type="character" w:customStyle="1" w:styleId="115">
    <w:name w:val="正文文本 2 Char"/>
    <w:link w:val="39"/>
    <w:uiPriority w:val="0"/>
    <w:rPr>
      <w:rFonts w:ascii="Times New Roman" w:hAnsi="Times New Roman" w:eastAsia="宋体" w:cs="Times New Roman"/>
      <w:kern w:val="0"/>
      <w:sz w:val="20"/>
      <w:szCs w:val="24"/>
    </w:rPr>
  </w:style>
  <w:style w:type="character" w:customStyle="1" w:styleId="116">
    <w:name w:val="样式 样式1 + 首行缩进:  2 字符 Char"/>
    <w:link w:val="89"/>
    <w:uiPriority w:val="0"/>
    <w:rPr>
      <w:rFonts w:ascii="Arial" w:hAnsi="Arial"/>
      <w:sz w:val="24"/>
    </w:rPr>
  </w:style>
  <w:style w:type="character" w:customStyle="1" w:styleId="117">
    <w:name w:val="脚注文本 Char"/>
    <w:link w:val="33"/>
    <w:uiPriority w:val="0"/>
    <w:rPr>
      <w:rFonts w:ascii="Times New Roman" w:hAnsi="Times New Roman" w:eastAsia="宋体" w:cs="Times New Roman"/>
      <w:kern w:val="0"/>
      <w:sz w:val="18"/>
      <w:szCs w:val="18"/>
    </w:rPr>
  </w:style>
  <w:style w:type="character" w:customStyle="1" w:styleId="118">
    <w:name w:val="标题 1 字符"/>
    <w:uiPriority w:val="9"/>
    <w:rPr>
      <w:b/>
      <w:bCs/>
      <w:kern w:val="44"/>
      <w:sz w:val="44"/>
      <w:szCs w:val="44"/>
    </w:rPr>
  </w:style>
  <w:style w:type="character" w:customStyle="1" w:styleId="119">
    <w:name w:val="z-窗体顶端 Char"/>
    <w:link w:val="67"/>
    <w:uiPriority w:val="0"/>
    <w:rPr>
      <w:rFonts w:ascii="Arial" w:hAnsi="Arial" w:eastAsia="宋体" w:cs="Times New Roman"/>
      <w:vanish/>
      <w:kern w:val="0"/>
      <w:sz w:val="16"/>
      <w:szCs w:val="16"/>
    </w:rPr>
  </w:style>
  <w:style w:type="character" w:customStyle="1" w:styleId="120">
    <w:name w:val="正文首行缩进 2 Char"/>
    <w:link w:val="28"/>
    <w:uiPriority w:val="0"/>
    <w:rPr>
      <w:rFonts w:ascii="Times New Roman" w:hAnsi="Times New Roman" w:eastAsia="宋体" w:cs="Times New Roman"/>
      <w:kern w:val="0"/>
      <w:sz w:val="20"/>
      <w:szCs w:val="24"/>
    </w:rPr>
  </w:style>
  <w:style w:type="character" w:customStyle="1" w:styleId="121">
    <w:name w:val="日期 字符"/>
    <w:basedOn w:val="46"/>
    <w:semiHidden/>
    <w:uiPriority w:val="99"/>
  </w:style>
  <w:style w:type="character" w:customStyle="1" w:styleId="122">
    <w:name w:val="批注文字 Char"/>
    <w:link w:val="11"/>
    <w:semiHidden/>
    <w:uiPriority w:val="99"/>
    <w:rPr>
      <w:kern w:val="2"/>
      <w:sz w:val="21"/>
      <w:szCs w:val="22"/>
    </w:rPr>
  </w:style>
  <w:style w:type="character" w:customStyle="1" w:styleId="123">
    <w:name w:val="标题 3 字符"/>
    <w:semiHidden/>
    <w:uiPriority w:val="9"/>
    <w:rPr>
      <w:b/>
      <w:bCs/>
      <w:sz w:val="32"/>
      <w:szCs w:val="32"/>
    </w:rPr>
  </w:style>
  <w:style w:type="character" w:customStyle="1" w:styleId="124">
    <w:name w:val="标题 5 Char"/>
    <w:link w:val="8"/>
    <w:uiPriority w:val="0"/>
    <w:rPr>
      <w:rFonts w:ascii="Times New Roman" w:hAnsi="Times New Roman" w:eastAsia="宋体" w:cs="Times New Roman"/>
      <w:b/>
      <w:bCs/>
      <w:kern w:val="0"/>
      <w:sz w:val="28"/>
      <w:szCs w:val="28"/>
    </w:rPr>
  </w:style>
  <w:style w:type="character" w:customStyle="1" w:styleId="125">
    <w:name w:val="正文文本缩进 字符"/>
    <w:basedOn w:val="46"/>
    <w:semiHidden/>
    <w:uiPriority w:val="99"/>
  </w:style>
  <w:style w:type="character" w:customStyle="1" w:styleId="126">
    <w:name w:val="正文首行缩进 2 字符"/>
    <w:basedOn w:val="125"/>
    <w:semiHidden/>
    <w:uiPriority w:val="99"/>
  </w:style>
  <w:style w:type="character" w:customStyle="1" w:styleId="127">
    <w:name w:val="页脚 Char"/>
    <w:link w:val="27"/>
    <w:uiPriority w:val="99"/>
    <w:rPr>
      <w:rFonts w:ascii="Times New Roman" w:hAnsi="Times New Roman" w:eastAsia="宋体" w:cs="Times New Roman"/>
      <w:kern w:val="0"/>
      <w:sz w:val="18"/>
      <w:szCs w:val="18"/>
    </w:rPr>
  </w:style>
  <w:style w:type="character" w:customStyle="1" w:styleId="128">
    <w:name w:val="标题 3 Char"/>
    <w:link w:val="6"/>
    <w:uiPriority w:val="0"/>
    <w:rPr>
      <w:rFonts w:ascii="Times New Roman" w:hAnsi="Times New Roman" w:eastAsia="楷体_GB2312" w:cs="Times New Roman"/>
      <w:kern w:val="0"/>
      <w:sz w:val="28"/>
      <w:szCs w:val="20"/>
    </w:rPr>
  </w:style>
  <w:style w:type="character" w:customStyle="1" w:styleId="129">
    <w:name w:val="标题 5 字符"/>
    <w:semiHidden/>
    <w:uiPriority w:val="9"/>
    <w:rPr>
      <w:b/>
      <w:bCs/>
      <w:sz w:val="28"/>
      <w:szCs w:val="28"/>
    </w:rPr>
  </w:style>
  <w:style w:type="character" w:customStyle="1" w:styleId="130">
    <w:name w:val="批注主题 Char1"/>
    <w:semiHidden/>
    <w:uiPriority w:val="99"/>
    <w:rPr>
      <w:b/>
      <w:bCs/>
      <w:kern w:val="2"/>
      <w:sz w:val="21"/>
      <w:szCs w:val="22"/>
    </w:rPr>
  </w:style>
  <w:style w:type="character" w:customStyle="1" w:styleId="131">
    <w:name w:val="批注框文本 Char"/>
    <w:link w:val="26"/>
    <w:uiPriority w:val="0"/>
    <w:rPr>
      <w:rFonts w:ascii="Times New Roman" w:hAnsi="Times New Roman" w:eastAsia="宋体" w:cs="Times New Roman"/>
      <w:kern w:val="0"/>
      <w:sz w:val="18"/>
      <w:szCs w:val="18"/>
    </w:rPr>
  </w:style>
  <w:style w:type="character" w:customStyle="1" w:styleId="132">
    <w:name w:val="正文文本缩进 3 字符"/>
    <w:semiHidden/>
    <w:uiPriority w:val="99"/>
    <w:rPr>
      <w:sz w:val="16"/>
      <w:szCs w:val="16"/>
    </w:rPr>
  </w:style>
  <w:style w:type="character" w:customStyle="1" w:styleId="133">
    <w:name w:val="正文首行缩进 字符"/>
    <w:basedOn w:val="134"/>
    <w:semiHidden/>
    <w:uiPriority w:val="99"/>
  </w:style>
  <w:style w:type="character" w:customStyle="1" w:styleId="134">
    <w:name w:val="正文文本 字符"/>
    <w:basedOn w:val="46"/>
    <w:semiHidden/>
    <w:uiPriority w:val="99"/>
  </w:style>
  <w:style w:type="character" w:customStyle="1" w:styleId="135">
    <w:name w:val="标题 4 字符"/>
    <w:semiHidden/>
    <w:uiPriority w:val="9"/>
    <w:rPr>
      <w:rFonts w:ascii="Calibri Light" w:hAnsi="Calibri Light" w:eastAsia="宋体" w:cs="Times New Roman"/>
      <w:b/>
      <w:bCs/>
      <w:sz w:val="28"/>
      <w:szCs w:val="28"/>
    </w:rPr>
  </w:style>
  <w:style w:type="character" w:customStyle="1" w:styleId="136">
    <w:name w:val="正文文本 2 字符"/>
    <w:basedOn w:val="46"/>
    <w:semiHidden/>
    <w:uiPriority w:val="99"/>
  </w:style>
  <w:style w:type="character" w:customStyle="1" w:styleId="137">
    <w:name w:val="页脚 字符"/>
    <w:semiHidden/>
    <w:uiPriority w:val="99"/>
    <w:rPr>
      <w:sz w:val="18"/>
      <w:szCs w:val="18"/>
    </w:rPr>
  </w:style>
  <w:style w:type="character" w:customStyle="1" w:styleId="138">
    <w:name w:val="标题 2 Char"/>
    <w:link w:val="5"/>
    <w:uiPriority w:val="0"/>
    <w:rPr>
      <w:rFonts w:ascii="Arial" w:hAnsi="Arial" w:eastAsia="黑体" w:cs="Times New Roman"/>
      <w:b/>
      <w:bCs/>
      <w:kern w:val="0"/>
      <w:sz w:val="32"/>
      <w:szCs w:val="32"/>
    </w:rPr>
  </w:style>
  <w:style w:type="character" w:customStyle="1" w:styleId="139">
    <w:name w:val="标题 4 Char"/>
    <w:link w:val="7"/>
    <w:uiPriority w:val="0"/>
    <w:rPr>
      <w:rFonts w:ascii="Arial" w:hAnsi="Arial" w:eastAsia="黑体" w:cs="Times New Roman"/>
      <w:b/>
      <w:bCs/>
      <w:kern w:val="0"/>
      <w:sz w:val="28"/>
      <w:szCs w:val="28"/>
    </w:rPr>
  </w:style>
  <w:style w:type="character" w:customStyle="1" w:styleId="140">
    <w:name w:val="页眉 字符"/>
    <w:semiHidden/>
    <w:uiPriority w:val="99"/>
    <w:rPr>
      <w:sz w:val="18"/>
      <w:szCs w:val="18"/>
    </w:rPr>
  </w:style>
  <w:style w:type="character" w:customStyle="1" w:styleId="141">
    <w:name w:val="标题 2 字符"/>
    <w:semiHidden/>
    <w:uiPriority w:val="9"/>
    <w:rPr>
      <w:rFonts w:ascii="Calibri Light" w:hAnsi="Calibri Light" w:eastAsia="宋体" w:cs="Times New Roman"/>
      <w:b/>
      <w:bCs/>
      <w:sz w:val="32"/>
      <w:szCs w:val="32"/>
    </w:rPr>
  </w:style>
  <w:style w:type="character" w:customStyle="1" w:styleId="142">
    <w:name w:val="zbggmain style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3815</Words>
  <Characters>21749</Characters>
  <Lines>181</Lines>
  <Paragraphs>51</Paragraphs>
  <ScaleCrop>false</ScaleCrop>
  <LinksUpToDate>false</LinksUpToDate>
  <CharactersWithSpaces>25513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2018-10-17T01:23:00Z</dcterms:created>
  <dc:creator>徐海波</dc:creator>
  <cp:lastModifiedBy>贾思勰</cp:lastModifiedBy>
  <cp:lastPrinted>2015-11-30T02:50:00Z</cp:lastPrinted>
  <dcterms:modified xsi:type="dcterms:W3CDTF">2020-03-31T02:23:18Z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