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hint="eastAsia" w:ascii="黑体" w:hAnsi="黑体" w:eastAsia="黑体"/>
          <w:b/>
          <w:bCs/>
          <w:sz w:val="52"/>
          <w:szCs w:val="52"/>
        </w:rPr>
      </w:pPr>
      <w:r>
        <w:rPr>
          <w:rFonts w:hint="eastAsia" w:ascii="黑体" w:hAnsi="黑体" w:eastAsia="黑体"/>
          <w:b/>
          <w:bCs/>
          <w:sz w:val="52"/>
          <w:szCs w:val="52"/>
        </w:rPr>
        <w:t>T3航站楼行李设备大修项目</w:t>
      </w:r>
    </w:p>
    <w:p>
      <w:pPr>
        <w:spacing w:before="48" w:beforeLines="20" w:after="48" w:afterLines="20" w:line="360" w:lineRule="auto"/>
        <w:ind w:firstLine="522"/>
        <w:jc w:val="center"/>
        <w:rPr>
          <w:rFonts w:hint="eastAsia" w:ascii="黑体" w:hAnsi="黑体" w:eastAsia="黑体"/>
          <w:b/>
          <w:bCs/>
          <w:sz w:val="52"/>
          <w:szCs w:val="52"/>
          <w:lang w:eastAsia="zh-CN"/>
        </w:rPr>
      </w:pPr>
      <w:r>
        <w:rPr>
          <w:rFonts w:hint="eastAsia" w:ascii="黑体" w:hAnsi="黑体" w:eastAsia="黑体"/>
          <w:b/>
          <w:bCs/>
          <w:sz w:val="52"/>
          <w:szCs w:val="52"/>
          <w:lang w:eastAsia="zh-CN"/>
        </w:rPr>
        <w:t>（重新招标）</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二Ο二年</w:t>
      </w:r>
      <w:r>
        <w:rPr>
          <w:rFonts w:hint="eastAsia" w:ascii="宋体" w:hAnsi="宋体"/>
          <w:b/>
          <w:sz w:val="44"/>
          <w:szCs w:val="44"/>
          <w:lang w:eastAsia="zh-CN"/>
        </w:rPr>
        <w:t>四</w:t>
      </w:r>
      <w:r>
        <w:rPr>
          <w:rFonts w:hint="eastAsia" w:ascii="宋体" w:hAnsi="宋体"/>
          <w:b/>
          <w:sz w:val="44"/>
          <w:szCs w:val="44"/>
        </w:rPr>
        <w:t>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19698493"/>
      <w:bookmarkStart w:id="2" w:name="_Toc525202077"/>
      <w:bookmarkStart w:id="3" w:name="_Toc525132432"/>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27</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42</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8" w:firstLineChars="200"/>
      </w:pPr>
      <w:r>
        <w:rPr>
          <w:rFonts w:hint="eastAsia"/>
          <w:spacing w:val="-1"/>
        </w:rPr>
        <w:t>T3航站楼行李设备大修项目，</w:t>
      </w:r>
      <w:r>
        <w:rPr>
          <w:spacing w:val="-1"/>
        </w:rPr>
        <w:t>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 xml:space="preserve">2.1  </w:t>
      </w:r>
      <w:r>
        <w:rPr>
          <w:rFonts w:hint="eastAsia"/>
        </w:rPr>
        <w:t>本项目位于杭州萧山国际机场T3航站楼，具体要求详见第五章。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 xml:space="preserve">.2  </w:t>
      </w:r>
      <w:r>
        <w:rPr>
          <w:rFonts w:hint="eastAsia"/>
        </w:rPr>
        <w:t>招标内容：对杭州萧山国际机场T3航站楼行李设备大修，招标货物名称、数量及主要技术规格及维修要求详见第五章。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 xml:space="preserve">.3  </w:t>
      </w:r>
      <w:r>
        <w:rPr>
          <w:rFonts w:hint="eastAsia"/>
        </w:rPr>
        <w:t>服务期：合同</w:t>
      </w:r>
      <w:r>
        <w:t>签订后</w:t>
      </w:r>
      <w:r>
        <w:rPr>
          <w:rFonts w:hint="eastAsia"/>
        </w:rPr>
        <w:t>90日历天</w:t>
      </w:r>
      <w:r>
        <w:t>内</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widowControl/>
        <w:adjustRightInd w:val="0"/>
        <w:snapToGrid w:val="0"/>
        <w:spacing w:line="340" w:lineRule="exact"/>
        <w:ind w:firstLine="420" w:firstLineChars="200"/>
        <w:rPr>
          <w:rFonts w:cs="宋体"/>
          <w:szCs w:val="24"/>
        </w:rPr>
      </w:pPr>
      <w:r>
        <w:rPr>
          <w:rFonts w:hint="eastAsia" w:cs="宋体"/>
          <w:szCs w:val="24"/>
        </w:rPr>
        <w:t>①</w:t>
      </w:r>
      <w:r>
        <w:rPr>
          <w:rFonts w:hint="eastAsia"/>
          <w:szCs w:val="24"/>
        </w:rPr>
        <w:t>具有独立法人资格的民航行李系统制造商或在年旅客吞吐量1000万（含）以上民航机场有维保经验的合法单位（以维保合同复印件</w:t>
      </w:r>
      <w:r>
        <w:rPr>
          <w:szCs w:val="24"/>
        </w:rPr>
        <w:t>作为</w:t>
      </w:r>
      <w:r>
        <w:rPr>
          <w:rFonts w:hint="eastAsia"/>
          <w:szCs w:val="24"/>
        </w:rPr>
        <w:t>证明）或在民航机场有过行李系统大修、安装、技术改造经验的合法单位（以相关合同复印件</w:t>
      </w:r>
      <w:r>
        <w:rPr>
          <w:szCs w:val="24"/>
        </w:rPr>
        <w:t>作为</w:t>
      </w:r>
      <w:r>
        <w:rPr>
          <w:rFonts w:hint="eastAsia"/>
          <w:szCs w:val="24"/>
        </w:rPr>
        <w:t>证明）</w:t>
      </w:r>
      <w:r>
        <w:rPr>
          <w:rFonts w:hint="eastAsia" w:cs="宋体"/>
          <w:szCs w:val="24"/>
        </w:rPr>
        <w:t>，持有有效营业执照，注册资金不少于人民币</w:t>
      </w:r>
      <w:r>
        <w:rPr>
          <w:rFonts w:cs="宋体"/>
          <w:szCs w:val="24"/>
        </w:rPr>
        <w:t>1000</w:t>
      </w:r>
      <w:r>
        <w:rPr>
          <w:rFonts w:hint="eastAsia" w:cs="宋体"/>
          <w:szCs w:val="24"/>
        </w:rPr>
        <w:t>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widowControl/>
        <w:adjustRightInd w:val="0"/>
        <w:snapToGrid w:val="0"/>
        <w:spacing w:line="340" w:lineRule="exact"/>
        <w:ind w:firstLine="420" w:firstLineChars="200"/>
        <w:rPr>
          <w:rFonts w:cs="宋体"/>
          <w:szCs w:val="24"/>
        </w:rPr>
      </w:pPr>
      <w:r>
        <w:rPr>
          <w:rFonts w:hint="eastAsia" w:cs="宋体"/>
          <w:szCs w:val="24"/>
        </w:rPr>
        <w:t>②依据最高人民法院等九部门《关于在招标投标活动中对失信被执行人实施联合惩戒的通知》，投标人不得为失信被执行人。（通过信用中国网站www.creditchina.gov.cn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widowControl/>
        <w:adjustRightInd w:val="0"/>
        <w:snapToGrid w:val="0"/>
        <w:spacing w:line="340" w:lineRule="exact"/>
        <w:ind w:firstLine="420" w:firstLineChars="200"/>
        <w:rPr>
          <w:rFonts w:cs="宋体"/>
          <w:szCs w:val="24"/>
        </w:rPr>
      </w:pPr>
      <w:r>
        <w:rPr>
          <w:rFonts w:hint="eastAsia" w:cs="宋体"/>
          <w:szCs w:val="24"/>
        </w:rPr>
        <w:t>③近年（201</w:t>
      </w:r>
      <w:r>
        <w:rPr>
          <w:rFonts w:cs="宋体"/>
          <w:szCs w:val="24"/>
        </w:rPr>
        <w:t>7</w:t>
      </w:r>
      <w:r>
        <w:rPr>
          <w:rFonts w:hint="eastAsia" w:cs="宋体"/>
          <w:szCs w:val="24"/>
        </w:rPr>
        <w:t xml:space="preserve"> 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widowControl/>
        <w:adjustRightInd w:val="0"/>
        <w:snapToGrid w:val="0"/>
        <w:spacing w:line="340" w:lineRule="exact"/>
        <w:ind w:firstLine="420" w:firstLineChars="200"/>
        <w:rPr>
          <w:rFonts w:ascii="Segoe UI Emoji" w:hAnsi="Segoe UI Emoji" w:cs="Segoe UI Emoji"/>
          <w:szCs w:val="24"/>
        </w:rPr>
      </w:pPr>
      <w:r>
        <w:rPr>
          <w:rFonts w:hint="eastAsia" w:ascii="Segoe UI Emoji" w:hAnsi="Segoe UI Emoji" w:cs="Segoe UI Emoji"/>
          <w:szCs w:val="24"/>
        </w:rPr>
        <w:t>④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before="120" w:line="331" w:lineRule="auto"/>
        <w:ind w:right="159" w:firstLine="420"/>
        <w:rPr>
          <w:rFonts w:ascii="Times New Roman" w:hAnsi="Times New Roman" w:eastAsia="Times New Roman"/>
        </w:rPr>
      </w:pPr>
      <w:r>
        <w:rPr>
          <w:rFonts w:ascii="Times New Roman" w:hAnsi="Times New Roman" w:eastAsia="Times New Roman"/>
        </w:rPr>
        <w:t xml:space="preserve">3.2  </w:t>
      </w:r>
      <w:r>
        <w:rPr>
          <w:rFonts w:hint="eastAsia" w:ascii="宋体" w:hAnsi="宋体" w:cs="宋体"/>
        </w:rPr>
        <w:t>本项目不接受联合体投标。</w:t>
      </w:r>
    </w:p>
    <w:p>
      <w:pPr>
        <w:pStyle w:val="16"/>
        <w:tabs>
          <w:tab w:val="left" w:pos="4394"/>
          <w:tab w:val="left" w:pos="5990"/>
        </w:tabs>
        <w:spacing w:line="331" w:lineRule="auto"/>
        <w:ind w:right="157" w:firstLine="419"/>
        <w:rPr>
          <w:rFonts w:cs="宋体"/>
        </w:rPr>
      </w:pPr>
      <w:r>
        <w:rPr>
          <w:rFonts w:ascii="Times New Roman" w:hAnsi="Times New Roman" w:eastAsia="Times New Roman"/>
        </w:rPr>
        <w:t xml:space="preserve">3.3  </w:t>
      </w:r>
      <w:r>
        <w:rPr>
          <w:rFonts w:hint="eastAsia"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hint="eastAsia" w:ascii="Times New Roman" w:hAnsi="Times New Roman"/>
          <w:lang w:eastAsia="zh-CN"/>
        </w:rPr>
        <w:t>2020年5月11日9时00分</w:t>
      </w:r>
      <w:r>
        <w:rPr>
          <w:rFonts w:hint="eastAsia" w:cs="宋体"/>
        </w:rPr>
        <w:t>，投标文件在封口处加盖公章，派专人于</w:t>
      </w:r>
      <w:r>
        <w:rPr>
          <w:rFonts w:hint="eastAsia" w:ascii="Times New Roman" w:hAnsi="Times New Roman"/>
          <w:lang w:eastAsia="zh-CN"/>
        </w:rPr>
        <w:t>2020年5月11日9时00分</w:t>
      </w:r>
      <w:r>
        <w:rPr>
          <w:rFonts w:hint="eastAsia" w:cs="宋体"/>
        </w:rPr>
        <w:t>（北京时间）前送至杭州萧山国际机场翔越路综合服务楼园区招标中心，逾期无效；若采用投递（邮寄）方式的，请于</w:t>
      </w:r>
      <w:r>
        <w:rPr>
          <w:rFonts w:hint="eastAsia" w:ascii="Times New Roman" w:hAnsi="Times New Roman"/>
          <w:lang w:eastAsia="zh-CN"/>
        </w:rPr>
        <w:t>2020年5月11日9时00分</w:t>
      </w:r>
      <w:r>
        <w:rPr>
          <w:rFonts w:hint="eastAsia" w:cs="宋体"/>
        </w:rPr>
        <w:t>（北京时间）前投递至杭州萧山国际机场翔越路综合服务楼园区招标中心，逾期无效。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ascii="Times New Roman" w:hAnsi="Times New Roman" w:eastAsia="Times New Roman"/>
        </w:rPr>
        <w:t>http://www.hzairport.com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ascii="Times New Roman" w:hAnsi="Times New Roman" w:eastAsia="Times New Roman"/>
        </w:rPr>
        <w:t xml:space="preserve"> http://zfcg.czt.zj.gov.cn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6.4 </w:t>
      </w:r>
      <w:r>
        <w:rPr>
          <w:rFonts w:hint="eastAsia" w:ascii="宋体" w:hAnsi="宋体" w:cs="宋体"/>
        </w:rPr>
        <w:t>浙江政务服务网</w:t>
      </w:r>
      <w:r>
        <w:rPr>
          <w:rFonts w:ascii="Times New Roman" w:hAnsi="Times New Roman" w:eastAsia="Times New Roman"/>
        </w:rPr>
        <w:t>http://zjpubservice.zjzwfw.gov.cn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ascii="Times New Roman" w:hAnsi="Times New Roman" w:eastAsia="Times New Roman"/>
        </w:rPr>
        <w:t xml:space="preserve"> https://b.zhengcaiyun.cn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ascii="Times New Roman" w:hAnsi="Times New Roman" w:eastAsia="Times New Roman"/>
        </w:rPr>
        <w:t>http://www.chinabidding.com.cn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ascii="Times New Roman" w:hAnsi="Times New Roman" w:eastAsia="Times New Roman"/>
        </w:rPr>
        <w:t xml:space="preserve"> https://www.zhaotx.cn</w:t>
      </w:r>
    </w:p>
    <w:p>
      <w:pPr>
        <w:pStyle w:val="4"/>
        <w:spacing w:before="70"/>
        <w:ind w:right="157" w:firstLine="422"/>
        <w:rPr>
          <w:rFonts w:ascii="黑体" w:hAnsi="黑体" w:eastAsia="黑体"/>
        </w:rPr>
      </w:pPr>
      <w:r>
        <w:rPr>
          <w:rFonts w:ascii="黑体" w:hAnsi="黑体" w:eastAsia="黑体"/>
        </w:rPr>
        <w:t>7.联系方式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sectPr>
          <w:pgSz w:w="12240" w:h="15840"/>
          <w:pgMar w:top="1400" w:right="1640" w:bottom="1120" w:left="1700" w:header="0" w:footer="901" w:gutter="0"/>
          <w:cols w:space="720" w:num="1"/>
        </w:sectPr>
      </w:pPr>
      <w:r>
        <w:rPr>
          <w:rFonts w:hint="eastAsia" w:cs="宋体"/>
        </w:rPr>
        <w:t>招标监督人：</w:t>
      </w:r>
      <w:r>
        <w:rPr>
          <w:rFonts w:hint="eastAsia" w:ascii="Times New Roman" w:hAnsi="Times New Roman" w:eastAsia="Times New Roman"/>
        </w:rPr>
        <w:t xml:space="preserve"> </w:t>
      </w:r>
      <w:r>
        <w:rPr>
          <w:rFonts w:hint="eastAsia" w:ascii="Times New Roman" w:hAnsi="Times New Roman" w:eastAsiaTheme="minorEastAsia"/>
        </w:rPr>
        <w:t>阮周长</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bookmarkStart w:id="12" w:name="_bookmark9"/>
      <w:bookmarkEnd w:id="12"/>
      <w:r>
        <w:rPr>
          <w:rFonts w:hint="eastAsia" w:cs="宋体"/>
        </w:rPr>
        <w:t>0571-86662133</w:t>
      </w:r>
    </w:p>
    <w:p>
      <w:pPr>
        <w:spacing w:before="7"/>
        <w:rPr>
          <w:rFonts w:ascii="宋体" w:hAnsi="宋体" w:cs="宋体"/>
          <w:sz w:val="18"/>
          <w:szCs w:val="18"/>
        </w:rPr>
      </w:pPr>
    </w:p>
    <w:p>
      <w:pPr>
        <w:pStyle w:val="2"/>
        <w:spacing w:line="564" w:lineRule="exact"/>
        <w:ind w:right="57"/>
        <w:jc w:val="center"/>
      </w:pPr>
      <w:bookmarkStart w:id="13" w:name="_bookmark18"/>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杭州萧山国际机场T3航站楼行李设备大修项目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合同签订后90日历天内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（5）服务期不满足招标文件要求的；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201</w:t>
            </w:r>
            <w:r>
              <w:rPr>
                <w:rFonts w:ascii="宋体" w:hAnsi="宋体" w:cs="宋体"/>
                <w:bCs/>
              </w:rPr>
              <w:t>9</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4</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29</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6"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6"/>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7" w:name="EB191aa127b49d4a8b95623a875e1177a4"/>
            <w:r>
              <w:rPr>
                <w:rFonts w:ascii="宋体" w:hAnsi="宋体"/>
                <w:u w:val="single"/>
              </w:rPr>
              <w:t>12</w:t>
            </w:r>
            <w:r>
              <w:rPr>
                <w:rFonts w:hint="eastAsia" w:ascii="宋体" w:hAnsi="宋体"/>
                <w:u w:val="single"/>
              </w:rPr>
              <w:t>0</w:t>
            </w:r>
            <w:bookmarkEnd w:id="17"/>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5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18"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8"/>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shd w:val="clear" w:color="auto" w:fill="auto"/>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年至20</w:t>
            </w:r>
            <w:r>
              <w:rPr>
                <w:rFonts w:ascii="宋体" w:hAnsi="宋体" w:cs="宋体"/>
              </w:rPr>
              <w:t xml:space="preserve">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shd w:val="clear" w:color="auto" w:fill="auto"/>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2017</w:t>
            </w:r>
            <w:r>
              <w:rPr>
                <w:rFonts w:hint="eastAsia" w:ascii="宋体" w:hAnsi="宋体" w:cs="宋体"/>
              </w:rPr>
              <w:t>年</w:t>
            </w:r>
            <w:r>
              <w:rPr>
                <w:rFonts w:ascii="宋体" w:hAnsi="宋体" w:cs="宋体"/>
              </w:rPr>
              <w:t>1月1日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shd w:val="clear" w:color="auto" w:fill="auto"/>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ascii="Segoe UI Emoji" w:hAnsi="Segoe UI Emoji" w:cs="Segoe UI Emoji"/>
                </w:rPr>
                <w:id w:val="-74317225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2020年5月11日9时00分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u w:val="single"/>
              </w:rPr>
              <w:t>2020年5月11日9时00分</w:t>
            </w:r>
            <w:bookmarkStart w:id="47" w:name="_GoBack"/>
            <w:bookmarkEnd w:id="47"/>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ascii="Segoe UI Emoji" w:hAnsi="Segoe UI Emoji" w:cs="Segoe UI Emoji"/>
                </w:rPr>
                <w:id w:val="72780876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219809802"/>
      <w:bookmarkStart w:id="21" w:name="_Toc15553"/>
      <w:bookmarkStart w:id="22" w:name="_Toc22012324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3"/>
      <w:bookmarkStart w:id="24" w:name="_Toc18806"/>
      <w:bookmarkStart w:id="25" w:name="_Toc220123243"/>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r>
              <w:rPr>
                <w:rFonts w:hint="eastAsia" w:ascii="宋体" w:hAnsi="宋体" w:cs="宋体"/>
                <w:sz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r>
        <w:rPr>
          <w:rFonts w:ascii="宋体" w:hAnsi="宋体" w:cs="宋体"/>
          <w:b/>
          <w:sz w:val="22"/>
        </w:rPr>
        <w:t>30分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hAnsi="宋体" w:cs="Calibri"/>
          <w:sz w:val="22"/>
        </w:rPr>
      </w:pPr>
      <w:r>
        <w:rPr>
          <w:rFonts w:hint="eastAsia" w:ascii="宋体" w:hAnsi="宋体" w:cs="宋体"/>
          <w:sz w:val="22"/>
        </w:rPr>
        <w:t>资信及技术评分分值设定标准</w:t>
      </w:r>
    </w:p>
    <w:tbl>
      <w:tblPr>
        <w:tblStyle w:val="89"/>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8"/>
        <w:gridCol w:w="440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vAlign w:val="center"/>
          </w:tcPr>
          <w:p>
            <w:pPr>
              <w:snapToGrid w:val="0"/>
              <w:jc w:val="center"/>
              <w:rPr>
                <w:rFonts w:ascii="宋体"/>
                <w:b/>
                <w:bCs/>
                <w:sz w:val="22"/>
              </w:rPr>
            </w:pPr>
            <w:r>
              <w:rPr>
                <w:rFonts w:hint="eastAsia" w:ascii="宋体" w:hAnsi="宋体" w:cs="宋体"/>
                <w:b/>
                <w:bCs/>
                <w:sz w:val="22"/>
              </w:rPr>
              <w:t>评定项目</w:t>
            </w:r>
          </w:p>
        </w:tc>
        <w:tc>
          <w:tcPr>
            <w:tcW w:w="4405" w:type="dxa"/>
            <w:vAlign w:val="center"/>
          </w:tcPr>
          <w:p>
            <w:pPr>
              <w:snapToGrid w:val="0"/>
              <w:jc w:val="center"/>
              <w:rPr>
                <w:rFonts w:ascii="宋体" w:hAnsi="宋体" w:cs="宋体"/>
                <w:b/>
                <w:bCs/>
                <w:sz w:val="22"/>
              </w:rPr>
            </w:pPr>
            <w:r>
              <w:rPr>
                <w:rFonts w:hint="eastAsia" w:ascii="宋体" w:hAnsi="宋体" w:cs="宋体"/>
                <w:b/>
                <w:bCs/>
                <w:sz w:val="22"/>
              </w:rPr>
              <w:t>评定标准</w:t>
            </w:r>
          </w:p>
        </w:tc>
        <w:tc>
          <w:tcPr>
            <w:tcW w:w="1422" w:type="dxa"/>
            <w:vAlign w:val="center"/>
          </w:tcPr>
          <w:p>
            <w:pPr>
              <w:snapToGrid w:val="0"/>
              <w:jc w:val="center"/>
              <w:rPr>
                <w:rFonts w:ascii="宋体"/>
                <w:b/>
                <w:bCs/>
                <w:sz w:val="22"/>
              </w:rPr>
            </w:pPr>
            <w:r>
              <w:rPr>
                <w:rFonts w:hint="eastAsia" w:ascii="宋体" w:hAnsi="宋体" w:cs="宋体"/>
                <w:b/>
                <w:bCs/>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hAnsi="宋体" w:cs="宋体"/>
                <w:sz w:val="22"/>
                <w:szCs w:val="22"/>
              </w:rPr>
              <w:t>工期承诺及组织保证措施的可行性、合理性</w:t>
            </w:r>
          </w:p>
        </w:tc>
        <w:tc>
          <w:tcPr>
            <w:tcW w:w="4405" w:type="dxa"/>
          </w:tcPr>
          <w:p>
            <w:pPr>
              <w:pStyle w:val="31"/>
              <w:snapToGrid w:val="0"/>
              <w:jc w:val="left"/>
              <w:rPr>
                <w:rFonts w:hAnsi="宋体" w:cs="宋体"/>
                <w:sz w:val="22"/>
                <w:szCs w:val="22"/>
              </w:rPr>
            </w:pPr>
            <w:r>
              <w:rPr>
                <w:rFonts w:hint="eastAsia" w:hAnsi="宋体" w:cs="宋体"/>
                <w:sz w:val="22"/>
                <w:szCs w:val="22"/>
              </w:rPr>
              <w:t>根据施工队伍的人员建设、组织管理、工种工作的分工合作、相关配合招标方24小时内施工时间的任何调配以及提供合理工期方案进行酌情打分</w:t>
            </w:r>
          </w:p>
        </w:tc>
        <w:tc>
          <w:tcPr>
            <w:tcW w:w="1422" w:type="dxa"/>
          </w:tcPr>
          <w:p>
            <w:pPr>
              <w:pStyle w:val="31"/>
              <w:snapToGrid w:val="0"/>
              <w:jc w:val="center"/>
              <w:rPr>
                <w:sz w:val="22"/>
                <w:szCs w:val="22"/>
              </w:rPr>
            </w:pPr>
            <w:r>
              <w:rPr>
                <w:rFonts w:hAnsi="宋体" w:cs="宋体"/>
                <w:sz w:val="22"/>
                <w:szCs w:val="22"/>
              </w:rPr>
              <w:t>1—</w:t>
            </w:r>
            <w:r>
              <w:rPr>
                <w:rFonts w:hint="eastAsia" w:hAnsi="宋体" w:cs="宋体"/>
                <w:sz w:val="22"/>
                <w:szCs w:val="2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sz w:val="22"/>
                <w:szCs w:val="22"/>
              </w:rPr>
              <w:t>投标人企业规模、得奖情况(提供相关的证明)</w:t>
            </w:r>
          </w:p>
        </w:tc>
        <w:tc>
          <w:tcPr>
            <w:tcW w:w="4405" w:type="dxa"/>
          </w:tcPr>
          <w:p>
            <w:pPr>
              <w:pStyle w:val="31"/>
              <w:snapToGrid w:val="0"/>
              <w:jc w:val="left"/>
              <w:rPr>
                <w:sz w:val="22"/>
                <w:szCs w:val="22"/>
              </w:rPr>
            </w:pPr>
            <w:r>
              <w:rPr>
                <w:rFonts w:hint="eastAsia"/>
                <w:sz w:val="22"/>
                <w:szCs w:val="22"/>
              </w:rPr>
              <w:t>根据投标人的企业规模，政府或行业或被服务方提供的奖励、表扬等情况</w:t>
            </w:r>
            <w:r>
              <w:rPr>
                <w:rFonts w:hint="eastAsia" w:hAnsi="宋体" w:cs="宋体"/>
                <w:sz w:val="22"/>
                <w:szCs w:val="22"/>
              </w:rPr>
              <w:t>酌情打分</w:t>
            </w:r>
          </w:p>
        </w:tc>
        <w:tc>
          <w:tcPr>
            <w:tcW w:w="1422" w:type="dxa"/>
          </w:tcPr>
          <w:p>
            <w:pPr>
              <w:pStyle w:val="31"/>
              <w:snapToGrid w:val="0"/>
              <w:jc w:val="center"/>
              <w:rPr>
                <w:sz w:val="22"/>
                <w:szCs w:val="22"/>
              </w:rPr>
            </w:pPr>
            <w:r>
              <w:rPr>
                <w:rFonts w:hAnsi="宋体" w:cs="宋体"/>
                <w:sz w:val="22"/>
                <w:szCs w:val="22"/>
              </w:rPr>
              <w:t>1—</w:t>
            </w:r>
            <w:r>
              <w:rPr>
                <w:rFonts w:hint="eastAsia" w:hAnsi="宋体" w:cs="宋体"/>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sz w:val="22"/>
                <w:szCs w:val="22"/>
              </w:rPr>
              <w:t>是否具有民航行李系统施工经验（以合同为准）</w:t>
            </w:r>
          </w:p>
        </w:tc>
        <w:tc>
          <w:tcPr>
            <w:tcW w:w="4405" w:type="dxa"/>
            <w:vAlign w:val="center"/>
          </w:tcPr>
          <w:p>
            <w:pPr>
              <w:pStyle w:val="31"/>
              <w:snapToGrid w:val="0"/>
              <w:jc w:val="left"/>
              <w:rPr>
                <w:sz w:val="22"/>
                <w:szCs w:val="22"/>
              </w:rPr>
            </w:pPr>
            <w:r>
              <w:rPr>
                <w:rFonts w:hint="eastAsia"/>
                <w:sz w:val="22"/>
                <w:szCs w:val="22"/>
              </w:rPr>
              <w:t>投标人（合同</w:t>
            </w:r>
            <w:r>
              <w:rPr>
                <w:sz w:val="22"/>
                <w:szCs w:val="22"/>
              </w:rPr>
              <w:t>签订时间或部分服务期在</w:t>
            </w:r>
            <w:r>
              <w:rPr>
                <w:rFonts w:hint="eastAsia"/>
                <w:sz w:val="22"/>
                <w:szCs w:val="22"/>
              </w:rPr>
              <w:t>2017年1月1日</w:t>
            </w:r>
            <w:r>
              <w:rPr>
                <w:sz w:val="22"/>
                <w:szCs w:val="22"/>
              </w:rPr>
              <w:t>至投标截止日期间</w:t>
            </w:r>
            <w:r>
              <w:rPr>
                <w:rFonts w:hint="eastAsia"/>
                <w:sz w:val="22"/>
                <w:szCs w:val="22"/>
              </w:rPr>
              <w:t>）具有民航机场内行李系统大修</w:t>
            </w:r>
            <w:r>
              <w:rPr>
                <w:sz w:val="22"/>
                <w:szCs w:val="22"/>
              </w:rPr>
              <w:t>、</w:t>
            </w:r>
            <w:r>
              <w:rPr>
                <w:rFonts w:hint="eastAsia"/>
                <w:sz w:val="22"/>
                <w:szCs w:val="22"/>
              </w:rPr>
              <w:t>安装、维保等施工经验案例打分（提供合同</w:t>
            </w:r>
            <w:r>
              <w:rPr>
                <w:sz w:val="22"/>
                <w:szCs w:val="22"/>
              </w:rPr>
              <w:t>复印件并加盖投标人公章</w:t>
            </w:r>
            <w:r>
              <w:rPr>
                <w:rFonts w:hint="eastAsia"/>
                <w:sz w:val="22"/>
                <w:szCs w:val="22"/>
              </w:rPr>
              <w:t>），有一个业绩得1分、有2个业绩的得2分、有3个业绩的得3分、4个及以上的得5分</w:t>
            </w:r>
          </w:p>
        </w:tc>
        <w:tc>
          <w:tcPr>
            <w:tcW w:w="1422" w:type="dxa"/>
            <w:vAlign w:val="center"/>
          </w:tcPr>
          <w:p>
            <w:pPr>
              <w:snapToGrid w:val="0"/>
              <w:jc w:val="center"/>
              <w:rPr>
                <w:rFonts w:ascii="宋体"/>
                <w:b/>
                <w:bCs/>
                <w:sz w:val="22"/>
              </w:rPr>
            </w:pPr>
            <w:r>
              <w:rPr>
                <w:rFonts w:hint="eastAsia" w:ascii="宋体" w:hAnsi="宋体" w:cs="宋体"/>
                <w:sz w:val="22"/>
              </w:rPr>
              <w:t>0</w:t>
            </w:r>
            <w:r>
              <w:rPr>
                <w:rFonts w:ascii="宋体" w:hAnsi="宋体" w:cs="宋体"/>
                <w:sz w:val="22"/>
              </w:rPr>
              <w:t>—</w:t>
            </w:r>
            <w:r>
              <w:rPr>
                <w:rFonts w:hint="eastAsia" w:ascii="宋体" w:hAnsi="宋体" w:cs="宋体"/>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sz w:val="22"/>
                <w:szCs w:val="22"/>
              </w:rPr>
              <w:t>所提供产品的性能、优劣性</w:t>
            </w:r>
          </w:p>
        </w:tc>
        <w:tc>
          <w:tcPr>
            <w:tcW w:w="4405" w:type="dxa"/>
            <w:vAlign w:val="center"/>
          </w:tcPr>
          <w:p>
            <w:pPr>
              <w:pStyle w:val="31"/>
              <w:snapToGrid w:val="0"/>
              <w:jc w:val="left"/>
              <w:rPr>
                <w:sz w:val="22"/>
                <w:szCs w:val="22"/>
              </w:rPr>
            </w:pPr>
            <w:r>
              <w:rPr>
                <w:rFonts w:hint="eastAsia"/>
                <w:sz w:val="22"/>
                <w:szCs w:val="22"/>
              </w:rPr>
              <w:t>参考所提供配件的品牌、型号等情况进行打分</w:t>
            </w:r>
          </w:p>
        </w:tc>
        <w:tc>
          <w:tcPr>
            <w:tcW w:w="1422" w:type="dxa"/>
            <w:vAlign w:val="center"/>
          </w:tcPr>
          <w:p>
            <w:pPr>
              <w:snapToGrid w:val="0"/>
              <w:jc w:val="center"/>
              <w:rPr>
                <w:rFonts w:ascii="宋体"/>
                <w:sz w:val="22"/>
                <w:highlight w:val="yellow"/>
              </w:rPr>
            </w:pPr>
            <w:r>
              <w:rPr>
                <w:rFonts w:ascii="宋体" w:hAnsi="宋体" w:cs="宋体"/>
                <w:sz w:val="22"/>
              </w:rPr>
              <w:t>1</w:t>
            </w:r>
            <w:r>
              <w:rPr>
                <w:rFonts w:hint="eastAsia" w:ascii="宋体" w:hAnsi="宋体" w:cs="宋体"/>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28" w:type="dxa"/>
          </w:tcPr>
          <w:p>
            <w:pPr>
              <w:pStyle w:val="31"/>
              <w:snapToGrid w:val="0"/>
              <w:jc w:val="left"/>
              <w:rPr>
                <w:sz w:val="22"/>
                <w:szCs w:val="22"/>
              </w:rPr>
            </w:pPr>
            <w:r>
              <w:rPr>
                <w:rFonts w:hint="eastAsia" w:hAnsi="宋体" w:cs="宋体"/>
                <w:sz w:val="22"/>
                <w:szCs w:val="22"/>
              </w:rPr>
              <w:t>产品的技术服务和售后服务的内容，措施和承诺</w:t>
            </w:r>
          </w:p>
        </w:tc>
        <w:tc>
          <w:tcPr>
            <w:tcW w:w="4405" w:type="dxa"/>
            <w:vAlign w:val="center"/>
          </w:tcPr>
          <w:p>
            <w:pPr>
              <w:pStyle w:val="31"/>
              <w:snapToGrid w:val="0"/>
              <w:jc w:val="left"/>
              <w:rPr>
                <w:rFonts w:hAnsi="宋体" w:cs="宋体"/>
                <w:sz w:val="22"/>
                <w:szCs w:val="22"/>
              </w:rPr>
            </w:pPr>
            <w:r>
              <w:rPr>
                <w:rFonts w:hint="eastAsia" w:hAnsi="宋体" w:cs="宋体"/>
                <w:sz w:val="22"/>
                <w:szCs w:val="22"/>
              </w:rPr>
              <w:t>主要根据修理后所提供的质保承诺、免保时间、免保期内针对所更换部件的检查、保养方案及相关发生应急问题后的应急措施进行酌情打分</w:t>
            </w:r>
          </w:p>
        </w:tc>
        <w:tc>
          <w:tcPr>
            <w:tcW w:w="1422" w:type="dxa"/>
            <w:vAlign w:val="center"/>
          </w:tcPr>
          <w:p>
            <w:pPr>
              <w:widowControl/>
              <w:snapToGrid w:val="0"/>
              <w:jc w:val="center"/>
              <w:rPr>
                <w:rFonts w:ascii="宋体"/>
                <w:sz w:val="22"/>
              </w:rPr>
            </w:pPr>
            <w:r>
              <w:rPr>
                <w:rFonts w:hint="eastAsia" w:ascii="宋体" w:hAnsi="宋体" w:cs="宋体"/>
                <w:sz w:val="22"/>
              </w:rPr>
              <w:t>1－8分</w:t>
            </w:r>
          </w:p>
        </w:tc>
      </w:tr>
    </w:tbl>
    <w:p>
      <w:pPr>
        <w:adjustRightInd w:val="0"/>
        <w:snapToGrid w:val="0"/>
        <w:spacing w:line="360" w:lineRule="exact"/>
        <w:rPr>
          <w:rFonts w:ascii="宋体" w:hAnsi="宋体" w:cs="宋体"/>
          <w:sz w:val="22"/>
        </w:rPr>
      </w:pPr>
    </w:p>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r>
        <w:rPr>
          <w:rFonts w:ascii="宋体" w:hAnsi="宋体" w:cs="宋体"/>
          <w:b/>
          <w:sz w:val="22"/>
        </w:rPr>
        <w:t>70分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numPr>
          <w:ilvl w:val="0"/>
          <w:numId w:val="36"/>
        </w:numPr>
        <w:spacing w:line="564" w:lineRule="exact"/>
        <w:ind w:right="57"/>
        <w:jc w:val="center"/>
        <w:rPr>
          <w:b w:val="0"/>
          <w:bCs w:val="0"/>
        </w:rPr>
      </w:pPr>
      <w:bookmarkStart w:id="30" w:name="_Toc19698499"/>
      <w:r>
        <w:rPr>
          <w:b w:val="0"/>
          <w:bCs w:val="0"/>
        </w:rPr>
        <w:t xml:space="preserve"> </w:t>
      </w:r>
      <w:r>
        <w:rPr>
          <w:rFonts w:hint="eastAsia"/>
          <w:b w:val="0"/>
          <w:bCs w:val="0"/>
        </w:rPr>
        <w:t>合同条款及格式</w:t>
      </w:r>
      <w:bookmarkEnd w:id="30"/>
    </w:p>
    <w:p>
      <w:pPr>
        <w:adjustRightInd w:val="0"/>
        <w:snapToGrid w:val="0"/>
        <w:spacing w:line="360" w:lineRule="exact"/>
        <w:ind w:firstLine="452"/>
        <w:jc w:val="left"/>
        <w:rPr>
          <w:rFonts w:ascii="宋体" w:hAnsi="宋体"/>
          <w:b/>
          <w:sz w:val="22"/>
        </w:rPr>
      </w:pPr>
      <w:r>
        <w:rPr>
          <w:rFonts w:hint="eastAsia" w:ascii="宋体" w:hAnsi="宋体"/>
          <w:b/>
          <w:sz w:val="22"/>
        </w:rPr>
        <w:t>甲方：杭州萧山国际机场有限公司</w:t>
      </w:r>
    </w:p>
    <w:p>
      <w:pPr>
        <w:adjustRightInd w:val="0"/>
        <w:snapToGrid w:val="0"/>
        <w:spacing w:line="360" w:lineRule="exact"/>
        <w:ind w:firstLine="452"/>
        <w:jc w:val="left"/>
        <w:rPr>
          <w:rFonts w:ascii="宋体" w:hAnsi="宋体"/>
          <w:b/>
          <w:sz w:val="22"/>
        </w:rPr>
      </w:pPr>
      <w:r>
        <w:rPr>
          <w:rFonts w:hint="eastAsia" w:ascii="宋体" w:hAnsi="宋体"/>
          <w:b/>
          <w:sz w:val="22"/>
        </w:rPr>
        <w:t>住所地：杭州萧山国际机场内</w:t>
      </w:r>
    </w:p>
    <w:p>
      <w:pPr>
        <w:adjustRightInd w:val="0"/>
        <w:snapToGrid w:val="0"/>
        <w:spacing w:line="360" w:lineRule="exact"/>
        <w:ind w:firstLine="452"/>
        <w:jc w:val="left"/>
        <w:rPr>
          <w:rFonts w:ascii="宋体" w:hAnsi="宋体"/>
          <w:b/>
          <w:sz w:val="22"/>
        </w:rPr>
      </w:pPr>
    </w:p>
    <w:p>
      <w:pPr>
        <w:adjustRightInd w:val="0"/>
        <w:snapToGrid w:val="0"/>
        <w:spacing w:line="360" w:lineRule="exact"/>
        <w:ind w:firstLine="452"/>
        <w:jc w:val="left"/>
        <w:rPr>
          <w:rFonts w:ascii="宋体" w:hAnsi="宋体"/>
          <w:b/>
          <w:sz w:val="22"/>
        </w:rPr>
      </w:pPr>
      <w:r>
        <w:rPr>
          <w:rFonts w:hint="eastAsia" w:ascii="宋体" w:hAnsi="宋体"/>
          <w:b/>
          <w:sz w:val="22"/>
        </w:rPr>
        <w:t>乙方：</w:t>
      </w:r>
    </w:p>
    <w:p>
      <w:pPr>
        <w:adjustRightInd w:val="0"/>
        <w:snapToGrid w:val="0"/>
        <w:spacing w:line="360" w:lineRule="exact"/>
        <w:ind w:firstLine="452"/>
        <w:jc w:val="left"/>
        <w:rPr>
          <w:rFonts w:ascii="宋体" w:hAnsi="宋体"/>
          <w:sz w:val="22"/>
        </w:rPr>
      </w:pPr>
      <w:r>
        <w:rPr>
          <w:rFonts w:hint="eastAsia" w:ascii="宋体" w:hAnsi="宋体"/>
          <w:b/>
          <w:sz w:val="22"/>
        </w:rPr>
        <w:t>住所地：</w:t>
      </w:r>
      <w:r>
        <w:rPr>
          <w:rFonts w:hint="eastAsia" w:ascii="宋体" w:hAnsi="宋体"/>
          <w:sz w:val="22"/>
        </w:rPr>
        <w:t xml:space="preserve"> </w:t>
      </w:r>
    </w:p>
    <w:p>
      <w:pPr>
        <w:adjustRightInd w:val="0"/>
        <w:snapToGrid w:val="0"/>
        <w:spacing w:line="360" w:lineRule="exact"/>
        <w:ind w:firstLine="450"/>
        <w:jc w:val="left"/>
        <w:rPr>
          <w:rFonts w:ascii="宋体" w:hAnsi="宋体"/>
          <w:sz w:val="22"/>
        </w:rPr>
      </w:pPr>
    </w:p>
    <w:p>
      <w:pPr>
        <w:adjustRightInd w:val="0"/>
        <w:snapToGrid w:val="0"/>
        <w:spacing w:line="360" w:lineRule="exact"/>
        <w:ind w:firstLine="440" w:firstLineChars="200"/>
        <w:jc w:val="left"/>
        <w:rPr>
          <w:rFonts w:ascii="宋体" w:hAnsi="宋体"/>
          <w:sz w:val="22"/>
        </w:rPr>
      </w:pPr>
      <w:r>
        <w:rPr>
          <w:rFonts w:hint="eastAsia" w:ascii="宋体" w:hAnsi="宋体"/>
          <w:sz w:val="22"/>
        </w:rPr>
        <w:t>甲、乙双方根据《中华人民共和国合同法》等相关法律法规，就相关产品采购事宜，在互利、平等的原则基础上，经协商一致，特签订本合同，以共同遵守。</w:t>
      </w:r>
    </w:p>
    <w:p>
      <w:pPr>
        <w:adjustRightInd w:val="0"/>
        <w:snapToGrid w:val="0"/>
        <w:spacing w:line="360" w:lineRule="exact"/>
        <w:ind w:firstLine="442" w:firstLineChars="200"/>
        <w:jc w:val="left"/>
        <w:rPr>
          <w:rFonts w:ascii="宋体" w:hAnsi="宋体"/>
          <w:sz w:val="22"/>
        </w:rPr>
      </w:pPr>
      <w:r>
        <w:rPr>
          <w:rFonts w:hint="eastAsia" w:ascii="宋体" w:hAnsi="宋体"/>
          <w:b/>
          <w:bCs/>
          <w:sz w:val="22"/>
        </w:rPr>
        <w:t>一、产品规格型号及参数</w:t>
      </w:r>
    </w:p>
    <w:tbl>
      <w:tblPr>
        <w:tblStyle w:val="8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530"/>
        <w:gridCol w:w="1015"/>
        <w:gridCol w:w="1979"/>
        <w:gridCol w:w="714"/>
        <w:gridCol w:w="113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7" w:type="dxa"/>
            <w:vAlign w:val="center"/>
          </w:tcPr>
          <w:p>
            <w:pPr>
              <w:pStyle w:val="496"/>
              <w:snapToGrid w:val="0"/>
              <w:jc w:val="left"/>
              <w:rPr>
                <w:rFonts w:ascii="宋体" w:hAnsi="宋体"/>
                <w:b/>
                <w:sz w:val="22"/>
              </w:rPr>
            </w:pPr>
            <w:r>
              <w:rPr>
                <w:rFonts w:hint="eastAsia" w:ascii="宋体" w:hAnsi="宋体"/>
                <w:b/>
                <w:sz w:val="22"/>
              </w:rPr>
              <w:t>序号</w:t>
            </w:r>
          </w:p>
        </w:tc>
        <w:tc>
          <w:tcPr>
            <w:tcW w:w="1530" w:type="dxa"/>
            <w:vAlign w:val="center"/>
          </w:tcPr>
          <w:p>
            <w:pPr>
              <w:pStyle w:val="496"/>
              <w:snapToGrid w:val="0"/>
              <w:jc w:val="left"/>
              <w:rPr>
                <w:rFonts w:ascii="宋体" w:hAnsi="宋体"/>
                <w:b/>
                <w:sz w:val="22"/>
              </w:rPr>
            </w:pPr>
            <w:r>
              <w:rPr>
                <w:rFonts w:hint="eastAsia" w:ascii="宋体" w:hAnsi="宋体"/>
                <w:b/>
                <w:sz w:val="22"/>
              </w:rPr>
              <w:t>产品名称</w:t>
            </w:r>
          </w:p>
        </w:tc>
        <w:tc>
          <w:tcPr>
            <w:tcW w:w="1015" w:type="dxa"/>
            <w:vAlign w:val="center"/>
          </w:tcPr>
          <w:p>
            <w:pPr>
              <w:pStyle w:val="496"/>
              <w:snapToGrid w:val="0"/>
              <w:jc w:val="left"/>
              <w:rPr>
                <w:rFonts w:ascii="宋体" w:hAnsi="宋体"/>
                <w:b/>
                <w:sz w:val="22"/>
              </w:rPr>
            </w:pPr>
            <w:r>
              <w:rPr>
                <w:rFonts w:hint="eastAsia" w:ascii="宋体" w:hAnsi="宋体"/>
                <w:b/>
                <w:sz w:val="22"/>
              </w:rPr>
              <w:t>品牌型号</w:t>
            </w:r>
          </w:p>
        </w:tc>
        <w:tc>
          <w:tcPr>
            <w:tcW w:w="1979" w:type="dxa"/>
            <w:vAlign w:val="center"/>
          </w:tcPr>
          <w:p>
            <w:pPr>
              <w:pStyle w:val="496"/>
              <w:snapToGrid w:val="0"/>
              <w:jc w:val="center"/>
              <w:rPr>
                <w:rFonts w:ascii="宋体" w:hAnsi="宋体"/>
                <w:b/>
                <w:sz w:val="22"/>
              </w:rPr>
            </w:pPr>
            <w:r>
              <w:rPr>
                <w:rFonts w:hint="eastAsia" w:ascii="宋体" w:hAnsi="宋体"/>
                <w:b/>
                <w:sz w:val="22"/>
              </w:rPr>
              <w:t>单位</w:t>
            </w:r>
          </w:p>
        </w:tc>
        <w:tc>
          <w:tcPr>
            <w:tcW w:w="714" w:type="dxa"/>
            <w:vAlign w:val="center"/>
          </w:tcPr>
          <w:p>
            <w:pPr>
              <w:pStyle w:val="496"/>
              <w:snapToGrid w:val="0"/>
              <w:jc w:val="left"/>
              <w:rPr>
                <w:rFonts w:ascii="宋体" w:hAnsi="宋体"/>
                <w:b/>
                <w:sz w:val="22"/>
              </w:rPr>
            </w:pPr>
            <w:r>
              <w:rPr>
                <w:rFonts w:hint="eastAsia" w:ascii="宋体" w:hAnsi="宋体"/>
                <w:b/>
                <w:sz w:val="22"/>
              </w:rPr>
              <w:t>数量</w:t>
            </w:r>
          </w:p>
        </w:tc>
        <w:tc>
          <w:tcPr>
            <w:tcW w:w="1137" w:type="dxa"/>
            <w:vAlign w:val="center"/>
          </w:tcPr>
          <w:p>
            <w:pPr>
              <w:pStyle w:val="496"/>
              <w:snapToGrid w:val="0"/>
              <w:jc w:val="center"/>
              <w:rPr>
                <w:rFonts w:ascii="宋体" w:hAnsi="宋体"/>
                <w:b/>
                <w:sz w:val="22"/>
              </w:rPr>
            </w:pPr>
            <w:r>
              <w:rPr>
                <w:rFonts w:hint="eastAsia" w:ascii="宋体" w:hAnsi="宋体"/>
                <w:b/>
                <w:sz w:val="22"/>
              </w:rPr>
              <w:t>单价（元）</w:t>
            </w:r>
          </w:p>
        </w:tc>
        <w:tc>
          <w:tcPr>
            <w:tcW w:w="1122" w:type="dxa"/>
            <w:vAlign w:val="center"/>
          </w:tcPr>
          <w:p>
            <w:pPr>
              <w:pStyle w:val="496"/>
              <w:snapToGrid w:val="0"/>
              <w:jc w:val="center"/>
              <w:rPr>
                <w:rFonts w:ascii="宋体" w:hAnsi="宋体"/>
                <w:b/>
                <w:sz w:val="22"/>
              </w:rPr>
            </w:pPr>
            <w:r>
              <w:rPr>
                <w:rFonts w:hint="eastAsia" w:ascii="宋体" w:hAnsi="宋体"/>
                <w:b/>
                <w:sz w:val="22"/>
              </w:rPr>
              <w:t>金额</w:t>
            </w:r>
          </w:p>
          <w:p>
            <w:pPr>
              <w:pStyle w:val="496"/>
              <w:snapToGrid w:val="0"/>
              <w:jc w:val="left"/>
              <w:rPr>
                <w:rFonts w:ascii="宋体" w:hAnsi="宋体"/>
                <w:b/>
                <w:sz w:val="22"/>
              </w:rPr>
            </w:pPr>
            <w:r>
              <w:rPr>
                <w:rFonts w:hint="eastAsia" w:ascii="宋体" w:hAnsi="宋体"/>
                <w:b/>
                <w:sz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ind w:firstLine="440" w:firstLineChars="200"/>
              <w:jc w:val="left"/>
              <w:rPr>
                <w:rFonts w:ascii="宋体" w:hAnsi="宋体"/>
                <w:sz w:val="22"/>
              </w:rPr>
            </w:pP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ind w:firstLine="440" w:firstLineChars="200"/>
              <w:jc w:val="left"/>
              <w:rPr>
                <w:rFonts w:ascii="宋体" w:hAnsi="宋体"/>
                <w:sz w:val="22"/>
              </w:rPr>
            </w:pP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ind w:firstLine="440" w:firstLineChars="200"/>
              <w:jc w:val="left"/>
              <w:rPr>
                <w:rFonts w:ascii="宋体" w:hAnsi="宋体"/>
                <w:sz w:val="22"/>
              </w:rPr>
            </w:pP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pStyle w:val="496"/>
              <w:snapToGrid w:val="0"/>
              <w:jc w:val="left"/>
              <w:rPr>
                <w:rFonts w:ascii="宋体" w:hAnsi="宋体"/>
                <w:sz w:val="22"/>
              </w:rPr>
            </w:pPr>
            <w:r>
              <w:rPr>
                <w:rFonts w:hint="eastAsia" w:ascii="宋体" w:hAnsi="宋体"/>
                <w:sz w:val="22"/>
              </w:rPr>
              <w:t>合计</w:t>
            </w:r>
          </w:p>
        </w:tc>
        <w:tc>
          <w:tcPr>
            <w:tcW w:w="1530" w:type="dxa"/>
            <w:vAlign w:val="center"/>
          </w:tcPr>
          <w:p>
            <w:pPr>
              <w:pStyle w:val="496"/>
              <w:snapToGrid w:val="0"/>
              <w:ind w:firstLine="440" w:firstLineChars="200"/>
              <w:jc w:val="left"/>
              <w:rPr>
                <w:rFonts w:ascii="宋体" w:hAnsi="宋体"/>
                <w:sz w:val="22"/>
              </w:rPr>
            </w:pPr>
          </w:p>
        </w:tc>
        <w:tc>
          <w:tcPr>
            <w:tcW w:w="1015" w:type="dxa"/>
            <w:vAlign w:val="center"/>
          </w:tcPr>
          <w:p>
            <w:pPr>
              <w:pStyle w:val="496"/>
              <w:snapToGrid w:val="0"/>
              <w:ind w:firstLine="440" w:firstLineChars="200"/>
              <w:jc w:val="left"/>
              <w:rPr>
                <w:rFonts w:ascii="宋体" w:hAnsi="宋体"/>
                <w:sz w:val="22"/>
              </w:rPr>
            </w:pPr>
          </w:p>
        </w:tc>
        <w:tc>
          <w:tcPr>
            <w:tcW w:w="1979" w:type="dxa"/>
            <w:vAlign w:val="center"/>
          </w:tcPr>
          <w:p>
            <w:pPr>
              <w:pStyle w:val="496"/>
              <w:snapToGrid w:val="0"/>
              <w:ind w:firstLine="440" w:firstLineChars="200"/>
              <w:jc w:val="left"/>
              <w:rPr>
                <w:rFonts w:ascii="宋体" w:hAnsi="宋体"/>
                <w:sz w:val="22"/>
              </w:rPr>
            </w:pPr>
          </w:p>
        </w:tc>
        <w:tc>
          <w:tcPr>
            <w:tcW w:w="714" w:type="dxa"/>
            <w:vAlign w:val="center"/>
          </w:tcPr>
          <w:p>
            <w:pPr>
              <w:pStyle w:val="496"/>
              <w:snapToGrid w:val="0"/>
              <w:ind w:firstLine="440" w:firstLineChars="200"/>
              <w:jc w:val="left"/>
              <w:rPr>
                <w:rFonts w:ascii="宋体" w:hAnsi="宋体"/>
                <w:sz w:val="22"/>
              </w:rPr>
            </w:pPr>
          </w:p>
        </w:tc>
        <w:tc>
          <w:tcPr>
            <w:tcW w:w="1137" w:type="dxa"/>
            <w:vAlign w:val="center"/>
          </w:tcPr>
          <w:p>
            <w:pPr>
              <w:pStyle w:val="496"/>
              <w:snapToGrid w:val="0"/>
              <w:ind w:firstLine="440" w:firstLineChars="200"/>
              <w:jc w:val="left"/>
              <w:rPr>
                <w:rFonts w:ascii="宋体" w:hAnsi="宋体"/>
                <w:sz w:val="22"/>
              </w:rPr>
            </w:pPr>
          </w:p>
        </w:tc>
        <w:tc>
          <w:tcPr>
            <w:tcW w:w="1122" w:type="dxa"/>
            <w:vAlign w:val="center"/>
          </w:tcPr>
          <w:p>
            <w:pPr>
              <w:pStyle w:val="496"/>
              <w:snapToGrid w:val="0"/>
              <w:ind w:firstLine="440" w:firstLineChars="200"/>
              <w:jc w:val="left"/>
              <w:rPr>
                <w:rFonts w:ascii="宋体" w:hAnsi="宋体"/>
                <w:sz w:val="22"/>
              </w:rPr>
            </w:pPr>
          </w:p>
        </w:tc>
      </w:tr>
    </w:tbl>
    <w:p>
      <w:pPr>
        <w:adjustRightInd w:val="0"/>
        <w:snapToGrid w:val="0"/>
        <w:spacing w:line="360" w:lineRule="exact"/>
        <w:ind w:firstLine="442" w:firstLineChars="200"/>
        <w:rPr>
          <w:rFonts w:ascii="宋体" w:hAnsi="宋体"/>
          <w:b/>
          <w:sz w:val="22"/>
        </w:rPr>
      </w:pPr>
      <w:r>
        <w:rPr>
          <w:rFonts w:hint="eastAsia" w:ascii="宋体" w:hAnsi="宋体"/>
          <w:b/>
          <w:sz w:val="22"/>
        </w:rPr>
        <w:t>二、合同金额</w:t>
      </w:r>
    </w:p>
    <w:p>
      <w:pPr>
        <w:snapToGrid w:val="0"/>
        <w:spacing w:line="360" w:lineRule="exact"/>
        <w:ind w:firstLine="440" w:firstLineChars="200"/>
        <w:rPr>
          <w:rFonts w:ascii="宋体" w:hAnsi="宋体"/>
          <w:b/>
          <w:sz w:val="22"/>
        </w:rPr>
      </w:pPr>
      <w:r>
        <w:rPr>
          <w:rFonts w:hint="eastAsia" w:ascii="宋体" w:hAnsi="宋体"/>
          <w:sz w:val="22"/>
        </w:rPr>
        <w:t>本合同金额为（大写）：</w:t>
      </w:r>
      <w:r>
        <w:rPr>
          <w:rFonts w:hint="eastAsia" w:ascii="宋体" w:hAnsi="宋体"/>
          <w:sz w:val="22"/>
          <w:u w:val="single"/>
        </w:rPr>
        <w:t xml:space="preserve">              </w:t>
      </w:r>
      <w:r>
        <w:rPr>
          <w:rFonts w:hint="eastAsia" w:ascii="宋体" w:hAnsi="宋体"/>
          <w:sz w:val="22"/>
        </w:rPr>
        <w:t>元（￥</w:t>
      </w:r>
      <w:r>
        <w:rPr>
          <w:rFonts w:hint="eastAsia" w:ascii="宋体" w:hAnsi="宋体"/>
          <w:sz w:val="22"/>
          <w:u w:val="single"/>
        </w:rPr>
        <w:t xml:space="preserve">          </w:t>
      </w:r>
      <w:r>
        <w:rPr>
          <w:rFonts w:hint="eastAsia" w:ascii="宋体" w:hAnsi="宋体"/>
          <w:sz w:val="22"/>
        </w:rPr>
        <w:t>元）人民币。本合同价为杭州萧山国际机场内交货价，含产品价格、运输费、包装费、保险费、税费、维修费等所有费用。甲方不再承担其他任何费用。</w:t>
      </w:r>
    </w:p>
    <w:p>
      <w:pPr>
        <w:adjustRightInd w:val="0"/>
        <w:snapToGrid w:val="0"/>
        <w:spacing w:line="360" w:lineRule="exact"/>
        <w:ind w:firstLine="442" w:firstLineChars="200"/>
        <w:rPr>
          <w:rFonts w:ascii="宋体" w:hAnsi="宋体"/>
          <w:b/>
          <w:sz w:val="22"/>
        </w:rPr>
      </w:pPr>
      <w:r>
        <w:rPr>
          <w:rFonts w:hint="eastAsia" w:ascii="宋体" w:hAnsi="宋体"/>
          <w:b/>
          <w:sz w:val="22"/>
        </w:rPr>
        <w:t>三、技术资料</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乙方应在移交合同货物时向甲方提供使用货物的有关技术资料。</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adjustRightInd w:val="0"/>
        <w:snapToGrid w:val="0"/>
        <w:spacing w:line="360" w:lineRule="exact"/>
        <w:ind w:firstLine="442" w:firstLineChars="200"/>
        <w:rPr>
          <w:rFonts w:ascii="宋体" w:hAnsi="宋体"/>
          <w:b/>
          <w:sz w:val="22"/>
        </w:rPr>
      </w:pPr>
      <w:r>
        <w:rPr>
          <w:rFonts w:hint="eastAsia" w:ascii="宋体" w:hAnsi="宋体"/>
          <w:b/>
          <w:sz w:val="22"/>
        </w:rPr>
        <w:t>四、知识产权</w:t>
      </w:r>
    </w:p>
    <w:p>
      <w:pPr>
        <w:adjustRightInd w:val="0"/>
        <w:snapToGrid w:val="0"/>
        <w:spacing w:line="360" w:lineRule="exact"/>
        <w:ind w:firstLine="440" w:firstLineChars="200"/>
        <w:rPr>
          <w:rFonts w:ascii="宋体" w:hAnsi="宋体"/>
          <w:sz w:val="22"/>
        </w:rPr>
      </w:pPr>
      <w:r>
        <w:rPr>
          <w:rFonts w:hint="eastAsia" w:ascii="宋体" w:hAnsi="宋体"/>
          <w:sz w:val="22"/>
        </w:rPr>
        <w:t>乙方应保证所提供的货物或其任何一部分均不会侵犯任何第三方的知识产权。如因乙方违反本条保证并导致甲方遭受损失的，乙方须向甲方承担赔偿责任。</w:t>
      </w:r>
    </w:p>
    <w:p>
      <w:pPr>
        <w:adjustRightInd w:val="0"/>
        <w:snapToGrid w:val="0"/>
        <w:spacing w:line="360" w:lineRule="exact"/>
        <w:ind w:firstLine="442" w:firstLineChars="200"/>
        <w:rPr>
          <w:rFonts w:ascii="宋体" w:hAnsi="宋体"/>
          <w:b/>
          <w:sz w:val="22"/>
        </w:rPr>
      </w:pPr>
      <w:r>
        <w:rPr>
          <w:rFonts w:hint="eastAsia" w:ascii="宋体" w:hAnsi="宋体"/>
          <w:b/>
          <w:sz w:val="22"/>
        </w:rPr>
        <w:t>五、产权担保</w:t>
      </w:r>
    </w:p>
    <w:p>
      <w:pPr>
        <w:adjustRightInd w:val="0"/>
        <w:snapToGrid w:val="0"/>
        <w:spacing w:line="360" w:lineRule="exact"/>
        <w:ind w:firstLine="440" w:firstLineChars="200"/>
        <w:rPr>
          <w:rFonts w:ascii="宋体" w:hAnsi="宋体"/>
          <w:sz w:val="22"/>
        </w:rPr>
      </w:pPr>
      <w:r>
        <w:rPr>
          <w:rFonts w:hint="eastAsia" w:ascii="宋体" w:hAnsi="宋体"/>
          <w:sz w:val="22"/>
        </w:rPr>
        <w:t>乙方保证所交付的货物的所有权完全属于乙方且无任何抵押、查封等产权障碍或瑕疵。如因乙方提供货物存在权属纠纷或担保物权的行使而导致甲方遭受任何损失的，乙方须就甲方遭受的该等损失承担赔偿责任。</w:t>
      </w:r>
    </w:p>
    <w:p>
      <w:pPr>
        <w:adjustRightInd w:val="0"/>
        <w:snapToGrid w:val="0"/>
        <w:spacing w:line="360" w:lineRule="exact"/>
        <w:ind w:firstLine="442" w:firstLineChars="200"/>
        <w:outlineLvl w:val="0"/>
        <w:rPr>
          <w:rFonts w:ascii="宋体" w:hAnsi="宋体"/>
          <w:b/>
          <w:sz w:val="22"/>
        </w:rPr>
      </w:pPr>
      <w:bookmarkStart w:id="31" w:name="_Toc422638512"/>
      <w:r>
        <w:rPr>
          <w:rFonts w:hint="eastAsia" w:ascii="宋体" w:hAnsi="宋体"/>
          <w:b/>
          <w:sz w:val="22"/>
        </w:rPr>
        <w:t>六、转包或分包</w:t>
      </w:r>
      <w:bookmarkEnd w:id="31"/>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如有未经甲方书面同意的转让和分包行为，甲方有权解除合同，并追究乙方的违约责任。</w:t>
      </w:r>
    </w:p>
    <w:p>
      <w:pPr>
        <w:adjustRightInd w:val="0"/>
        <w:snapToGrid w:val="0"/>
        <w:spacing w:line="360" w:lineRule="exact"/>
        <w:ind w:firstLine="442" w:firstLineChars="200"/>
        <w:outlineLvl w:val="0"/>
        <w:rPr>
          <w:rFonts w:ascii="宋体" w:hAnsi="宋体"/>
          <w:b/>
          <w:sz w:val="22"/>
        </w:rPr>
      </w:pPr>
      <w:bookmarkStart w:id="32" w:name="_Toc422638513"/>
      <w:r>
        <w:rPr>
          <w:rFonts w:hint="eastAsia" w:ascii="宋体" w:hAnsi="宋体"/>
          <w:b/>
          <w:sz w:val="22"/>
        </w:rPr>
        <w:t>七、货物包装、发运及运输</w:t>
      </w:r>
      <w:bookmarkEnd w:id="32"/>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乙方应在货物发运前对其按满足运输距离、防潮、防震、防锈和防破损装卸等要求进行包装，以保证货物安全运达甲方指定地点。</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使用说明书、质量检验证明书、随配附件和工具以及清单一并附于货物内。</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乙方在货物发运手续办理完毕后24小时内必须书面通知甲方，以便甲方准备接货。</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 xml:space="preserve"> 货物在本合同规定的交货地点交付甲方前发生的一切风险包括货物运输风险均由乙方负责。</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 xml:space="preserve"> 货物在规定的交付期限内由乙方送达甲方指定的交货地点并经甲方签收后视为交付，乙方同时必须在货物到达的当天立即通知甲方货物已送达。</w:t>
      </w:r>
    </w:p>
    <w:p>
      <w:pPr>
        <w:adjustRightInd w:val="0"/>
        <w:snapToGrid w:val="0"/>
        <w:spacing w:line="360" w:lineRule="exact"/>
        <w:ind w:firstLine="442" w:firstLineChars="200"/>
        <w:outlineLvl w:val="0"/>
        <w:rPr>
          <w:rFonts w:ascii="宋体" w:hAnsi="宋体"/>
          <w:b/>
          <w:sz w:val="22"/>
        </w:rPr>
      </w:pPr>
      <w:bookmarkStart w:id="33" w:name="_Toc422638514"/>
      <w:r>
        <w:rPr>
          <w:rFonts w:hint="eastAsia" w:ascii="宋体" w:hAnsi="宋体"/>
          <w:b/>
          <w:sz w:val="22"/>
        </w:rPr>
        <w:t>八、维修</w:t>
      </w:r>
      <w:r>
        <w:rPr>
          <w:rFonts w:ascii="宋体" w:hAnsi="宋体"/>
          <w:b/>
          <w:sz w:val="22"/>
        </w:rPr>
        <w:t>期</w:t>
      </w:r>
      <w:r>
        <w:rPr>
          <w:rFonts w:hint="eastAsia" w:ascii="宋体" w:hAnsi="宋体"/>
          <w:b/>
          <w:sz w:val="22"/>
        </w:rPr>
        <w:t>、交货方式及交货地点</w:t>
      </w:r>
      <w:bookmarkEnd w:id="33"/>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维修</w:t>
      </w:r>
      <w:r>
        <w:rPr>
          <w:rFonts w:ascii="宋体" w:hAnsi="宋体"/>
          <w:sz w:val="22"/>
        </w:rPr>
        <w:t>期</w:t>
      </w:r>
      <w:r>
        <w:rPr>
          <w:rFonts w:hint="eastAsia" w:ascii="宋体" w:hAnsi="宋体"/>
          <w:sz w:val="22"/>
        </w:rPr>
        <w:t>：合同签订后</w:t>
      </w:r>
      <w:r>
        <w:rPr>
          <w:rFonts w:hint="eastAsia" w:ascii="宋体" w:hAnsi="宋体"/>
          <w:sz w:val="22"/>
          <w:u w:val="single"/>
        </w:rPr>
        <w:t xml:space="preserve"> 90 </w:t>
      </w:r>
      <w:r>
        <w:rPr>
          <w:rFonts w:hint="eastAsia" w:ascii="宋体" w:hAnsi="宋体"/>
          <w:sz w:val="22"/>
        </w:rPr>
        <w:t>个日历天内</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交货方式： 乙方送货上门</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 xml:space="preserve"> 交货地点：杭州萧山国际机场内</w:t>
      </w:r>
    </w:p>
    <w:p>
      <w:pPr>
        <w:adjustRightInd w:val="0"/>
        <w:snapToGrid w:val="0"/>
        <w:spacing w:line="360" w:lineRule="exact"/>
        <w:ind w:firstLine="442" w:firstLineChars="200"/>
        <w:outlineLvl w:val="0"/>
        <w:rPr>
          <w:rFonts w:ascii="宋体" w:hAnsi="宋体"/>
          <w:b/>
          <w:sz w:val="22"/>
        </w:rPr>
      </w:pPr>
      <w:bookmarkStart w:id="34" w:name="_Toc422638515"/>
      <w:r>
        <w:rPr>
          <w:rFonts w:hint="eastAsia" w:ascii="宋体" w:hAnsi="宋体"/>
          <w:b/>
          <w:sz w:val="22"/>
        </w:rPr>
        <w:t>九、安装、调试及验收</w:t>
      </w:r>
      <w:bookmarkEnd w:id="34"/>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甲方对乙方提交的货物依据甲方要求和国家有关质量标准进行现场初步验收，外观、说明书符合甲方要求的，给予签收，初步验收不合格的不予签收。乙方在甲方初步验收完毕后，负责在【45】日内完成现场安装、调试，确保设备正常运行。安装完毕由乙方提交甲方验收，双方代表应在通过验收之日签署安装验收报告，但此证书不能免除乙方在本合同项下应当承担的质量保证责任以及售后服务责任。</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2. </w:t>
      </w:r>
      <w:r>
        <w:rPr>
          <w:rFonts w:hint="eastAsia" w:ascii="宋体" w:hAnsi="宋体"/>
          <w:sz w:val="22"/>
        </w:rPr>
        <w:t>乙方交货前应对产品作出全面检查和对验收文件进行整理，并列出清单，作为甲方收货验收和使用的技术条件依据，乙方检验的结果应随货物交甲方。</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甲方在验收后如发现产品的品种、型号、规格、数量或质量不符合合同约定或相关质量要求，甲方应在验收之日起【七】日内以书面或电话形式向乙方提出异议；乙方应当在收到甲方异议之日起【三】日内作出答复或与甲方协商处理，或在【三】日内直接按甲方要求进行无偿换货、补发短缺部分或降低货价，并承担由此产生的相关费用。在上述异议期及产品质量问题的处理期间，甲方有权中止本合同项下的付款义务。</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如甲方未按上述规定期限提出质量异议的，视为乙方所交付的产品符合合同规定；乙方未按上述规定期限作出答复或负责处理的，则视为乙方同意甲方提出的异议和处理意见。</w:t>
      </w:r>
    </w:p>
    <w:p>
      <w:pPr>
        <w:adjustRightInd w:val="0"/>
        <w:snapToGrid w:val="0"/>
        <w:spacing w:line="360" w:lineRule="exact"/>
        <w:ind w:firstLine="442" w:firstLineChars="200"/>
        <w:outlineLvl w:val="0"/>
        <w:rPr>
          <w:rFonts w:ascii="宋体" w:hAnsi="宋体"/>
          <w:b/>
          <w:sz w:val="22"/>
        </w:rPr>
      </w:pPr>
      <w:bookmarkStart w:id="35" w:name="_Toc422638516"/>
      <w:r>
        <w:rPr>
          <w:rFonts w:hint="eastAsia" w:ascii="宋体" w:hAnsi="宋体"/>
          <w:b/>
          <w:sz w:val="22"/>
        </w:rPr>
        <w:t>十、货款支付</w:t>
      </w:r>
      <w:bookmarkEnd w:id="35"/>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1</w:t>
      </w:r>
      <w:r>
        <w:rPr>
          <w:rFonts w:hint="eastAsia" w:ascii="宋体" w:hAnsi="宋体"/>
          <w:sz w:val="22"/>
        </w:rPr>
        <w:t>.设备维修后，并经甲方验收合格后【15】个工作日内，支付至合同总金额的95%。</w:t>
      </w:r>
    </w:p>
    <w:p>
      <w:pPr>
        <w:pStyle w:val="74"/>
        <w:snapToGrid w:val="0"/>
        <w:spacing w:before="0" w:beforeAutospacing="0" w:after="0" w:afterAutospacing="0" w:line="360" w:lineRule="exact"/>
        <w:ind w:left="420" w:leftChars="200"/>
        <w:jc w:val="both"/>
        <w:rPr>
          <w:rFonts w:ascii="宋体" w:hAnsi="宋体"/>
          <w:sz w:val="22"/>
        </w:rPr>
      </w:pPr>
      <w:r>
        <w:rPr>
          <w:rFonts w:hint="eastAsia" w:ascii="宋体" w:hAnsi="宋体"/>
          <w:b/>
          <w:sz w:val="22"/>
        </w:rPr>
        <w:t>2.</w:t>
      </w:r>
      <w:r>
        <w:rPr>
          <w:rFonts w:hint="eastAsia" w:ascii="仿宋" w:hAnsi="仿宋" w:eastAsia="仿宋"/>
        </w:rPr>
        <w:t xml:space="preserve"> </w:t>
      </w:r>
      <w:r>
        <w:rPr>
          <w:rFonts w:hint="eastAsia" w:ascii="宋体" w:hAnsi="宋体"/>
          <w:sz w:val="22"/>
        </w:rPr>
        <w:t>质量保证金为合同总价5</w:t>
      </w:r>
      <w:r>
        <w:rPr>
          <w:rFonts w:ascii="宋体" w:hAnsi="宋体"/>
          <w:sz w:val="22"/>
        </w:rPr>
        <w:t>%，</w:t>
      </w:r>
      <w:r>
        <w:rPr>
          <w:rFonts w:hint="eastAsia" w:ascii="宋体" w:hAnsi="宋体"/>
          <w:sz w:val="22"/>
        </w:rPr>
        <w:t>质量保证金于质量保证期满后【十五】</w:t>
      </w:r>
      <w:r>
        <w:rPr>
          <w:rFonts w:ascii="宋体" w:hAnsi="宋体"/>
          <w:sz w:val="22"/>
        </w:rPr>
        <w:t>工作日内</w:t>
      </w:r>
      <w:r>
        <w:rPr>
          <w:rFonts w:hint="eastAsia" w:ascii="宋体" w:hAnsi="宋体"/>
          <w:sz w:val="22"/>
        </w:rPr>
        <w:t>一并无息</w:t>
      </w:r>
      <w:r>
        <w:rPr>
          <w:rFonts w:ascii="宋体" w:hAnsi="宋体"/>
          <w:sz w:val="22"/>
        </w:rPr>
        <w:t>支付。</w:t>
      </w:r>
      <w:r>
        <w:rPr>
          <w:rFonts w:hint="eastAsia" w:ascii="宋体" w:hAnsi="宋体"/>
          <w:b/>
          <w:sz w:val="22"/>
        </w:rPr>
        <w:t>3.</w:t>
      </w:r>
      <w:r>
        <w:rPr>
          <w:rFonts w:hint="eastAsia" w:ascii="宋体" w:hAnsi="宋体"/>
          <w:sz w:val="22"/>
        </w:rPr>
        <w:t>乙方在甲方每次付款前开具正式增值税发票。</w:t>
      </w:r>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4.</w:t>
      </w:r>
      <w:r>
        <w:rPr>
          <w:rFonts w:hint="eastAsia" w:ascii="宋体" w:hAnsi="宋体"/>
          <w:sz w:val="22"/>
        </w:rPr>
        <w:t>履约保证金</w:t>
      </w:r>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4.1</w:t>
      </w:r>
      <w:r>
        <w:rPr>
          <w:rFonts w:hint="eastAsia" w:ascii="宋体" w:hAnsi="宋体"/>
          <w:sz w:val="22"/>
        </w:rPr>
        <w:t xml:space="preserve"> 乙方应在收到甲方中标通知书后10日内，向甲方支付合同价的10%作为履约保证金。如果逾期未缴纳，视为乙方违约，甲方有权不予签订合同，并有权追究乙方的违约责任。</w:t>
      </w:r>
    </w:p>
    <w:p>
      <w:pPr>
        <w:pStyle w:val="74"/>
        <w:snapToGrid w:val="0"/>
        <w:spacing w:before="0" w:beforeAutospacing="0" w:after="0" w:afterAutospacing="0" w:line="360" w:lineRule="exact"/>
        <w:ind w:firstLine="442" w:firstLineChars="200"/>
        <w:jc w:val="both"/>
        <w:rPr>
          <w:rFonts w:ascii="宋体" w:hAnsi="宋体"/>
          <w:sz w:val="22"/>
        </w:rPr>
      </w:pPr>
      <w:r>
        <w:rPr>
          <w:rFonts w:hint="eastAsia" w:ascii="宋体" w:hAnsi="宋体"/>
          <w:b/>
          <w:sz w:val="22"/>
        </w:rPr>
        <w:t>4.2</w:t>
      </w:r>
      <w:r>
        <w:rPr>
          <w:rFonts w:hint="eastAsia" w:ascii="宋体" w:hAnsi="宋体"/>
          <w:sz w:val="22"/>
        </w:rPr>
        <w:t xml:space="preserve"> 在合同履行期间，如果乙方存在违约情形，甲方有权扣除相应款项，并书面通知乙方。乙方自收到书面通知之日起５日内提出异议并补足履约保证金，如果逾期未提出，视为同意。如果乙方不及时补足履约保证金，经甲方通知后３日内，仍未补足，视为乙方违约，甲方有权解除合同，并要求乙方承担相应的违约责任。待合同约定服务内容全部履行并取得甲方认可，乙方不存在任何违约情形，甲方在10日内无息返还履约保证金。</w:t>
      </w:r>
    </w:p>
    <w:p>
      <w:pPr>
        <w:adjustRightInd w:val="0"/>
        <w:snapToGrid w:val="0"/>
        <w:spacing w:line="360" w:lineRule="exact"/>
        <w:ind w:firstLine="442" w:firstLineChars="200"/>
        <w:outlineLvl w:val="0"/>
        <w:rPr>
          <w:rFonts w:ascii="宋体" w:hAnsi="宋体"/>
          <w:b/>
          <w:sz w:val="22"/>
        </w:rPr>
      </w:pPr>
      <w:bookmarkStart w:id="36" w:name="_Toc422638517"/>
      <w:r>
        <w:rPr>
          <w:rFonts w:hint="eastAsia" w:ascii="宋体" w:hAnsi="宋体"/>
          <w:b/>
          <w:sz w:val="22"/>
        </w:rPr>
        <w:t>十一、税费</w:t>
      </w:r>
      <w:bookmarkEnd w:id="36"/>
    </w:p>
    <w:p>
      <w:pPr>
        <w:adjustRightInd w:val="0"/>
        <w:snapToGrid w:val="0"/>
        <w:spacing w:line="360" w:lineRule="exact"/>
        <w:ind w:firstLine="440" w:firstLineChars="200"/>
        <w:rPr>
          <w:rFonts w:ascii="宋体" w:hAnsi="宋体"/>
          <w:sz w:val="22"/>
        </w:rPr>
      </w:pPr>
      <w:r>
        <w:rPr>
          <w:rFonts w:hint="eastAsia" w:ascii="宋体" w:hAnsi="宋体"/>
          <w:sz w:val="22"/>
        </w:rPr>
        <w:t>本合同执行中相关的一切税费均由乙方负担</w:t>
      </w:r>
    </w:p>
    <w:p>
      <w:pPr>
        <w:adjustRightInd w:val="0"/>
        <w:snapToGrid w:val="0"/>
        <w:spacing w:line="360" w:lineRule="exact"/>
        <w:ind w:firstLine="442" w:firstLineChars="200"/>
        <w:outlineLvl w:val="0"/>
        <w:rPr>
          <w:rFonts w:ascii="宋体" w:hAnsi="宋体"/>
          <w:b/>
          <w:sz w:val="22"/>
        </w:rPr>
      </w:pPr>
      <w:bookmarkStart w:id="37" w:name="_Toc422638518"/>
      <w:r>
        <w:rPr>
          <w:rFonts w:hint="eastAsia" w:ascii="宋体" w:hAnsi="宋体"/>
          <w:b/>
          <w:sz w:val="22"/>
        </w:rPr>
        <w:t>十二、质量保证及售后服务</w:t>
      </w:r>
      <w:bookmarkEnd w:id="37"/>
    </w:p>
    <w:p>
      <w:pPr>
        <w:adjustRightInd w:val="0"/>
        <w:snapToGrid w:val="0"/>
        <w:spacing w:line="360" w:lineRule="exact"/>
        <w:ind w:firstLine="442" w:firstLineChars="200"/>
        <w:rPr>
          <w:rFonts w:ascii="宋体" w:hAnsi="宋体"/>
          <w:sz w:val="22"/>
        </w:rPr>
      </w:pPr>
      <w:r>
        <w:rPr>
          <w:rFonts w:hint="eastAsia" w:ascii="宋体" w:hAnsi="宋体"/>
          <w:b/>
          <w:sz w:val="22"/>
        </w:rPr>
        <w:t xml:space="preserve">1. </w:t>
      </w:r>
      <w:r>
        <w:rPr>
          <w:rFonts w:hint="eastAsia" w:ascii="宋体" w:hAnsi="宋体"/>
          <w:sz w:val="22"/>
        </w:rPr>
        <w:t>乙方保证其所供应的产品符合相关产品质量标准，不存在任何质量瑕疵或因质量瑕疵而导致的安全隐患，且为未经使用的全新产品。</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乙方应为设备提供【两】年的免费保修期，时间为双方在安装验收报告上签字确认之日起算。</w:t>
      </w:r>
    </w:p>
    <w:p>
      <w:pPr>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保修期内由于非甲方原因发生的的故障或损坏，乙方免费提供维修和备件直至设备性能、状态等达到正常标准，可以正常安全使用为止。如无法修复，乙方应负责免费更换或由甲方退还乙方所供货物，乙方退还甲方支付的合同款，同时应承担该货物的直接费用（运输、保险、检验、货款利息及银行手续费等）以及由此给甲方造成的损失。</w:t>
      </w:r>
    </w:p>
    <w:p>
      <w:pPr>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乙方提供24小时售后服务，在接到报修通知后，维修人员应在【十二】小时内赶到杭州萧山国际机场，并连续进行维修，直到设备恢复正常。</w:t>
      </w:r>
      <w:r>
        <w:rPr>
          <w:rFonts w:hint="eastAsia" w:ascii="宋体" w:hAnsi="宋体" w:cs="楷体_GB2312"/>
          <w:kern w:val="0"/>
          <w:sz w:val="22"/>
          <w:lang w:val="zh-CN"/>
        </w:rPr>
        <w:t>修复部分的质保期自修复之日起重新开始计算。</w:t>
      </w:r>
    </w:p>
    <w:p>
      <w:pPr>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保修期结束的【十五】天前，乙方负责对设备进行一次全面的检修和维护，并由甲方验收认可。</w:t>
      </w:r>
    </w:p>
    <w:p>
      <w:pPr>
        <w:snapToGrid w:val="0"/>
        <w:spacing w:line="360" w:lineRule="exact"/>
        <w:ind w:firstLine="440" w:firstLineChars="200"/>
        <w:rPr>
          <w:rFonts w:ascii="宋体" w:hAnsi="宋体"/>
          <w:sz w:val="22"/>
        </w:rPr>
      </w:pPr>
      <w:r>
        <w:rPr>
          <w:rFonts w:hint="eastAsia" w:ascii="宋体" w:hAnsi="宋体"/>
          <w:sz w:val="22"/>
        </w:rPr>
        <w:t>6.维修、施工团队要求</w:t>
      </w:r>
    </w:p>
    <w:p>
      <w:pPr>
        <w:spacing w:line="560" w:lineRule="exact"/>
        <w:ind w:firstLine="440" w:firstLineChars="200"/>
        <w:rPr>
          <w:rFonts w:ascii="宋体" w:hAnsi="宋体"/>
          <w:dstrike/>
          <w:color w:val="FF0000"/>
          <w:sz w:val="22"/>
        </w:rPr>
      </w:pPr>
      <w:r>
        <w:rPr>
          <w:rFonts w:ascii="宋体" w:hAnsi="宋体"/>
          <w:sz w:val="22"/>
        </w:rPr>
        <w:t>6.</w:t>
      </w:r>
      <w:r>
        <w:rPr>
          <w:rFonts w:hint="eastAsia" w:ascii="宋体" w:hAnsi="宋体"/>
          <w:sz w:val="22"/>
        </w:rPr>
        <w:t>1乙方应在确保合同项下维保服务范围内设</w:t>
      </w:r>
      <w:r>
        <w:rPr>
          <w:rFonts w:hint="eastAsia" w:ascii="仿宋_GB2312" w:eastAsia="仿宋_GB2312"/>
          <w:sz w:val="22"/>
        </w:rPr>
        <w:t>备</w:t>
      </w:r>
      <w:r>
        <w:rPr>
          <w:rFonts w:hint="eastAsia" w:ascii="宋体" w:hAnsi="宋体"/>
          <w:sz w:val="22"/>
        </w:rPr>
        <w:t>运行安全可靠的前提下，配置高效和技能过硬的维修人员，项目人员配置总量不得少于6人。</w:t>
      </w:r>
    </w:p>
    <w:p>
      <w:pPr>
        <w:spacing w:line="560" w:lineRule="exact"/>
        <w:ind w:firstLine="440" w:firstLineChars="200"/>
        <w:rPr>
          <w:rFonts w:ascii="宋体" w:hAnsi="宋体"/>
          <w:sz w:val="22"/>
        </w:rPr>
      </w:pPr>
      <w:r>
        <w:rPr>
          <w:rFonts w:ascii="宋体" w:hAnsi="宋体"/>
          <w:sz w:val="22"/>
        </w:rPr>
        <w:t>6.2</w:t>
      </w:r>
      <w:r>
        <w:rPr>
          <w:rFonts w:hint="eastAsia" w:ascii="宋体" w:hAnsi="宋体"/>
          <w:sz w:val="22"/>
        </w:rPr>
        <w:t>参加本合同项下维修服务人员如连续作业需采用轮班制且每班不得少于3人。</w:t>
      </w:r>
      <w:r>
        <w:rPr>
          <w:rFonts w:ascii="宋体" w:hAnsi="宋体"/>
          <w:sz w:val="22"/>
        </w:rPr>
        <w:t xml:space="preserve"> </w:t>
      </w:r>
    </w:p>
    <w:p>
      <w:pPr>
        <w:spacing w:line="560" w:lineRule="exact"/>
        <w:ind w:firstLine="440" w:firstLineChars="200"/>
        <w:rPr>
          <w:rFonts w:ascii="宋体" w:hAnsi="宋体"/>
          <w:sz w:val="22"/>
        </w:rPr>
      </w:pPr>
      <w:r>
        <w:rPr>
          <w:rFonts w:ascii="宋体" w:hAnsi="宋体"/>
          <w:sz w:val="22"/>
        </w:rPr>
        <w:t>6.3</w:t>
      </w:r>
      <w:r>
        <w:rPr>
          <w:rFonts w:hint="eastAsia" w:ascii="宋体" w:hAnsi="宋体"/>
          <w:sz w:val="22"/>
        </w:rPr>
        <w:t>本合同项目中所有维修人员须通过甲方的通行证管理制度培训及机坪运行管理制度的培训方能为甲方提供本合同项下维修服务。</w:t>
      </w:r>
    </w:p>
    <w:p>
      <w:pPr>
        <w:spacing w:line="560" w:lineRule="exact"/>
        <w:ind w:firstLine="440" w:firstLineChars="200"/>
        <w:rPr>
          <w:rFonts w:ascii="宋体" w:hAnsi="宋体"/>
          <w:color w:val="0000FF"/>
          <w:sz w:val="22"/>
        </w:rPr>
      </w:pPr>
      <w:r>
        <w:rPr>
          <w:rFonts w:ascii="宋体" w:hAnsi="宋体"/>
          <w:sz w:val="22"/>
        </w:rPr>
        <w:t>6.4</w:t>
      </w:r>
      <w:r>
        <w:rPr>
          <w:rFonts w:hint="eastAsia" w:ascii="宋体" w:hAnsi="宋体"/>
          <w:sz w:val="22"/>
        </w:rPr>
        <w:t>乙方提供的本合同项下维修服务管理人员必须具有专科以上学历及相关专业，身体健康；爱岗敬业，责任心强，有较强的组织能力和协调能力，能及时处理突发应急事件。</w:t>
      </w:r>
    </w:p>
    <w:p>
      <w:pPr>
        <w:spacing w:line="560" w:lineRule="exact"/>
        <w:ind w:firstLine="440" w:firstLineChars="200"/>
        <w:rPr>
          <w:rFonts w:ascii="宋体" w:hAnsi="宋体"/>
          <w:sz w:val="22"/>
        </w:rPr>
      </w:pPr>
      <w:r>
        <w:rPr>
          <w:rFonts w:ascii="宋体" w:hAnsi="宋体"/>
          <w:sz w:val="22"/>
        </w:rPr>
        <w:t>6.5</w:t>
      </w:r>
      <w:r>
        <w:rPr>
          <w:rFonts w:hint="eastAsia" w:ascii="宋体" w:hAnsi="宋体"/>
          <w:sz w:val="22"/>
        </w:rPr>
        <w:t>乙方提供的维修人员年龄均应符合年龄在</w:t>
      </w:r>
      <w:r>
        <w:rPr>
          <w:rFonts w:ascii="宋体" w:hAnsi="宋体"/>
          <w:sz w:val="22"/>
        </w:rPr>
        <w:t>45</w:t>
      </w:r>
      <w:r>
        <w:rPr>
          <w:rFonts w:hint="eastAsia" w:ascii="宋体" w:hAnsi="宋体"/>
          <w:sz w:val="22"/>
        </w:rPr>
        <w:t>周岁以下，身体健康，无不良嗜好，无重大疾病或身体缺陷，无违法犯罪纪录，政审须通过（办理隔离区通行证的前提）等要求。</w:t>
      </w:r>
    </w:p>
    <w:p>
      <w:pPr>
        <w:spacing w:line="560" w:lineRule="exact"/>
        <w:ind w:firstLine="440" w:firstLineChars="200"/>
        <w:rPr>
          <w:rFonts w:ascii="宋体" w:hAnsi="宋体"/>
          <w:sz w:val="22"/>
        </w:rPr>
      </w:pPr>
      <w:r>
        <w:rPr>
          <w:rFonts w:ascii="宋体" w:hAnsi="宋体"/>
          <w:sz w:val="22"/>
        </w:rPr>
        <w:t>6.6</w:t>
      </w:r>
      <w:r>
        <w:rPr>
          <w:rFonts w:hint="eastAsia" w:ascii="宋体" w:hAnsi="宋体"/>
          <w:sz w:val="22"/>
        </w:rPr>
        <w:t>乙方应选派责任心强、遵守规章制度、专业素质高的员工进场，在工作时间内穿戴统一服饰、持证上岗。</w:t>
      </w:r>
    </w:p>
    <w:p>
      <w:pPr>
        <w:tabs>
          <w:tab w:val="left" w:pos="900"/>
        </w:tabs>
        <w:spacing w:line="560" w:lineRule="exact"/>
        <w:ind w:firstLine="440" w:firstLineChars="200"/>
        <w:rPr>
          <w:rFonts w:ascii="宋体" w:hAnsi="宋体"/>
          <w:sz w:val="22"/>
        </w:rPr>
      </w:pPr>
      <w:r>
        <w:rPr>
          <w:rFonts w:ascii="宋体" w:hAnsi="宋体"/>
          <w:sz w:val="22"/>
        </w:rPr>
        <w:t>6.7</w:t>
      </w:r>
      <w:r>
        <w:rPr>
          <w:rFonts w:hint="eastAsia" w:ascii="宋体" w:hAnsi="宋体"/>
          <w:sz w:val="22"/>
        </w:rPr>
        <w:t>特殊工种人员必须持有相应的特殊作业操作证。乙方上岗人员的有效操作证书须提供复印件，由甲方备案。</w:t>
      </w:r>
    </w:p>
    <w:p>
      <w:pPr>
        <w:tabs>
          <w:tab w:val="left" w:pos="900"/>
        </w:tabs>
        <w:spacing w:line="560" w:lineRule="exact"/>
        <w:ind w:firstLine="440" w:firstLineChars="200"/>
        <w:rPr>
          <w:rFonts w:ascii="宋体" w:hAnsi="宋体"/>
          <w:sz w:val="22"/>
        </w:rPr>
      </w:pPr>
      <w:r>
        <w:rPr>
          <w:rFonts w:ascii="宋体" w:hAnsi="宋体"/>
          <w:sz w:val="22"/>
        </w:rPr>
        <w:t>6.8</w:t>
      </w:r>
      <w:r>
        <w:rPr>
          <w:rFonts w:hint="eastAsia" w:ascii="宋体" w:hAnsi="宋体"/>
          <w:sz w:val="22"/>
        </w:rPr>
        <w:t>维修人员中，具有钳工或电工证书的不低于人员总量的80%，大专及以上学历者不得低于</w:t>
      </w:r>
      <w:r>
        <w:rPr>
          <w:rFonts w:ascii="宋体" w:hAnsi="宋体"/>
          <w:sz w:val="22"/>
        </w:rPr>
        <w:t>20%</w:t>
      </w:r>
      <w:r>
        <w:rPr>
          <w:rFonts w:hint="eastAsia" w:ascii="宋体" w:hAnsi="宋体"/>
          <w:sz w:val="22"/>
        </w:rPr>
        <w:t>，技术骨干不得少于</w:t>
      </w:r>
      <w:r>
        <w:rPr>
          <w:rFonts w:ascii="宋体" w:hAnsi="宋体"/>
          <w:sz w:val="22"/>
        </w:rPr>
        <w:t>2</w:t>
      </w:r>
      <w:r>
        <w:rPr>
          <w:rFonts w:hint="eastAsia" w:ascii="宋体" w:hAnsi="宋体"/>
          <w:sz w:val="22"/>
        </w:rPr>
        <w:t>人（机械、电气各</w:t>
      </w:r>
      <w:r>
        <w:rPr>
          <w:rFonts w:ascii="宋体" w:hAnsi="宋体"/>
          <w:sz w:val="22"/>
        </w:rPr>
        <w:t>1</w:t>
      </w:r>
      <w:r>
        <w:rPr>
          <w:rFonts w:hint="eastAsia" w:ascii="宋体" w:hAnsi="宋体"/>
          <w:sz w:val="22"/>
        </w:rPr>
        <w:t>人）。</w:t>
      </w:r>
    </w:p>
    <w:p>
      <w:pPr>
        <w:spacing w:line="560" w:lineRule="exact"/>
        <w:ind w:firstLine="440" w:firstLineChars="200"/>
        <w:rPr>
          <w:rFonts w:ascii="宋体" w:hAnsi="宋体"/>
          <w:sz w:val="22"/>
        </w:rPr>
      </w:pPr>
      <w:r>
        <w:rPr>
          <w:rFonts w:ascii="宋体" w:hAnsi="宋体"/>
          <w:sz w:val="22"/>
        </w:rPr>
        <w:t>6.</w:t>
      </w:r>
      <w:r>
        <w:rPr>
          <w:rFonts w:hint="eastAsia" w:ascii="宋体" w:hAnsi="宋体"/>
          <w:sz w:val="22"/>
        </w:rPr>
        <w:t>9乙方工作人员必须接受甲方的监督，遵守甲方的各项规定，若有违反，甲方有权通知乙方整改。</w:t>
      </w:r>
    </w:p>
    <w:p>
      <w:pPr>
        <w:spacing w:line="560" w:lineRule="exact"/>
        <w:ind w:firstLine="440" w:firstLineChars="200"/>
        <w:rPr>
          <w:rFonts w:ascii="宋体" w:hAnsi="宋体"/>
          <w:sz w:val="22"/>
        </w:rPr>
      </w:pPr>
      <w:r>
        <w:rPr>
          <w:rFonts w:ascii="宋体" w:hAnsi="宋体"/>
          <w:sz w:val="22"/>
        </w:rPr>
        <w:t>6.1</w:t>
      </w:r>
      <w:r>
        <w:rPr>
          <w:rFonts w:hint="eastAsia" w:ascii="宋体" w:hAnsi="宋体"/>
          <w:sz w:val="22"/>
        </w:rPr>
        <w:t>0因乙方工作人员在工作中发生事故或违法行为，甲方因此遭受的损失的，甲方的全部损失由乙方承担。</w:t>
      </w:r>
    </w:p>
    <w:p>
      <w:pPr>
        <w:spacing w:line="560" w:lineRule="exact"/>
        <w:ind w:firstLine="440" w:firstLineChars="200"/>
        <w:rPr>
          <w:rFonts w:ascii="宋体" w:hAnsi="宋体"/>
          <w:sz w:val="22"/>
        </w:rPr>
      </w:pPr>
      <w:r>
        <w:rPr>
          <w:rFonts w:ascii="宋体" w:hAnsi="宋体"/>
          <w:sz w:val="22"/>
        </w:rPr>
        <w:t>6.1</w:t>
      </w:r>
      <w:r>
        <w:rPr>
          <w:rFonts w:hint="eastAsia" w:ascii="宋体" w:hAnsi="宋体"/>
          <w:sz w:val="22"/>
        </w:rPr>
        <w:t>1对乙方的工作人员，若在其工作期间发生以下情况，甲方有权要求撤换。</w:t>
      </w:r>
    </w:p>
    <w:p>
      <w:pPr>
        <w:numPr>
          <w:ilvl w:val="1"/>
          <w:numId w:val="37"/>
        </w:numPr>
        <w:spacing w:line="560" w:lineRule="exact"/>
        <w:rPr>
          <w:rFonts w:ascii="宋体" w:hAnsi="宋体"/>
          <w:sz w:val="22"/>
        </w:rPr>
      </w:pPr>
      <w:r>
        <w:rPr>
          <w:rFonts w:hint="eastAsia" w:ascii="宋体" w:hAnsi="宋体"/>
          <w:color w:val="000000"/>
          <w:sz w:val="22"/>
        </w:rPr>
        <w:t>有违法行为；</w:t>
      </w:r>
    </w:p>
    <w:p>
      <w:pPr>
        <w:numPr>
          <w:ilvl w:val="1"/>
          <w:numId w:val="37"/>
        </w:numPr>
        <w:spacing w:line="560" w:lineRule="exact"/>
        <w:rPr>
          <w:rFonts w:ascii="宋体" w:hAnsi="宋体"/>
          <w:color w:val="000000"/>
          <w:sz w:val="22"/>
        </w:rPr>
      </w:pPr>
      <w:r>
        <w:rPr>
          <w:rFonts w:hint="eastAsia" w:ascii="宋体" w:hAnsi="宋体"/>
          <w:color w:val="000000"/>
          <w:sz w:val="22"/>
        </w:rPr>
        <w:t>经甲方监督发现不能胜任本合同工作的；</w:t>
      </w:r>
    </w:p>
    <w:p>
      <w:pPr>
        <w:numPr>
          <w:ilvl w:val="1"/>
          <w:numId w:val="37"/>
        </w:numPr>
        <w:spacing w:line="560" w:lineRule="exact"/>
        <w:rPr>
          <w:rFonts w:ascii="宋体" w:hAnsi="宋体"/>
          <w:color w:val="000000"/>
          <w:sz w:val="22"/>
        </w:rPr>
      </w:pPr>
      <w:r>
        <w:rPr>
          <w:rFonts w:hint="eastAsia" w:ascii="宋体" w:hAnsi="宋体"/>
          <w:color w:val="000000"/>
          <w:sz w:val="22"/>
        </w:rPr>
        <w:t>违反甲方规章制度，影响空防安全及服务质量；</w:t>
      </w:r>
    </w:p>
    <w:p>
      <w:pPr>
        <w:numPr>
          <w:ilvl w:val="1"/>
          <w:numId w:val="37"/>
        </w:numPr>
        <w:spacing w:line="560" w:lineRule="exact"/>
        <w:rPr>
          <w:rFonts w:ascii="宋体" w:hAnsi="宋体"/>
          <w:color w:val="000000"/>
          <w:sz w:val="22"/>
        </w:rPr>
      </w:pPr>
      <w:r>
        <w:rPr>
          <w:rFonts w:hint="eastAsia" w:ascii="宋体" w:hAnsi="宋体"/>
          <w:color w:val="000000"/>
          <w:sz w:val="22"/>
        </w:rPr>
        <w:t>因其责任原因造成系统设备故障，影响航班运营。</w:t>
      </w:r>
    </w:p>
    <w:p>
      <w:pPr>
        <w:snapToGrid w:val="0"/>
        <w:spacing w:line="360" w:lineRule="exact"/>
        <w:ind w:firstLine="440" w:firstLineChars="200"/>
        <w:rPr>
          <w:rFonts w:ascii="宋体" w:hAnsi="宋体"/>
          <w:sz w:val="22"/>
        </w:rPr>
      </w:pPr>
    </w:p>
    <w:p>
      <w:pPr>
        <w:adjustRightInd w:val="0"/>
        <w:snapToGrid w:val="0"/>
        <w:spacing w:line="360" w:lineRule="exact"/>
        <w:ind w:firstLine="442" w:firstLineChars="200"/>
        <w:outlineLvl w:val="0"/>
        <w:rPr>
          <w:rFonts w:ascii="宋体" w:hAnsi="宋体"/>
          <w:b/>
          <w:sz w:val="22"/>
        </w:rPr>
      </w:pPr>
      <w:bookmarkStart w:id="38" w:name="_Toc422638519"/>
      <w:r>
        <w:rPr>
          <w:rFonts w:hint="eastAsia" w:ascii="宋体" w:hAnsi="宋体"/>
          <w:b/>
          <w:sz w:val="22"/>
        </w:rPr>
        <w:t>十三、违约责任</w:t>
      </w:r>
      <w:bookmarkEnd w:id="38"/>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甲方无正当理由拒收货物的，甲方向乙方偿付拒收货款总值的每日0.05%的违约金。</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甲方无故逾期验收和办理货款支付手续的,甲方应按逾期付款总额每日0.05%向乙方支付违约金。</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 xml:space="preserve">乙方逾期交付货物的未按甲方时间要求完成维修、更换调试的，乙方应按合同总额每日0.6%向甲方支付违约金，由甲方从货款中扣除。逾期超过约定日期10个工作日的，甲方可解除本合同。乙方因逾期交货或因其他违约行为导致甲方解除合同的，乙方应向甲方支付合同总价5%的违约金，如造成甲方损失超过违约金的，超出部分由乙方继续承担赔偿责任。 </w:t>
      </w:r>
    </w:p>
    <w:p>
      <w:pPr>
        <w:adjustRightInd w:val="0"/>
        <w:snapToGrid w:val="0"/>
        <w:spacing w:line="360" w:lineRule="exact"/>
        <w:ind w:firstLine="442" w:firstLineChars="200"/>
        <w:rPr>
          <w:rFonts w:ascii="宋体" w:hAnsi="宋体"/>
          <w:sz w:val="22"/>
        </w:rPr>
      </w:pPr>
      <w:r>
        <w:rPr>
          <w:rFonts w:hint="eastAsia" w:ascii="宋体" w:hAnsi="宋体"/>
          <w:b/>
          <w:sz w:val="22"/>
        </w:rPr>
        <w:t xml:space="preserve">4. </w:t>
      </w:r>
      <w:r>
        <w:rPr>
          <w:rFonts w:hint="eastAsia" w:ascii="宋体" w:hAnsi="宋体"/>
          <w:sz w:val="22"/>
        </w:rPr>
        <w:t>乙方所交的货物品种、型号、规格、技术参数、质量不符合合同规定及招标文件规定标准的，甲方有权拒收该货物，或要求乙方更换货物；乙方愿意更换货物但逾期交货的，按乙方逾期交货处理。乙方拒绝更换货物的，甲方可单方面解除合同。</w:t>
      </w:r>
      <w:r>
        <w:rPr>
          <w:rFonts w:hint="eastAsia" w:ascii="宋体" w:hAnsi="宋体"/>
          <w:sz w:val="22"/>
          <w:lang w:val="en-US" w:eastAsia="zh-CN"/>
        </w:rPr>
        <w:tab/>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因乙方提供货物质量问题或者维修、更换、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firstLine="442" w:firstLineChars="200"/>
        <w:rPr>
          <w:rFonts w:ascii="宋体" w:hAnsi="宋体"/>
          <w:sz w:val="22"/>
        </w:rPr>
      </w:pPr>
      <w:r>
        <w:rPr>
          <w:rFonts w:hint="eastAsia" w:ascii="宋体" w:hAnsi="宋体"/>
          <w:b/>
          <w:sz w:val="22"/>
        </w:rPr>
        <w:t>6.</w:t>
      </w:r>
      <w:r>
        <w:rPr>
          <w:rFonts w:hint="eastAsia" w:ascii="宋体" w:hAnsi="宋体"/>
          <w:sz w:val="22"/>
        </w:rPr>
        <w:t xml:space="preserve"> 乙方不在约定期限内派人维修或维修质量验收不合格的，甲方可以委托他人修理，费用由乙方承担，甲方与第三方确认后可直接从质保金中扣除。</w:t>
      </w:r>
    </w:p>
    <w:p>
      <w:pPr>
        <w:adjustRightInd w:val="0"/>
        <w:snapToGrid w:val="0"/>
        <w:spacing w:line="360" w:lineRule="exact"/>
        <w:ind w:firstLine="442" w:firstLineChars="200"/>
        <w:rPr>
          <w:rFonts w:ascii="宋体" w:hAnsi="宋体"/>
          <w:sz w:val="22"/>
        </w:rPr>
      </w:pPr>
      <w:r>
        <w:rPr>
          <w:rFonts w:hint="eastAsia" w:ascii="宋体" w:hAnsi="宋体"/>
          <w:b/>
          <w:sz w:val="22"/>
        </w:rPr>
        <w:t>7．</w:t>
      </w:r>
      <w:r>
        <w:rPr>
          <w:rFonts w:hint="eastAsia" w:ascii="宋体" w:hAnsi="宋体"/>
          <w:sz w:val="22"/>
        </w:rPr>
        <w:t>除本合同另有规定外，乙方违反其在本合同项下其他义务并给甲方造成损失的，须向甲方承担全部赔偿责任。</w:t>
      </w:r>
    </w:p>
    <w:p>
      <w:pPr>
        <w:adjustRightInd w:val="0"/>
        <w:snapToGrid w:val="0"/>
        <w:spacing w:line="360" w:lineRule="exact"/>
        <w:ind w:firstLine="442" w:firstLineChars="200"/>
        <w:rPr>
          <w:rFonts w:ascii="宋体" w:hAnsi="宋体" w:eastAsiaTheme="minorEastAsia"/>
          <w:b/>
          <w:bCs/>
          <w:sz w:val="22"/>
        </w:rPr>
      </w:pPr>
      <w:r>
        <w:rPr>
          <w:rFonts w:hint="eastAsia" w:ascii="宋体" w:hAnsi="宋体"/>
          <w:b/>
          <w:bCs/>
          <w:sz w:val="22"/>
        </w:rPr>
        <w:t>8.</w:t>
      </w:r>
      <w:r>
        <w:rPr>
          <w:rFonts w:hint="eastAsia" w:ascii="宋体" w:hAnsi="宋体"/>
          <w:sz w:val="22"/>
        </w:rPr>
        <w:t>乙方在质保期内不按双方约定要求提供服务，或因服务不到位等原因造成甲方损失的，相关损失均由乙方进行赔偿且由甲方扣除相应的质保金。</w:t>
      </w:r>
    </w:p>
    <w:p>
      <w:pPr>
        <w:adjustRightInd w:val="0"/>
        <w:snapToGrid w:val="0"/>
        <w:spacing w:line="360" w:lineRule="exact"/>
        <w:ind w:firstLine="442" w:firstLineChars="200"/>
        <w:outlineLvl w:val="0"/>
        <w:rPr>
          <w:rFonts w:ascii="宋体" w:hAnsi="宋体"/>
          <w:b/>
          <w:sz w:val="22"/>
        </w:rPr>
      </w:pPr>
      <w:bookmarkStart w:id="39" w:name="_Toc422638520"/>
      <w:r>
        <w:rPr>
          <w:rFonts w:hint="eastAsia" w:ascii="宋体" w:hAnsi="宋体"/>
          <w:b/>
          <w:sz w:val="22"/>
        </w:rPr>
        <w:t>十四、不可抗力事件处理</w:t>
      </w:r>
      <w:bookmarkEnd w:id="39"/>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在合同有效期内，任何一方因不可抗力事件导致不能履行合同，则合同履行期可延长，其延长期与不可抗力影响期相同。</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 xml:space="preserve"> 不可抗力事件发生后，遭遇不可抗力的一方应立即通知对方，并寄送有关官方权威机构出具的证明。</w:t>
      </w:r>
    </w:p>
    <w:p>
      <w:pPr>
        <w:snapToGrid w:val="0"/>
        <w:spacing w:line="360" w:lineRule="exact"/>
        <w:ind w:firstLine="442" w:firstLineChars="200"/>
        <w:rPr>
          <w:rFonts w:ascii="宋体" w:hAnsi="宋体"/>
          <w:sz w:val="22"/>
        </w:rPr>
      </w:pPr>
      <w:r>
        <w:rPr>
          <w:rFonts w:hint="eastAsia" w:ascii="宋体" w:hAnsi="宋体"/>
          <w:b/>
          <w:sz w:val="22"/>
        </w:rPr>
        <w:t xml:space="preserve">3. </w:t>
      </w:r>
      <w:r>
        <w:rPr>
          <w:rFonts w:hint="eastAsia" w:ascii="宋体" w:hAnsi="宋体"/>
          <w:sz w:val="22"/>
        </w:rPr>
        <w:t>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2" w:firstLineChars="200"/>
        <w:rPr>
          <w:rFonts w:ascii="宋体" w:hAnsi="宋体"/>
          <w:b/>
          <w:sz w:val="22"/>
        </w:rPr>
      </w:pPr>
      <w:r>
        <w:rPr>
          <w:rFonts w:hint="eastAsia" w:ascii="宋体" w:hAnsi="宋体"/>
          <w:b/>
          <w:sz w:val="22"/>
        </w:rPr>
        <w:t>十五、争议解决</w:t>
      </w:r>
    </w:p>
    <w:p>
      <w:pPr>
        <w:adjustRightInd w:val="0"/>
        <w:snapToGrid w:val="0"/>
        <w:spacing w:line="360" w:lineRule="exact"/>
        <w:ind w:firstLine="440" w:firstLineChars="200"/>
        <w:rPr>
          <w:rFonts w:ascii="宋体" w:hAnsi="宋体"/>
          <w:sz w:val="22"/>
        </w:rPr>
      </w:pPr>
      <w:r>
        <w:rPr>
          <w:rFonts w:hint="eastAsia" w:ascii="宋体" w:hAnsi="宋体"/>
          <w:sz w:val="22"/>
        </w:rPr>
        <w:t>双方在执行合同中所发生的一切争议，应通过协商解决。如协商不成，由甲方所在地的人民法院管辖审理。</w:t>
      </w:r>
    </w:p>
    <w:p>
      <w:pPr>
        <w:adjustRightInd w:val="0"/>
        <w:snapToGrid w:val="0"/>
        <w:spacing w:line="360" w:lineRule="exact"/>
        <w:ind w:firstLine="442" w:firstLineChars="200"/>
        <w:rPr>
          <w:rFonts w:ascii="宋体" w:hAnsi="宋体"/>
          <w:b/>
          <w:sz w:val="22"/>
        </w:rPr>
      </w:pPr>
      <w:r>
        <w:rPr>
          <w:rFonts w:hint="eastAsia" w:ascii="宋体" w:hAnsi="宋体"/>
          <w:b/>
          <w:sz w:val="22"/>
        </w:rPr>
        <w:t>十六、合同组成文件包含下列内容，合同与招投标文件不一致解释顺序如下：</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本合同协议书</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中标通知书</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投标书及其附件</w:t>
      </w:r>
    </w:p>
    <w:p>
      <w:pPr>
        <w:adjustRightInd w:val="0"/>
        <w:snapToGrid w:val="0"/>
        <w:spacing w:line="360" w:lineRule="exact"/>
        <w:ind w:firstLine="442" w:firstLineChars="200"/>
        <w:rPr>
          <w:rFonts w:ascii="宋体" w:hAnsi="宋体"/>
          <w:sz w:val="22"/>
        </w:rPr>
      </w:pPr>
      <w:r>
        <w:rPr>
          <w:rFonts w:hint="eastAsia" w:ascii="宋体" w:hAnsi="宋体"/>
          <w:b/>
          <w:sz w:val="22"/>
        </w:rPr>
        <w:t>4.</w:t>
      </w:r>
      <w:r>
        <w:rPr>
          <w:rFonts w:hint="eastAsia" w:ascii="宋体" w:hAnsi="宋体"/>
          <w:sz w:val="22"/>
        </w:rPr>
        <w:t>招标文件</w:t>
      </w:r>
    </w:p>
    <w:p>
      <w:pPr>
        <w:adjustRightInd w:val="0"/>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标准、规范及有关技术文件</w:t>
      </w:r>
    </w:p>
    <w:p>
      <w:pPr>
        <w:adjustRightInd w:val="0"/>
        <w:snapToGrid w:val="0"/>
        <w:spacing w:line="360" w:lineRule="exact"/>
        <w:ind w:firstLine="442" w:firstLineChars="200"/>
        <w:outlineLvl w:val="0"/>
        <w:rPr>
          <w:rFonts w:ascii="宋体" w:hAnsi="宋体"/>
          <w:b/>
          <w:sz w:val="22"/>
        </w:rPr>
      </w:pPr>
      <w:bookmarkStart w:id="40" w:name="_Toc422638521"/>
      <w:r>
        <w:rPr>
          <w:rFonts w:hint="eastAsia" w:ascii="宋体" w:hAnsi="宋体"/>
          <w:b/>
          <w:sz w:val="22"/>
        </w:rPr>
        <w:t>十七、合同生效及其它</w:t>
      </w:r>
      <w:bookmarkEnd w:id="40"/>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sz w:val="22"/>
        </w:rPr>
        <w:t xml:space="preserve"> 合同经双方法定代表人或授权代表签字并加盖单位公章之日起生效。</w:t>
      </w:r>
    </w:p>
    <w:p>
      <w:pPr>
        <w:adjustRightInd w:val="0"/>
        <w:snapToGrid w:val="0"/>
        <w:spacing w:line="360" w:lineRule="exact"/>
        <w:ind w:firstLine="442" w:firstLineChars="200"/>
        <w:rPr>
          <w:rFonts w:ascii="宋体" w:hAnsi="宋体"/>
          <w:sz w:val="22"/>
        </w:rPr>
      </w:pPr>
      <w:r>
        <w:rPr>
          <w:rFonts w:hint="eastAsia" w:ascii="宋体" w:hAnsi="宋体"/>
          <w:b/>
          <w:sz w:val="22"/>
        </w:rPr>
        <w:t>2.</w:t>
      </w:r>
      <w:r>
        <w:rPr>
          <w:rFonts w:hint="eastAsia" w:ascii="宋体" w:hAnsi="宋体"/>
          <w:sz w:val="22"/>
        </w:rPr>
        <w:t>本合同未尽事宜，双方可签订补充协议予以执行；未达成补充协议的，遵照《合同法》及有关法律法规执行。</w:t>
      </w:r>
    </w:p>
    <w:p>
      <w:pPr>
        <w:tabs>
          <w:tab w:val="right" w:pos="8306"/>
        </w:tabs>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本合同一式陆份，甲执四份，乙方持二份，具有同等法律效力。</w:t>
      </w:r>
    </w:p>
    <w:p>
      <w:pPr>
        <w:tabs>
          <w:tab w:val="right" w:pos="8306"/>
        </w:tabs>
        <w:adjustRightInd w:val="0"/>
        <w:snapToGrid w:val="0"/>
        <w:spacing w:line="360" w:lineRule="exact"/>
        <w:ind w:firstLine="440" w:firstLineChars="200"/>
        <w:jc w:val="left"/>
        <w:rPr>
          <w:rFonts w:ascii="宋体" w:hAnsi="宋体"/>
          <w:sz w:val="22"/>
        </w:rPr>
      </w:pPr>
      <w:r>
        <w:rPr>
          <w:rFonts w:hint="eastAsia" w:ascii="宋体" w:hAnsi="宋体"/>
          <w:sz w:val="22"/>
        </w:rPr>
        <w:tab/>
      </w:r>
    </w:p>
    <w:p>
      <w:pPr>
        <w:tabs>
          <w:tab w:val="right" w:pos="8306"/>
        </w:tabs>
        <w:adjustRightInd w:val="0"/>
        <w:snapToGrid w:val="0"/>
        <w:spacing w:line="360" w:lineRule="exact"/>
        <w:ind w:firstLine="440" w:firstLineChars="200"/>
        <w:jc w:val="left"/>
        <w:rPr>
          <w:rFonts w:ascii="宋体" w:hAnsi="宋体"/>
          <w:sz w:val="22"/>
        </w:rPr>
      </w:pPr>
    </w:p>
    <w:p>
      <w:pPr>
        <w:tabs>
          <w:tab w:val="right" w:pos="8306"/>
        </w:tabs>
        <w:adjustRightInd w:val="0"/>
        <w:snapToGrid w:val="0"/>
        <w:spacing w:line="360" w:lineRule="exact"/>
        <w:ind w:firstLine="440" w:firstLineChars="200"/>
        <w:jc w:val="left"/>
        <w:rPr>
          <w:rFonts w:ascii="宋体" w:hAnsi="宋体"/>
          <w:sz w:val="22"/>
        </w:rPr>
      </w:pPr>
    </w:p>
    <w:p>
      <w:pPr>
        <w:adjustRightInd w:val="0"/>
        <w:snapToGrid w:val="0"/>
        <w:spacing w:line="360" w:lineRule="exact"/>
        <w:jc w:val="left"/>
        <w:rPr>
          <w:rFonts w:ascii="宋体" w:hAnsi="宋体"/>
          <w:sz w:val="22"/>
        </w:rPr>
      </w:pPr>
      <w:r>
        <w:rPr>
          <w:rFonts w:hint="eastAsia" w:ascii="宋体" w:hAnsi="宋体"/>
          <w:sz w:val="22"/>
        </w:rPr>
        <w:t xml:space="preserve">甲方：杭州萧山国际机场有限公司            乙方： </w:t>
      </w:r>
    </w:p>
    <w:p>
      <w:pPr>
        <w:adjustRightInd w:val="0"/>
        <w:snapToGrid w:val="0"/>
        <w:spacing w:line="360" w:lineRule="exact"/>
        <w:ind w:left="6750" w:hanging="6750"/>
        <w:jc w:val="left"/>
        <w:rPr>
          <w:rFonts w:ascii="宋体" w:hAnsi="宋体"/>
          <w:sz w:val="22"/>
        </w:rPr>
      </w:pPr>
      <w:r>
        <w:rPr>
          <w:rFonts w:hint="eastAsia" w:ascii="宋体" w:hAnsi="宋体"/>
          <w:sz w:val="22"/>
        </w:rPr>
        <w:t xml:space="preserve">地址：杭州萧山国际机场内                  地址： </w:t>
      </w:r>
    </w:p>
    <w:p>
      <w:pPr>
        <w:adjustRightInd w:val="0"/>
        <w:snapToGrid w:val="0"/>
        <w:spacing w:line="360" w:lineRule="exact"/>
        <w:ind w:left="6750" w:hanging="6750"/>
        <w:jc w:val="left"/>
        <w:rPr>
          <w:rFonts w:ascii="宋体" w:hAnsi="宋体"/>
          <w:sz w:val="22"/>
        </w:rPr>
      </w:pPr>
    </w:p>
    <w:p>
      <w:pPr>
        <w:adjustRightInd w:val="0"/>
        <w:snapToGrid w:val="0"/>
        <w:spacing w:line="360" w:lineRule="exact"/>
        <w:jc w:val="left"/>
        <w:rPr>
          <w:rFonts w:ascii="宋体" w:hAnsi="宋体"/>
          <w:sz w:val="22"/>
        </w:rPr>
      </w:pPr>
      <w:r>
        <w:rPr>
          <w:rFonts w:hint="eastAsia" w:ascii="宋体" w:hAnsi="宋体"/>
          <w:sz w:val="22"/>
        </w:rPr>
        <w:t>法定代表人（签字）：                       法定代表人（签字）：</w:t>
      </w:r>
    </w:p>
    <w:p>
      <w:pPr>
        <w:adjustRightInd w:val="0"/>
        <w:snapToGrid w:val="0"/>
        <w:spacing w:line="360" w:lineRule="exact"/>
        <w:jc w:val="left"/>
        <w:rPr>
          <w:rFonts w:ascii="宋体" w:hAnsi="宋体"/>
          <w:sz w:val="22"/>
        </w:rPr>
      </w:pPr>
      <w:r>
        <w:rPr>
          <w:rFonts w:hint="eastAsia" w:ascii="宋体" w:hAnsi="宋体"/>
          <w:sz w:val="22"/>
        </w:rPr>
        <w:t>或                                        或</w:t>
      </w:r>
    </w:p>
    <w:p>
      <w:pPr>
        <w:adjustRightInd w:val="0"/>
        <w:snapToGrid w:val="0"/>
        <w:spacing w:line="360" w:lineRule="exact"/>
        <w:jc w:val="left"/>
        <w:rPr>
          <w:rFonts w:ascii="宋体" w:hAnsi="宋体"/>
          <w:sz w:val="22"/>
        </w:rPr>
      </w:pPr>
      <w:r>
        <w:rPr>
          <w:rFonts w:hint="eastAsia" w:ascii="宋体" w:hAnsi="宋体"/>
          <w:sz w:val="22"/>
        </w:rPr>
        <w:t>授权代表（签字）：                         授权代表（签字）：</w:t>
      </w:r>
    </w:p>
    <w:p>
      <w:pPr>
        <w:adjustRightInd w:val="0"/>
        <w:snapToGrid w:val="0"/>
        <w:spacing w:line="360" w:lineRule="exact"/>
        <w:jc w:val="left"/>
        <w:rPr>
          <w:rFonts w:ascii="宋体" w:hAnsi="宋体"/>
          <w:b/>
          <w:sz w:val="22"/>
        </w:rPr>
      </w:pPr>
      <w:r>
        <w:rPr>
          <w:rFonts w:hint="eastAsia" w:ascii="宋体" w:hAnsi="宋体"/>
          <w:sz w:val="22"/>
        </w:rPr>
        <w:t xml:space="preserve">签字日期：                                签字日期： </w:t>
      </w:r>
    </w:p>
    <w:p>
      <w:pPr>
        <w:adjustRightInd w:val="0"/>
        <w:snapToGrid w:val="0"/>
        <w:spacing w:line="360" w:lineRule="exact"/>
        <w:ind w:firstLine="440" w:firstLineChars="200"/>
        <w:jc w:val="left"/>
        <w:rPr>
          <w:rFonts w:ascii="宋体" w:hAnsi="宋体"/>
          <w:b/>
          <w:sz w:val="22"/>
        </w:rPr>
      </w:pPr>
      <w:r>
        <w:rPr>
          <w:rFonts w:hint="eastAsia" w:ascii="宋体" w:hAnsi="宋体"/>
          <w:sz w:val="22"/>
        </w:rPr>
        <w:t>年  月  日                              年  月  日</w:t>
      </w:r>
    </w:p>
    <w:p>
      <w:pPr>
        <w:snapToGrid w:val="0"/>
        <w:spacing w:line="360" w:lineRule="exact"/>
        <w:ind w:firstLine="440" w:firstLineChars="200"/>
        <w:jc w:val="left"/>
        <w:rPr>
          <w:rFonts w:ascii="宋体" w:hAnsi="宋体"/>
          <w:sz w:val="22"/>
        </w:rPr>
      </w:pPr>
    </w:p>
    <w:p>
      <w:pPr>
        <w:snapToGrid w:val="0"/>
        <w:spacing w:line="360" w:lineRule="exact"/>
        <w:ind w:firstLine="440" w:firstLineChars="200"/>
        <w:jc w:val="left"/>
        <w:rPr>
          <w:rFonts w:ascii="宋体" w:hAnsi="宋体"/>
          <w:sz w:val="22"/>
        </w:rPr>
      </w:pPr>
    </w:p>
    <w:p>
      <w:pPr>
        <w:widowControl/>
        <w:jc w:val="left"/>
        <w:rPr>
          <w:rFonts w:ascii="Cambria" w:hAnsi="Cambria" w:eastAsia="黑体"/>
          <w:b/>
          <w:bCs/>
          <w:kern w:val="0"/>
          <w:sz w:val="32"/>
          <w:szCs w:val="32"/>
        </w:rPr>
      </w:pPr>
    </w:p>
    <w:p>
      <w:pPr>
        <w:pStyle w:val="78"/>
      </w:pPr>
    </w:p>
    <w:p>
      <w:pPr>
        <w:pStyle w:val="78"/>
      </w:pPr>
    </w:p>
    <w:p>
      <w:pPr>
        <w:pStyle w:val="78"/>
      </w:pPr>
    </w:p>
    <w:p>
      <w:pPr>
        <w:pStyle w:val="78"/>
      </w:pPr>
    </w:p>
    <w:p>
      <w:pPr>
        <w:pStyle w:val="78"/>
      </w:pPr>
    </w:p>
    <w:p>
      <w:pPr>
        <w:widowControl/>
        <w:jc w:val="left"/>
        <w:rPr>
          <w:rFonts w:ascii="Cambria" w:hAnsi="Cambria" w:eastAsia="黑体"/>
          <w:b/>
          <w:bCs/>
          <w:kern w:val="0"/>
          <w:sz w:val="32"/>
          <w:szCs w:val="32"/>
        </w:rPr>
      </w:pPr>
    </w:p>
    <w:p>
      <w:pPr>
        <w:pStyle w:val="78"/>
        <w:rPr>
          <w:rFonts w:ascii="宋体" w:hAnsi="宋体" w:cs="宋体"/>
          <w:sz w:val="22"/>
        </w:rPr>
        <w:sectPr>
          <w:pgSz w:w="12240" w:h="15840"/>
          <w:pgMar w:top="1400" w:right="1680" w:bottom="1120" w:left="1580" w:header="0" w:footer="921" w:gutter="0"/>
          <w:cols w:space="720" w:num="1"/>
        </w:sectPr>
      </w:pPr>
    </w:p>
    <w:p>
      <w:pPr>
        <w:adjustRightInd w:val="0"/>
        <w:snapToGrid w:val="0"/>
        <w:spacing w:line="360" w:lineRule="exact"/>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b w:val="0"/>
          <w:bCs w:val="0"/>
        </w:rPr>
      </w:pPr>
      <w:r>
        <w:rPr>
          <w:rFonts w:ascii="宋体" w:hAnsi="宋体" w:cs="宋体"/>
          <w:szCs w:val="21"/>
        </w:rPr>
        <w:br w:type="page"/>
      </w:r>
      <w:bookmarkStart w:id="41" w:name="_Toc19698501"/>
      <w:r>
        <w:rPr>
          <w:rFonts w:hint="eastAsia"/>
          <w:b w:val="0"/>
          <w:bCs w:val="0"/>
        </w:rPr>
        <w:t>第五章</w:t>
      </w:r>
      <w:r>
        <w:rPr>
          <w:b w:val="0"/>
          <w:bCs w:val="0"/>
        </w:rPr>
        <w:t xml:space="preserve">  </w:t>
      </w:r>
      <w:r>
        <w:rPr>
          <w:rFonts w:hint="eastAsia"/>
          <w:b w:val="0"/>
          <w:bCs w:val="0"/>
        </w:rPr>
        <w:t>用户需求书</w:t>
      </w:r>
      <w:bookmarkEnd w:id="41"/>
    </w:p>
    <w:p>
      <w:pPr>
        <w:pStyle w:val="78"/>
        <w:jc w:val="both"/>
      </w:pPr>
      <w:r>
        <w:rPr>
          <w:rFonts w:hint="eastAsia"/>
        </w:rPr>
        <w:t>服务技术标准及要求</w:t>
      </w:r>
    </w:p>
    <w:p>
      <w:pPr>
        <w:numPr>
          <w:ilvl w:val="255"/>
          <w:numId w:val="0"/>
        </w:numPr>
        <w:rPr>
          <w:b/>
          <w:bCs/>
        </w:rPr>
      </w:pPr>
      <w:r>
        <w:rPr>
          <w:rFonts w:hint="eastAsia"/>
          <w:b/>
          <w:bCs/>
        </w:rPr>
        <w:t>一、货物总量及规格型号</w:t>
      </w:r>
    </w:p>
    <w:tbl>
      <w:tblPr>
        <w:tblStyle w:val="89"/>
        <w:tblW w:w="10147" w:type="dxa"/>
        <w:tblInd w:w="-576" w:type="dxa"/>
        <w:tblLayout w:type="fixed"/>
        <w:tblCellMar>
          <w:top w:w="0" w:type="dxa"/>
          <w:left w:w="108" w:type="dxa"/>
          <w:bottom w:w="0" w:type="dxa"/>
          <w:right w:w="108" w:type="dxa"/>
        </w:tblCellMar>
      </w:tblPr>
      <w:tblGrid>
        <w:gridCol w:w="570"/>
        <w:gridCol w:w="585"/>
        <w:gridCol w:w="2415"/>
        <w:gridCol w:w="2160"/>
        <w:gridCol w:w="2580"/>
        <w:gridCol w:w="660"/>
        <w:gridCol w:w="1177"/>
      </w:tblGrid>
      <w:tr>
        <w:tblPrEx>
          <w:tblLayout w:type="fixed"/>
          <w:tblCellMar>
            <w:top w:w="0" w:type="dxa"/>
            <w:left w:w="108" w:type="dxa"/>
            <w:bottom w:w="0" w:type="dxa"/>
            <w:right w:w="108" w:type="dxa"/>
          </w:tblCellMar>
        </w:tblPrEx>
        <w:trPr>
          <w:trHeight w:val="402"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58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位置</w:t>
            </w:r>
          </w:p>
        </w:tc>
        <w:tc>
          <w:tcPr>
            <w:tcW w:w="241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名称</w:t>
            </w:r>
          </w:p>
        </w:tc>
        <w:tc>
          <w:tcPr>
            <w:tcW w:w="216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型号/规格</w:t>
            </w:r>
          </w:p>
        </w:tc>
        <w:tc>
          <w:tcPr>
            <w:tcW w:w="258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品牌/产地</w:t>
            </w:r>
          </w:p>
        </w:tc>
        <w:tc>
          <w:tcPr>
            <w:tcW w:w="66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单位</w:t>
            </w:r>
          </w:p>
        </w:tc>
        <w:tc>
          <w:tcPr>
            <w:tcW w:w="1177"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Arial"/>
                <w:b/>
                <w:bCs/>
                <w:sz w:val="20"/>
                <w:szCs w:val="20"/>
              </w:rPr>
            </w:pPr>
            <w:r>
              <w:rPr>
                <w:rFonts w:hint="eastAsia" w:ascii="宋体" w:hAnsi="宋体" w:cs="宋体"/>
                <w:color w:val="000000"/>
                <w:kern w:val="0"/>
                <w:sz w:val="20"/>
                <w:szCs w:val="20"/>
              </w:rPr>
              <w:t>数量</w:t>
            </w:r>
          </w:p>
        </w:tc>
      </w:tr>
      <w:tr>
        <w:tblPrEx>
          <w:tblLayout w:type="fixed"/>
          <w:tblCellMar>
            <w:top w:w="0" w:type="dxa"/>
            <w:left w:w="108" w:type="dxa"/>
            <w:bottom w:w="0" w:type="dxa"/>
            <w:right w:w="108" w:type="dxa"/>
          </w:tblCellMar>
        </w:tblPrEx>
        <w:trPr>
          <w:trHeight w:val="387"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值机岛</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值机岛电机辊筒</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英特诺</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值机岛收集带电机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SA77/T DV112M/4BMG 4KW</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操作显示面板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 S/N 337334 PA2011-F248</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旅客显示面板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磅秤传感线</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ATRAX</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6</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脚踏开关</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施奈德/卡固</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7</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输送机滚筒</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驱动辊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Φ50/232*1040RL包胶</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8</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张紧辊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Φ35/140*1030RL</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改向辊/调节辊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Φ30/102*1030RL</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10</w:t>
            </w:r>
          </w:p>
        </w:tc>
        <w:tc>
          <w:tcPr>
            <w:tcW w:w="585" w:type="dxa"/>
            <w:vMerge w:val="continue"/>
            <w:tcBorders>
              <w:left w:val="nil"/>
              <w:right w:val="single" w:color="auto" w:sz="4" w:space="0"/>
            </w:tcBorders>
            <w:shd w:val="clear" w:color="auto" w:fill="auto"/>
            <w:vAlign w:val="center"/>
          </w:tcPr>
          <w:p>
            <w:pPr>
              <w:jc w:val="center"/>
              <w:rPr>
                <w:rFonts w:ascii="宋体" w:hAnsi="宋体" w:cs="Arial"/>
                <w:color w:val="000000"/>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sz w:val="20"/>
                <w:szCs w:val="20"/>
              </w:rPr>
            </w:pPr>
            <w:r>
              <w:rPr>
                <w:rFonts w:hint="eastAsia" w:ascii="宋体" w:hAnsi="宋体" w:cs="宋体"/>
                <w:color w:val="000000"/>
                <w:kern w:val="0"/>
                <w:sz w:val="20"/>
                <w:szCs w:val="20"/>
              </w:rPr>
              <w:t>头尾辊</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color w:val="000000"/>
                <w:sz w:val="20"/>
                <w:szCs w:val="20"/>
              </w:rPr>
            </w:pPr>
            <w:r>
              <w:rPr>
                <w:rFonts w:hint="eastAsia" w:ascii="宋体" w:hAnsi="宋体" w:cs="宋体"/>
                <w:color w:val="000000"/>
                <w:kern w:val="0"/>
                <w:sz w:val="20"/>
                <w:szCs w:val="20"/>
              </w:rPr>
              <w:t>Φ35/140*910RL</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锥形 小头驱动辊 （拐弯段）</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锥形小头驱动辊</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锥形 大头驱动辊 （拐弯段）</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锥形大头驱动辊</w:t>
            </w:r>
          </w:p>
        </w:tc>
        <w:tc>
          <w:tcPr>
            <w:tcW w:w="2580" w:type="dxa"/>
            <w:tcBorders>
              <w:top w:val="nil"/>
              <w:left w:val="nil"/>
              <w:bottom w:val="nil"/>
              <w:right w:val="nil"/>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13</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托辊</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根</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312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14</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黑体" w:hAnsi="宋体" w:eastAsia="黑体" w:cs="黑体"/>
                <w:color w:val="000000"/>
                <w:kern w:val="0"/>
                <w:sz w:val="20"/>
                <w:szCs w:val="20"/>
              </w:rPr>
              <w:t>皮带</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皮带 950mm平面</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皮带 950mm平面</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艾艾</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米</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15</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皮带 950mm花纹</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皮带 950mm带链条</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艾艾</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米</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16</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90°皮带（转弯机)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90°带链条拐弯皮带</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艾艾</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条</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17</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轴承</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拐弯段 6204包胶导轮</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导轮</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95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18</w:t>
            </w:r>
          </w:p>
        </w:tc>
        <w:tc>
          <w:tcPr>
            <w:tcW w:w="585" w:type="dxa"/>
            <w:vMerge w:val="continue"/>
            <w:tcBorders>
              <w:left w:val="nil"/>
              <w:right w:val="single" w:color="auto" w:sz="4" w:space="0"/>
            </w:tcBorders>
            <w:shd w:val="clear" w:color="auto" w:fill="auto"/>
            <w:vAlign w:val="center"/>
          </w:tcPr>
          <w:p>
            <w:pPr>
              <w:jc w:val="center"/>
              <w:rPr>
                <w:rFonts w:ascii="Tahoma" w:hAnsi="Tahoma" w:cs="Tahoma"/>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除锈剂（清洗轴承）</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58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箱</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19</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黄油</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耐高温 18KG</w:t>
            </w:r>
          </w:p>
        </w:tc>
        <w:tc>
          <w:tcPr>
            <w:tcW w:w="258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桶</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20</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转盘</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转盘驱动部包胶轮</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摩擦式转盘驱动包胶轮</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小车轮子 X6203-2Z包胶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导轮X6203-2Z包胶</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3000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新式转盘驱动部摩擦式皮带</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PGL 12PL 3696</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PGL</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条</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摩擦式转盘亚光叶片（亚光鳞片板）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出港</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片</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摩擦式转盘亚光叶片（亚光鳞片板）</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到港</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按图纸定制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片</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25</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Arial" w:hAnsi="Arial" w:cs="Arial"/>
                <w:sz w:val="20"/>
                <w:szCs w:val="20"/>
              </w:rPr>
            </w:pPr>
            <w:r>
              <w:rPr>
                <w:rFonts w:hint="eastAsia" w:ascii="宋体" w:hAnsi="宋体" w:cs="宋体"/>
                <w:color w:val="000000"/>
                <w:kern w:val="0"/>
                <w:sz w:val="20"/>
                <w:szCs w:val="20"/>
              </w:rPr>
              <w:t>转盘蜂鸣器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Q-Light Q70L-BZ-24 DC24V Current.0.03A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Q-Light</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26</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防火门</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卷帘门技改</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r>
              <w:rPr>
                <w:rFonts w:hint="eastAsia" w:ascii="Tahoma" w:hAnsi="Tahoma" w:cs="Tahoma"/>
                <w:sz w:val="20"/>
                <w:szCs w:val="20"/>
              </w:rPr>
              <w:t>更换</w:t>
            </w:r>
            <w:r>
              <w:rPr>
                <w:rFonts w:hint="eastAsia" w:ascii="宋体" w:hAnsi="宋体" w:cs="宋体"/>
                <w:color w:val="000000"/>
                <w:kern w:val="0"/>
                <w:sz w:val="20"/>
                <w:szCs w:val="20"/>
              </w:rPr>
              <w:t>卷帘</w:t>
            </w:r>
          </w:p>
        </w:tc>
        <w:tc>
          <w:tcPr>
            <w:tcW w:w="258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套</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27</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卷帘门电机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FJJ343-3P-(ALAND)</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ALAND</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套</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28</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电机</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变速箱专用油</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壳牌 680#  18升</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壳牌</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桶</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29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电机2.2KW（转盘电机）</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2.2KW  型号：K77 DV100M4 2.2KW 50HZ IP55 S1 380V AC参考序列号25.36003912.01.001.13.53</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30</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电机1.1KW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SA47/TDRM80M4 1.1KW</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 0.75KW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0.75KW S67 DT80N4/BMG/HF</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 0.75KW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SEW SA57/T DT80N4/BMG/MM07</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电机3.0KW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2"/>
              </w:rPr>
              <w:t>3.0KW SA77/T DV100L4</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电机1.5KW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2"/>
              </w:rPr>
              <w:t>1.5KW  SA67 DT90LA/BMG</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35</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电机2.2KW</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2"/>
              </w:rPr>
              <w:t>2.2KW SA67/T DV100M4/BMG</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36</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电机维修</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r>
              <w:rPr>
                <w:rFonts w:hint="eastAsia" w:ascii="Tahoma" w:hAnsi="Tahoma" w:cs="Tahoma"/>
                <w:sz w:val="20"/>
                <w:szCs w:val="20"/>
              </w:rPr>
              <w:t>更换密封圈或轴承等</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SEW</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50</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37</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电柜</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变频器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Danfoss   VLT 2800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Danfoss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38</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SIMATIC ET200M/LINK  IM 153-2</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 xml:space="preserve">SIEMENS </w:t>
            </w:r>
            <w:r>
              <w:rPr>
                <w:rStyle w:val="1854"/>
                <w:rFonts w:ascii="宋体" w:hAnsi="宋体" w:cs="宋体"/>
                <w:sz w:val="24"/>
                <w:szCs w:val="24"/>
              </w:rPr>
              <w:t>6ES7153-2BA02-0XB0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39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DI16xDC24</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 xml:space="preserve">SIEMENS  </w:t>
            </w:r>
            <w:r>
              <w:rPr>
                <w:rStyle w:val="1854"/>
                <w:rFonts w:ascii="宋体" w:hAnsi="宋体" w:cs="宋体"/>
                <w:sz w:val="24"/>
                <w:szCs w:val="24"/>
              </w:rPr>
              <w:t>6ES7321-1BH02-0AA0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40</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DI32xDC24V模块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SIEMENS</w:t>
            </w:r>
            <w:r>
              <w:rPr>
                <w:rStyle w:val="1854"/>
                <w:rFonts w:ascii="宋体" w:hAnsi="宋体" w:cs="宋体"/>
                <w:sz w:val="24"/>
                <w:szCs w:val="24"/>
              </w:rPr>
              <w:t xml:space="preserve">  6ES7321-1BL00-0AA0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Fonts w:hint="eastAsia" w:ascii="宋体" w:hAnsi="宋体" w:cs="宋体"/>
                <w:color w:val="000000"/>
                <w:kern w:val="0"/>
                <w:sz w:val="20"/>
                <w:szCs w:val="20"/>
              </w:rPr>
              <w:t>备份电池</w:t>
            </w:r>
            <w:r>
              <w:rPr>
                <w:rStyle w:val="1855"/>
              </w:rPr>
              <w:t>,3.6 V/1.9 AH</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6ES7  971-0BA00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255"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D032xDC24V/0.5A模块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SIEMENS</w:t>
            </w:r>
            <w:r>
              <w:rPr>
                <w:rStyle w:val="1854"/>
                <w:rFonts w:ascii="宋体" w:hAnsi="宋体" w:cs="宋体"/>
                <w:sz w:val="24"/>
                <w:szCs w:val="24"/>
              </w:rPr>
              <w:t xml:space="preserve">  317-2AK14-OABO</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D016xDC24V/0.5A模块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SIEMENS  343-1EX30-OXEO</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44</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PS 307 电源，</w:t>
            </w:r>
            <w:r>
              <w:rPr>
                <w:rStyle w:val="1854"/>
                <w:rFonts w:ascii="宋体" w:hAnsi="宋体" w:cs="宋体"/>
                <w:sz w:val="24"/>
                <w:szCs w:val="24"/>
              </w:rPr>
              <w:t xml:space="preserve"> 5A</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SIEMENS</w:t>
            </w:r>
            <w:r>
              <w:rPr>
                <w:rStyle w:val="1854"/>
                <w:rFonts w:ascii="宋体" w:hAnsi="宋体" w:cs="宋体"/>
                <w:sz w:val="24"/>
                <w:szCs w:val="24"/>
              </w:rPr>
              <w:t xml:space="preserve">  6ES7307-1EA01-0AA0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72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45</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OUTPU DC24V/20A  电源模块</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Style w:val="1853"/>
                <w:rFonts w:hint="default"/>
              </w:rPr>
              <w:t>SIEMENS</w:t>
            </w:r>
            <w:r>
              <w:rPr>
                <w:rStyle w:val="1854"/>
                <w:rFonts w:ascii="宋体" w:hAnsi="宋体" w:cs="宋体"/>
                <w:sz w:val="24"/>
                <w:szCs w:val="24"/>
              </w:rPr>
              <w:t xml:space="preserve">  6EP1436-3BA00</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SIEMENS</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46</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GV2-ME06C/1-1.6A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144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47</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GV2-ME07C/1.6-2.5A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48</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GV2-ME08C/2.5-4A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35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49</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Tahoma" w:hAnsi="Tahoma" w:cs="Tahoma"/>
                <w:sz w:val="20"/>
                <w:szCs w:val="20"/>
              </w:rPr>
            </w:pPr>
            <w:r>
              <w:rPr>
                <w:rStyle w:val="1856"/>
                <w:rFonts w:hint="default"/>
              </w:rPr>
              <w:t>Schneider  GV2-ME10C/4 - 6.3A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50</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sz w:val="20"/>
                <w:szCs w:val="20"/>
              </w:rPr>
            </w:pPr>
            <w:r>
              <w:rPr>
                <w:rStyle w:val="1856"/>
                <w:rFonts w:hint="default"/>
              </w:rPr>
              <w:t>Schneider  GV2-ME16C/9-14A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51</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电动机保护开关（热保）</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sz w:val="20"/>
                <w:szCs w:val="20"/>
              </w:rPr>
            </w:pPr>
            <w:r>
              <w:rPr>
                <w:rFonts w:hint="eastAsia" w:ascii="宋体" w:hAnsi="宋体" w:cs="宋体"/>
                <w:color w:val="000000"/>
                <w:kern w:val="0"/>
                <w:sz w:val="20"/>
                <w:szCs w:val="20"/>
              </w:rPr>
              <w:t>Schneider  GV2-ME20/13-18A</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52</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接触器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sz w:val="20"/>
                <w:szCs w:val="20"/>
              </w:rPr>
            </w:pPr>
            <w:r>
              <w:rPr>
                <w:rFonts w:hint="eastAsia" w:ascii="宋体" w:hAnsi="宋体" w:cs="宋体"/>
                <w:color w:val="000000"/>
                <w:kern w:val="0"/>
                <w:sz w:val="20"/>
                <w:szCs w:val="20"/>
              </w:rPr>
              <w:t>Schneider LC1D09</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施耐德</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144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53</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sz w:val="20"/>
                <w:szCs w:val="20"/>
              </w:rPr>
            </w:pPr>
            <w:r>
              <w:rPr>
                <w:rFonts w:hint="eastAsia" w:ascii="宋体" w:hAnsi="宋体" w:cs="宋体"/>
                <w:color w:val="000000"/>
                <w:kern w:val="0"/>
                <w:sz w:val="20"/>
                <w:szCs w:val="20"/>
              </w:rPr>
              <w:t>软启动</w:t>
            </w:r>
          </w:p>
        </w:tc>
        <w:tc>
          <w:tcPr>
            <w:tcW w:w="2160" w:type="dxa"/>
            <w:tcBorders>
              <w:top w:val="nil"/>
              <w:left w:val="nil"/>
              <w:bottom w:val="single" w:color="auto" w:sz="4" w:space="0"/>
              <w:right w:val="single" w:color="auto" w:sz="4" w:space="0"/>
            </w:tcBorders>
            <w:shd w:val="clear" w:color="auto" w:fill="auto"/>
            <w:vAlign w:val="bottom"/>
          </w:tcPr>
          <w:p>
            <w:pPr>
              <w:widowControl/>
              <w:jc w:val="center"/>
              <w:textAlignment w:val="bottom"/>
              <w:rPr>
                <w:rFonts w:ascii="宋体" w:hAnsi="宋体" w:cs="Arial"/>
                <w:color w:val="000000"/>
                <w:sz w:val="20"/>
                <w:szCs w:val="20"/>
              </w:rPr>
            </w:pPr>
            <w:r>
              <w:rPr>
                <w:rFonts w:hint="eastAsia" w:ascii="宋体" w:hAnsi="宋体" w:cs="宋体"/>
                <w:color w:val="000000"/>
                <w:kern w:val="0"/>
                <w:sz w:val="20"/>
                <w:szCs w:val="20"/>
              </w:rPr>
              <w:t>AB SMC-3</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罗克韦尔</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台</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54</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配电柜风扇</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卡固</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套</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55</w:t>
            </w:r>
          </w:p>
        </w:tc>
        <w:tc>
          <w:tcPr>
            <w:tcW w:w="585"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黑体" w:hAnsi="宋体" w:eastAsia="黑体" w:cs="黑体"/>
                <w:color w:val="000000"/>
                <w:kern w:val="0"/>
                <w:sz w:val="20"/>
                <w:szCs w:val="20"/>
              </w:rPr>
              <w:t>传感器</w:t>
            </w: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光眼</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SICK G16 P1111 1050708 1132</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SICK</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56</w:t>
            </w:r>
          </w:p>
        </w:tc>
        <w:tc>
          <w:tcPr>
            <w:tcW w:w="585" w:type="dxa"/>
            <w:vMerge w:val="continue"/>
            <w:tcBorders>
              <w:left w:val="nil"/>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编码器</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BANNER SLO30VB6YQ</w:t>
            </w: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BANNER</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57</w:t>
            </w:r>
          </w:p>
        </w:tc>
        <w:tc>
          <w:tcPr>
            <w:tcW w:w="585" w:type="dxa"/>
            <w:vMerge w:val="continue"/>
            <w:tcBorders>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摆臂传感器</w:t>
            </w:r>
          </w:p>
        </w:tc>
        <w:tc>
          <w:tcPr>
            <w:tcW w:w="2160" w:type="dxa"/>
            <w:tcBorders>
              <w:top w:val="nil"/>
              <w:left w:val="nil"/>
              <w:bottom w:val="single" w:color="auto" w:sz="4" w:space="0"/>
              <w:right w:val="single" w:color="auto" w:sz="4" w:space="0"/>
            </w:tcBorders>
            <w:shd w:val="clear" w:color="auto" w:fill="auto"/>
            <w:vAlign w:val="center"/>
          </w:tcPr>
          <w:p>
            <w:pPr>
              <w:jc w:val="center"/>
              <w:rPr>
                <w:rFonts w:ascii="Tahoma" w:hAnsi="Tahoma" w:cs="Tahoma"/>
                <w:sz w:val="20"/>
                <w:szCs w:val="20"/>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SICK</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jc w:val="center"/>
              <w:rPr>
                <w:rFonts w:ascii="Tahoma" w:hAnsi="Tahoma" w:cs="Tahoma"/>
                <w:sz w:val="20"/>
                <w:szCs w:val="20"/>
              </w:rPr>
            </w:pPr>
            <w:r>
              <w:rPr>
                <w:rFonts w:ascii="Tahoma" w:hAnsi="Tahoma" w:cs="Tahoma"/>
                <w:sz w:val="20"/>
                <w:szCs w:val="20"/>
              </w:rPr>
              <w:t>58</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cs="Arial"/>
                <w:sz w:val="20"/>
                <w:szCs w:val="20"/>
              </w:rPr>
            </w:pPr>
          </w:p>
        </w:tc>
        <w:tc>
          <w:tcPr>
            <w:tcW w:w="241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UPS电源</w:t>
            </w:r>
          </w:p>
        </w:tc>
        <w:tc>
          <w:tcPr>
            <w:tcW w:w="21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ahoma" w:hAnsi="Tahoma" w:cs="Tahoma"/>
                <w:sz w:val="20"/>
                <w:szCs w:val="20"/>
              </w:rPr>
            </w:pPr>
            <w:r>
              <w:rPr>
                <w:rFonts w:hint="eastAsia" w:ascii="宋体" w:hAnsi="宋体" w:cs="宋体"/>
                <w:color w:val="000000"/>
                <w:kern w:val="0"/>
                <w:sz w:val="20"/>
                <w:szCs w:val="20"/>
              </w:rPr>
              <w:t>Smart-UPS RT 2000</w:t>
            </w:r>
          </w:p>
        </w:tc>
        <w:tc>
          <w:tcPr>
            <w:tcW w:w="2580" w:type="dxa"/>
            <w:tcBorders>
              <w:top w:val="nil"/>
              <w:left w:val="nil"/>
              <w:bottom w:val="single" w:color="auto" w:sz="4" w:space="0"/>
              <w:right w:val="single" w:color="auto" w:sz="4" w:space="0"/>
            </w:tcBorders>
            <w:shd w:val="clear" w:color="auto" w:fill="auto"/>
            <w:vAlign w:val="center"/>
          </w:tcPr>
          <w:p>
            <w:pPr>
              <w:jc w:val="center"/>
              <w:rPr>
                <w:rFonts w:ascii="宋体" w:hAnsi="宋体" w:cs="Arial"/>
                <w:sz w:val="20"/>
                <w:szCs w:val="20"/>
              </w:rPr>
            </w:pPr>
            <w:r>
              <w:rPr>
                <w:rFonts w:hint="eastAsia" w:ascii="宋体" w:hAnsi="宋体" w:cs="宋体"/>
                <w:color w:val="000000"/>
                <w:kern w:val="0"/>
                <w:sz w:val="20"/>
                <w:szCs w:val="20"/>
              </w:rPr>
              <w:t>APC</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个</w:t>
            </w:r>
          </w:p>
        </w:tc>
        <w:tc>
          <w:tcPr>
            <w:tcW w:w="11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Arial"/>
                <w:sz w:val="20"/>
                <w:szCs w:val="20"/>
              </w:rPr>
            </w:pPr>
            <w:r>
              <w:rPr>
                <w:rFonts w:hint="eastAsia" w:ascii="宋体" w:hAnsi="宋体" w:cs="宋体"/>
                <w:color w:val="000000"/>
                <w:kern w:val="0"/>
                <w:sz w:val="20"/>
                <w:szCs w:val="20"/>
              </w:rPr>
              <w:t>1</w:t>
            </w:r>
          </w:p>
        </w:tc>
      </w:tr>
    </w:tbl>
    <w:p>
      <w:pPr>
        <w:numPr>
          <w:ilvl w:val="255"/>
          <w:numId w:val="0"/>
        </w:numPr>
        <w:autoSpaceDE w:val="0"/>
        <w:autoSpaceDN w:val="0"/>
        <w:adjustRightInd w:val="0"/>
        <w:snapToGrid w:val="0"/>
        <w:spacing w:line="360" w:lineRule="exact"/>
        <w:rPr>
          <w:rFonts w:ascii="宋体" w:hAnsi="宋体" w:cs="Calibri"/>
          <w:b/>
          <w:bCs/>
          <w:kern w:val="0"/>
          <w:sz w:val="22"/>
        </w:rPr>
      </w:pPr>
      <w:r>
        <w:rPr>
          <w:rFonts w:hint="eastAsia" w:ascii="宋体" w:hAnsi="宋体" w:cs="Calibri"/>
          <w:b/>
          <w:bCs/>
          <w:kern w:val="0"/>
          <w:sz w:val="22"/>
        </w:rPr>
        <w:t xml:space="preserve">二、中标人按“第五章 </w:t>
      </w:r>
      <w:r>
        <w:t xml:space="preserve"> </w:t>
      </w:r>
      <w:r>
        <w:rPr>
          <w:rFonts w:hint="eastAsia"/>
        </w:rPr>
        <w:t>用户需求书”提供所有物料并负责安装、调试，保证更换所有物料后，设备能够正常、安全运行，以达到招标人验收、使用要求。</w:t>
      </w:r>
    </w:p>
    <w:p>
      <w:pPr>
        <w:adjustRightInd w:val="0"/>
        <w:snapToGrid w:val="0"/>
        <w:spacing w:line="360" w:lineRule="exact"/>
        <w:ind w:firstLine="442" w:firstLineChars="200"/>
        <w:rPr>
          <w:rFonts w:ascii="宋体" w:hAnsi="宋体"/>
          <w:sz w:val="22"/>
        </w:rPr>
      </w:pPr>
      <w:r>
        <w:rPr>
          <w:rFonts w:hint="eastAsia" w:ascii="宋体" w:hAnsi="宋体"/>
          <w:b/>
          <w:sz w:val="22"/>
        </w:rPr>
        <w:t>1.</w:t>
      </w:r>
      <w:r>
        <w:rPr>
          <w:rFonts w:hint="eastAsia" w:ascii="宋体" w:hAnsi="宋体"/>
          <w:bCs/>
          <w:sz w:val="22"/>
        </w:rPr>
        <w:t xml:space="preserve"> 中标人</w:t>
      </w:r>
      <w:r>
        <w:rPr>
          <w:rFonts w:hint="eastAsia" w:ascii="宋体" w:hAnsi="宋体"/>
          <w:sz w:val="22"/>
        </w:rPr>
        <w:t>保证其所供应的产品符合相关产品质量标准，不存在任何质量瑕疵或因质量瑕疵而导致的安全隐患，且为未经使用的全新产品。中标人所提供的全新配件产品需和招标技术规格一致。</w:t>
      </w:r>
    </w:p>
    <w:p>
      <w:pPr>
        <w:adjustRightInd w:val="0"/>
        <w:snapToGrid w:val="0"/>
        <w:spacing w:line="360" w:lineRule="exact"/>
        <w:ind w:firstLine="442" w:firstLineChars="200"/>
        <w:rPr>
          <w:rFonts w:ascii="宋体" w:hAnsi="宋体"/>
          <w:sz w:val="22"/>
        </w:rPr>
      </w:pPr>
      <w:r>
        <w:rPr>
          <w:rFonts w:hint="eastAsia" w:ascii="宋体" w:hAnsi="宋体"/>
          <w:b/>
          <w:bCs/>
          <w:sz w:val="22"/>
        </w:rPr>
        <w:t>2</w:t>
      </w:r>
      <w:r>
        <w:rPr>
          <w:rFonts w:hint="eastAsia" w:ascii="宋体" w:hAnsi="宋体"/>
          <w:sz w:val="22"/>
        </w:rPr>
        <w:t>.中标人所交的货物品种、型号、规格、技术参数、质量不符合合同规定及招标文件规定标准的，招标方有权拒收该货物，或要求中标人更换货物；中标人愿意更换货物但逾期交货的，按中标人逾期交货处理。中标人拒绝更换货物的，甲方可单方面解除合同。</w:t>
      </w:r>
    </w:p>
    <w:p>
      <w:pPr>
        <w:adjustRightInd w:val="0"/>
        <w:snapToGrid w:val="0"/>
        <w:spacing w:line="360" w:lineRule="exact"/>
        <w:ind w:firstLine="442" w:firstLineChars="200"/>
        <w:rPr>
          <w:rFonts w:ascii="宋体" w:hAnsi="宋体"/>
          <w:sz w:val="22"/>
        </w:rPr>
      </w:pPr>
      <w:r>
        <w:rPr>
          <w:rFonts w:hint="eastAsia" w:ascii="宋体" w:hAnsi="宋体"/>
          <w:b/>
          <w:sz w:val="22"/>
        </w:rPr>
        <w:t>3．</w:t>
      </w:r>
      <w:r>
        <w:rPr>
          <w:rFonts w:hint="eastAsia" w:ascii="宋体" w:hAnsi="宋体"/>
          <w:sz w:val="22"/>
        </w:rPr>
        <w:t>因中标人提供货物质量问题或者更换、维修、调试过程中因中标人原因导致招标方或第三方人身、财产损害的，中标人须依法承担全部赔偿责任；如因该等损害导致招标方向第三方承担赔偿责任的，中标人须在招标方赔偿范围内全额向招标方作出赔偿。</w:t>
      </w:r>
    </w:p>
    <w:p>
      <w:pPr>
        <w:spacing w:before="156" w:after="156"/>
        <w:ind w:firstLine="442" w:firstLineChars="200"/>
        <w:rPr>
          <w:rFonts w:ascii="宋体" w:hAnsi="宋体"/>
          <w:sz w:val="22"/>
        </w:rPr>
      </w:pPr>
      <w:r>
        <w:rPr>
          <w:rFonts w:hint="eastAsia" w:ascii="宋体" w:hAnsi="宋体"/>
          <w:b/>
          <w:sz w:val="22"/>
        </w:rPr>
        <w:t>4.</w:t>
      </w:r>
      <w:r>
        <w:rPr>
          <w:rFonts w:hint="eastAsia" w:ascii="宋体" w:hAnsi="宋体"/>
          <w:sz w:val="22"/>
        </w:rPr>
        <w:t xml:space="preserve"> 中标人不在约定期限内派人维修或维修质量验收不合格的，招标方可以委托他人修理，费用由中标人承担，招标方与第三方确认后可直接从质保金中扣除</w:t>
      </w:r>
    </w:p>
    <w:p>
      <w:pPr>
        <w:snapToGrid w:val="0"/>
        <w:spacing w:line="360" w:lineRule="exact"/>
        <w:ind w:firstLine="442" w:firstLineChars="200"/>
        <w:rPr>
          <w:rFonts w:ascii="宋体" w:hAnsi="宋体"/>
          <w:sz w:val="22"/>
        </w:rPr>
      </w:pPr>
      <w:r>
        <w:rPr>
          <w:rFonts w:hint="eastAsia" w:ascii="宋体" w:hAnsi="宋体"/>
          <w:b/>
          <w:sz w:val="22"/>
        </w:rPr>
        <w:t>5.</w:t>
      </w:r>
      <w:r>
        <w:rPr>
          <w:rFonts w:hint="eastAsia" w:ascii="宋体" w:hAnsi="宋体"/>
          <w:sz w:val="22"/>
        </w:rPr>
        <w:t xml:space="preserve"> 中</w:t>
      </w:r>
      <w:r>
        <w:rPr>
          <w:rFonts w:hint="eastAsia" w:ascii="宋体" w:hAnsi="宋体"/>
          <w:bCs/>
          <w:sz w:val="22"/>
        </w:rPr>
        <w:t>标人</w:t>
      </w:r>
      <w:r>
        <w:rPr>
          <w:rFonts w:hint="eastAsia" w:ascii="宋体" w:hAnsi="宋体"/>
          <w:sz w:val="22"/>
        </w:rPr>
        <w:t>应为所更换维修的设备配件提供两年的免费保修期，时间为招标方对整个项目验收并在报告上签字确认之日起算。保修期结束的十五天前，中标人负责对设备进行一次全面的检修和维护，并由招标方验收认可。</w:t>
      </w:r>
    </w:p>
    <w:p>
      <w:pPr>
        <w:snapToGrid w:val="0"/>
        <w:spacing w:line="360" w:lineRule="exact"/>
        <w:ind w:firstLine="442" w:firstLineChars="200"/>
        <w:rPr>
          <w:rFonts w:ascii="宋体" w:hAnsi="宋体"/>
          <w:sz w:val="22"/>
        </w:rPr>
      </w:pPr>
      <w:r>
        <w:rPr>
          <w:rFonts w:hint="eastAsia" w:ascii="宋体" w:hAnsi="宋体"/>
          <w:b/>
          <w:sz w:val="22"/>
        </w:rPr>
        <w:t>6．</w:t>
      </w:r>
      <w:r>
        <w:rPr>
          <w:rFonts w:hint="eastAsia" w:ascii="宋体" w:hAnsi="宋体"/>
          <w:sz w:val="22"/>
        </w:rPr>
        <w:t>保修期内由于非招标方原因发生的的故障或损坏，中标人免费提供维修和备件直至设备性能、状态等达到正常标准，可以正常安全使用为止。如无法修复，中</w:t>
      </w:r>
      <w:r>
        <w:rPr>
          <w:rFonts w:hint="eastAsia" w:ascii="宋体" w:hAnsi="宋体"/>
          <w:bCs/>
          <w:sz w:val="22"/>
        </w:rPr>
        <w:t>标人</w:t>
      </w:r>
      <w:r>
        <w:rPr>
          <w:rFonts w:hint="eastAsia" w:ascii="宋体" w:hAnsi="宋体"/>
          <w:sz w:val="22"/>
        </w:rPr>
        <w:t>应负责免费更换或由招标方退还中标方所供货物，中标人退还甲方支付的合同款，同时应承担该货物的直接费用（运输、保险、检验、货款利息及银行手续费等）以及由此给招标方造成的损失。</w:t>
      </w:r>
    </w:p>
    <w:p>
      <w:pPr>
        <w:snapToGrid w:val="0"/>
        <w:spacing w:line="360" w:lineRule="exact"/>
        <w:ind w:firstLine="442" w:firstLineChars="200"/>
        <w:rPr>
          <w:rFonts w:ascii="宋体" w:hAnsi="宋体"/>
          <w:sz w:val="22"/>
        </w:rPr>
      </w:pPr>
      <w:r>
        <w:rPr>
          <w:rFonts w:hint="eastAsia" w:ascii="宋体" w:hAnsi="宋体"/>
          <w:b/>
          <w:sz w:val="22"/>
        </w:rPr>
        <w:t>7．</w:t>
      </w:r>
      <w:r>
        <w:rPr>
          <w:rFonts w:hint="eastAsia" w:ascii="宋体" w:hAnsi="宋体"/>
          <w:bCs/>
          <w:sz w:val="22"/>
        </w:rPr>
        <w:t>中标人</w:t>
      </w:r>
      <w:r>
        <w:rPr>
          <w:rFonts w:hint="eastAsia" w:ascii="宋体" w:hAnsi="宋体"/>
          <w:sz w:val="22"/>
        </w:rPr>
        <w:t>提供24小时售后服务，在接到报修通知后，维修人员应在十二小时内赶到杭州萧山国际机场，并连续进行维修，直到设备恢复正常。</w:t>
      </w:r>
      <w:r>
        <w:rPr>
          <w:rFonts w:hint="eastAsia" w:ascii="宋体" w:hAnsi="宋体" w:cs="楷体_GB2312"/>
          <w:kern w:val="0"/>
          <w:sz w:val="22"/>
          <w:lang w:val="zh-CN"/>
        </w:rPr>
        <w:t>修复部分的质保期自修复之日起重新开始计算。</w:t>
      </w:r>
    </w:p>
    <w:p>
      <w:pPr>
        <w:adjustRightInd w:val="0"/>
        <w:snapToGrid w:val="0"/>
        <w:spacing w:line="360" w:lineRule="exact"/>
        <w:ind w:firstLine="442" w:firstLineChars="200"/>
        <w:rPr>
          <w:rFonts w:ascii="宋体" w:hAnsi="宋体"/>
          <w:sz w:val="22"/>
        </w:rPr>
      </w:pPr>
      <w:r>
        <w:rPr>
          <w:rFonts w:hint="eastAsia" w:ascii="宋体" w:hAnsi="宋体"/>
          <w:b/>
          <w:bCs/>
          <w:sz w:val="22"/>
        </w:rPr>
        <w:t>8.</w:t>
      </w:r>
      <w:r>
        <w:rPr>
          <w:rFonts w:hint="eastAsia" w:ascii="宋体" w:hAnsi="宋体"/>
          <w:sz w:val="22"/>
        </w:rPr>
        <w:t xml:space="preserve">中标人逾期交付货物的未按招标方时间要求完成更换、维修、调试的，中标人应按合同总额每日0.6%向甲方支付违约金，由招标方从货款中扣除。逾期超过约定日期10个工作日的，招标方可解除本合同。中标人因逾期交货或因其他违约行为导致招标方解除合同的，中标人应向损毁标方支付合同总价5%的违约金，如造成招标方损失超过违约金的，超出部分由中标人继续承担赔偿责任。 </w:t>
      </w:r>
    </w:p>
    <w:p>
      <w:pPr>
        <w:spacing w:before="156" w:after="156"/>
        <w:rPr>
          <w:rFonts w:asciiTheme="minorEastAsia" w:hAnsiTheme="minorEastAsia"/>
          <w:sz w:val="28"/>
          <w:szCs w:val="28"/>
        </w:rPr>
      </w:pPr>
    </w:p>
    <w:p>
      <w:pPr>
        <w:spacing w:before="156" w:after="156"/>
        <w:rPr>
          <w:rFonts w:asciiTheme="minorEastAsia" w:hAnsiTheme="minorEastAsia"/>
          <w:sz w:val="28"/>
          <w:szCs w:val="28"/>
        </w:rPr>
      </w:pPr>
    </w:p>
    <w:p>
      <w:pPr>
        <w:spacing w:before="156" w:after="156"/>
        <w:rPr>
          <w:rFonts w:asciiTheme="minorEastAsia" w:hAnsiTheme="minorEastAsia"/>
          <w:sz w:val="28"/>
          <w:szCs w:val="28"/>
        </w:rPr>
      </w:pPr>
    </w:p>
    <w:p/>
    <w:p/>
    <w:p>
      <w:pPr>
        <w:sectPr>
          <w:pgSz w:w="12240" w:h="15840"/>
          <w:pgMar w:top="1400" w:right="1680" w:bottom="1120" w:left="1580" w:header="0" w:footer="921" w:gutter="0"/>
          <w:cols w:space="720" w:num="1"/>
        </w:sectPr>
      </w:pPr>
    </w:p>
    <w:p>
      <w:pPr>
        <w:pStyle w:val="2"/>
        <w:spacing w:line="564" w:lineRule="exact"/>
        <w:ind w:right="57"/>
        <w:jc w:val="center"/>
        <w:rPr>
          <w:b w:val="0"/>
          <w:bCs w:val="0"/>
        </w:rPr>
      </w:pPr>
      <w:bookmarkStart w:id="42" w:name="_Toc19698503"/>
      <w:r>
        <w:rPr>
          <w:rFonts w:hint="eastAsia"/>
          <w:b w:val="0"/>
          <w:bCs w:val="0"/>
        </w:rPr>
        <w:t>第六章</w:t>
      </w:r>
      <w:r>
        <w:rPr>
          <w:b w:val="0"/>
          <w:bCs w:val="0"/>
        </w:rPr>
        <w:t xml:space="preserve">  </w:t>
      </w:r>
      <w:r>
        <w:rPr>
          <w:rFonts w:hint="eastAsia"/>
          <w:b w:val="0"/>
          <w:bCs w:val="0"/>
        </w:rPr>
        <w:t>投标文件格式</w:t>
      </w:r>
      <w:bookmarkEnd w:id="42"/>
    </w:p>
    <w:p>
      <w:pPr>
        <w:pStyle w:val="2"/>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r>
        <w:rPr>
          <w:rStyle w:val="1783"/>
          <w:rFonts w:hint="eastAsia"/>
          <w:sz w:val="22"/>
          <w:szCs w:val="22"/>
        </w:rPr>
        <w:t xml:space="preserve">、授权委托书(适用于有委托代理人的情况,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line="360" w:lineRule="auto"/>
        <w:ind w:right="43"/>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8"/>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9"/>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ascii="宋体" w:hAnsi="宋体" w:cs="宋体"/>
          <w:b/>
          <w:sz w:val="32"/>
          <w:szCs w:val="32"/>
        </w:rPr>
        <w:t xml:space="preserve">5.1 </w:t>
      </w:r>
      <w:r>
        <w:rPr>
          <w:rFonts w:hint="eastAsia" w:ascii="宋体" w:hAnsi="宋体" w:cs="宋体"/>
          <w:b/>
          <w:sz w:val="32"/>
          <w:szCs w:val="32"/>
        </w:rPr>
        <w:t>投标报价表</w:t>
      </w:r>
    </w:p>
    <w:p>
      <w:pPr>
        <w:pStyle w:val="57"/>
        <w:spacing w:line="360" w:lineRule="auto"/>
        <w:rPr>
          <w:rFonts w:ascii="宋体" w:hAnsi="宋体" w:cs="宋体"/>
        </w:rPr>
      </w:pPr>
    </w:p>
    <w:p>
      <w:pPr>
        <w:rPr>
          <w:rFonts w:cs="Calibri"/>
          <w:sz w:val="24"/>
        </w:rPr>
      </w:pPr>
      <w:bookmarkStart w:id="43" w:name="_Toc133470544"/>
      <w:bookmarkStart w:id="44" w:name="_Toc133214103"/>
      <w:bookmarkStart w:id="45" w:name="_Toc137373399"/>
      <w:bookmarkStart w:id="46" w:name="_Toc133214310"/>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r>
              <w:rPr>
                <w:rFonts w:hint="eastAsia" w:ascii="宋体" w:hAnsi="宋体" w:cs="宋体"/>
                <w:sz w:val="22"/>
              </w:rPr>
              <w:t>设备费(表</w:t>
            </w:r>
            <w:r>
              <w:rPr>
                <w:rFonts w:ascii="宋体" w:hAnsi="宋体" w:cs="宋体"/>
                <w:sz w:val="22"/>
              </w:rPr>
              <w:t>5</w:t>
            </w:r>
            <w:r>
              <w:rPr>
                <w:rFonts w:hint="eastAsia" w:ascii="宋体" w:hAnsi="宋体" w:cs="宋体"/>
                <w:sz w:val="22"/>
              </w:rPr>
              <w:t>.2)</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3"/>
    <w:bookmarkEnd w:id="44"/>
    <w:bookmarkEnd w:id="45"/>
    <w:bookmarkEnd w:id="46"/>
    <w:p>
      <w:pPr>
        <w:pStyle w:val="57"/>
        <w:spacing w:line="360" w:lineRule="auto"/>
        <w:jc w:val="center"/>
        <w:rPr>
          <w:rFonts w:ascii="宋体" w:hAnsi="宋体" w:cs="宋体"/>
          <w:b/>
          <w:sz w:val="32"/>
          <w:szCs w:val="32"/>
        </w:rPr>
      </w:pPr>
      <w:r>
        <w:rPr>
          <w:rFonts w:hint="eastAsia" w:ascii="宋体" w:hAnsi="宋体" w:cs="宋体"/>
          <w:sz w:val="22"/>
        </w:rPr>
        <w:t xml:space="preserve"> </w:t>
      </w:r>
      <w:r>
        <w:rPr>
          <w:rFonts w:ascii="宋体" w:hAnsi="宋体" w:cs="宋体"/>
          <w:b/>
          <w:sz w:val="32"/>
          <w:szCs w:val="32"/>
        </w:rPr>
        <w:t>5.2设备费分项报价表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49"/>
        <w:gridCol w:w="1078"/>
        <w:gridCol w:w="983"/>
        <w:gridCol w:w="718"/>
        <w:gridCol w:w="607"/>
        <w:gridCol w:w="550"/>
        <w:gridCol w:w="14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2"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44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98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0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5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45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38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vMerge w:val="continue"/>
            <w:shd w:val="clear" w:color="auto" w:fill="auto"/>
            <w:vAlign w:val="center"/>
          </w:tcPr>
          <w:p>
            <w:pPr>
              <w:widowControl/>
              <w:jc w:val="left"/>
              <w:rPr>
                <w:rFonts w:ascii="宋体" w:hAnsi="宋体" w:cs="宋体"/>
                <w:b/>
                <w:bCs/>
                <w:kern w:val="0"/>
                <w:sz w:val="20"/>
              </w:rPr>
            </w:pPr>
          </w:p>
        </w:tc>
        <w:tc>
          <w:tcPr>
            <w:tcW w:w="1449" w:type="dxa"/>
            <w:vMerge w:val="continue"/>
            <w:shd w:val="clear" w:color="auto" w:fill="auto"/>
            <w:vAlign w:val="center"/>
          </w:tcPr>
          <w:p>
            <w:pPr>
              <w:widowControl/>
              <w:jc w:val="left"/>
              <w:rPr>
                <w:rFonts w:ascii="宋体" w:hAnsi="宋体" w:cs="宋体"/>
                <w:b/>
                <w:bCs/>
                <w:kern w:val="0"/>
                <w:sz w:val="20"/>
              </w:rPr>
            </w:pPr>
          </w:p>
        </w:tc>
        <w:tc>
          <w:tcPr>
            <w:tcW w:w="1078" w:type="dxa"/>
            <w:vMerge w:val="continue"/>
            <w:shd w:val="clear" w:color="auto" w:fill="auto"/>
            <w:vAlign w:val="center"/>
          </w:tcPr>
          <w:p>
            <w:pPr>
              <w:widowControl/>
              <w:jc w:val="left"/>
              <w:rPr>
                <w:rFonts w:ascii="宋体" w:hAnsi="宋体" w:cs="宋体"/>
                <w:b/>
                <w:bCs/>
                <w:kern w:val="0"/>
                <w:sz w:val="20"/>
              </w:rPr>
            </w:pPr>
          </w:p>
        </w:tc>
        <w:tc>
          <w:tcPr>
            <w:tcW w:w="983" w:type="dxa"/>
            <w:vMerge w:val="continue"/>
            <w:shd w:val="clear" w:color="auto" w:fill="auto"/>
            <w:vAlign w:val="center"/>
          </w:tcPr>
          <w:p>
            <w:pPr>
              <w:widowControl/>
              <w:jc w:val="left"/>
              <w:rPr>
                <w:rFonts w:ascii="宋体" w:hAnsi="宋体" w:cs="宋体"/>
                <w:b/>
                <w:bCs/>
                <w:kern w:val="0"/>
                <w:sz w:val="20"/>
              </w:rPr>
            </w:pPr>
          </w:p>
        </w:tc>
        <w:tc>
          <w:tcPr>
            <w:tcW w:w="718" w:type="dxa"/>
            <w:vMerge w:val="continue"/>
            <w:shd w:val="clear" w:color="auto" w:fill="auto"/>
            <w:vAlign w:val="center"/>
          </w:tcPr>
          <w:p>
            <w:pPr>
              <w:widowControl/>
              <w:jc w:val="left"/>
              <w:rPr>
                <w:rFonts w:ascii="宋体" w:hAnsi="宋体" w:cs="宋体"/>
                <w:b/>
                <w:bCs/>
                <w:kern w:val="0"/>
                <w:sz w:val="20"/>
              </w:rPr>
            </w:pPr>
          </w:p>
        </w:tc>
        <w:tc>
          <w:tcPr>
            <w:tcW w:w="607" w:type="dxa"/>
            <w:vMerge w:val="continue"/>
            <w:shd w:val="clear" w:color="auto" w:fill="auto"/>
            <w:vAlign w:val="center"/>
          </w:tcPr>
          <w:p>
            <w:pPr>
              <w:widowControl/>
              <w:jc w:val="left"/>
              <w:rPr>
                <w:rFonts w:ascii="宋体" w:hAnsi="宋体" w:cs="宋体"/>
                <w:b/>
                <w:bCs/>
                <w:kern w:val="0"/>
                <w:sz w:val="20"/>
              </w:rPr>
            </w:pPr>
          </w:p>
        </w:tc>
        <w:tc>
          <w:tcPr>
            <w:tcW w:w="550" w:type="dxa"/>
            <w:vMerge w:val="continue"/>
            <w:shd w:val="clear" w:color="auto" w:fill="auto"/>
            <w:vAlign w:val="center"/>
          </w:tcPr>
          <w:p>
            <w:pPr>
              <w:widowControl/>
              <w:jc w:val="left"/>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38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449" w:type="dxa"/>
            <w:shd w:val="clear" w:color="000000" w:fill="FFFFFF"/>
            <w:vAlign w:val="center"/>
          </w:tcPr>
          <w:p>
            <w:pPr>
              <w:widowControl/>
              <w:jc w:val="center"/>
              <w:rPr>
                <w:rFonts w:ascii="宋体" w:hAnsi="宋体"/>
                <w:b/>
                <w:bCs/>
                <w:kern w:val="0"/>
                <w:szCs w:val="21"/>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983"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18" w:type="dxa"/>
            <w:tcBorders>
              <w:bottom w:val="single" w:color="auto" w:sz="4" w:space="0"/>
            </w:tcBorders>
            <w:shd w:val="clear" w:color="000000" w:fill="FFFFFF"/>
            <w:vAlign w:val="center"/>
          </w:tcPr>
          <w:p>
            <w:pPr>
              <w:widowControl/>
              <w:rPr>
                <w:rFonts w:ascii="宋体" w:hAnsi="宋体" w:cs="宋体"/>
                <w:b/>
                <w:bCs/>
                <w:kern w:val="0"/>
                <w:sz w:val="20"/>
              </w:rPr>
            </w:pPr>
          </w:p>
        </w:tc>
        <w:tc>
          <w:tcPr>
            <w:tcW w:w="607" w:type="dxa"/>
            <w:tcBorders>
              <w:bottom w:val="single" w:color="auto" w:sz="4" w:space="0"/>
            </w:tcBorders>
            <w:shd w:val="clear" w:color="000000" w:fill="FFFFFF"/>
            <w:vAlign w:val="center"/>
          </w:tcPr>
          <w:p>
            <w:pPr>
              <w:widowControl/>
              <w:rPr>
                <w:rFonts w:ascii="宋体" w:hAnsi="宋体" w:cs="宋体"/>
                <w:b/>
                <w:bCs/>
                <w:kern w:val="0"/>
                <w:sz w:val="20"/>
              </w:rPr>
            </w:pPr>
          </w:p>
        </w:tc>
        <w:tc>
          <w:tcPr>
            <w:tcW w:w="55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2" w:type="dxa"/>
            <w:shd w:val="clear" w:color="000000" w:fill="FFFFFF"/>
            <w:vAlign w:val="center"/>
          </w:tcPr>
          <w:p>
            <w:pPr>
              <w:widowControl/>
              <w:jc w:val="left"/>
              <w:rPr>
                <w:rFonts w:ascii="宋体" w:hAnsi="宋体" w:cs="宋体"/>
                <w:b/>
                <w:bCs/>
                <w:kern w:val="0"/>
                <w:sz w:val="20"/>
              </w:rPr>
            </w:pPr>
          </w:p>
        </w:tc>
        <w:tc>
          <w:tcPr>
            <w:tcW w:w="1449" w:type="dxa"/>
            <w:shd w:val="clear" w:color="000000" w:fill="FFFFFF"/>
            <w:vAlign w:val="center"/>
          </w:tcPr>
          <w:p>
            <w:pPr>
              <w:widowControl/>
              <w:jc w:val="center"/>
              <w:rPr>
                <w:rFonts w:ascii="宋体" w:hAnsi="宋体" w:cs="宋体"/>
                <w:b/>
                <w:bCs/>
                <w:kern w:val="0"/>
                <w:sz w:val="20"/>
              </w:rPr>
            </w:pPr>
          </w:p>
        </w:tc>
        <w:tc>
          <w:tcPr>
            <w:tcW w:w="1078" w:type="dxa"/>
            <w:shd w:val="clear" w:color="000000" w:fill="FFFFFF"/>
            <w:vAlign w:val="center"/>
          </w:tcPr>
          <w:p>
            <w:pPr>
              <w:widowControl/>
              <w:jc w:val="center"/>
              <w:rPr>
                <w:rFonts w:ascii="宋体" w:hAnsi="宋体" w:cs="宋体"/>
                <w:b/>
                <w:bCs/>
                <w:kern w:val="0"/>
                <w:sz w:val="20"/>
              </w:rPr>
            </w:pPr>
          </w:p>
        </w:tc>
        <w:tc>
          <w:tcPr>
            <w:tcW w:w="983" w:type="dxa"/>
            <w:shd w:val="clear" w:color="000000" w:fill="FFFFFF"/>
            <w:vAlign w:val="center"/>
          </w:tcPr>
          <w:p>
            <w:pPr>
              <w:widowControl/>
              <w:jc w:val="center"/>
              <w:rPr>
                <w:rFonts w:ascii="宋体" w:hAnsi="宋体" w:cs="宋体"/>
                <w:b/>
                <w:bCs/>
                <w:kern w:val="0"/>
                <w:sz w:val="20"/>
              </w:rPr>
            </w:pPr>
          </w:p>
        </w:tc>
        <w:tc>
          <w:tcPr>
            <w:tcW w:w="718" w:type="dxa"/>
            <w:shd w:val="clear" w:color="000000" w:fill="FFFFFF"/>
            <w:vAlign w:val="center"/>
          </w:tcPr>
          <w:p>
            <w:pPr>
              <w:widowControl/>
              <w:rPr>
                <w:rFonts w:ascii="宋体" w:hAnsi="宋体" w:cs="宋体"/>
                <w:b/>
                <w:bCs/>
                <w:kern w:val="0"/>
                <w:sz w:val="20"/>
              </w:rPr>
            </w:pPr>
          </w:p>
        </w:tc>
        <w:tc>
          <w:tcPr>
            <w:tcW w:w="607" w:type="dxa"/>
            <w:shd w:val="clear" w:color="000000" w:fill="FFFFFF"/>
            <w:vAlign w:val="center"/>
          </w:tcPr>
          <w:p>
            <w:pPr>
              <w:widowControl/>
              <w:rPr>
                <w:rFonts w:ascii="宋体" w:hAnsi="宋体" w:cs="宋体"/>
                <w:b/>
                <w:bCs/>
                <w:kern w:val="0"/>
                <w:sz w:val="20"/>
              </w:rPr>
            </w:pPr>
          </w:p>
        </w:tc>
        <w:tc>
          <w:tcPr>
            <w:tcW w:w="550" w:type="dxa"/>
            <w:shd w:val="clear" w:color="000000" w:fill="FFFFFF"/>
            <w:vAlign w:val="center"/>
          </w:tcPr>
          <w:p>
            <w:pPr>
              <w:widowControl/>
              <w:jc w:val="center"/>
              <w:rPr>
                <w:rFonts w:ascii="宋体" w:hAnsi="宋体" w:cs="宋体"/>
                <w:b/>
                <w:bCs/>
                <w:kern w:val="0"/>
                <w:sz w:val="20"/>
              </w:rPr>
            </w:pPr>
          </w:p>
        </w:tc>
        <w:tc>
          <w:tcPr>
            <w:tcW w:w="1459" w:type="dxa"/>
            <w:shd w:val="clear" w:color="000000" w:fill="FFFFFF"/>
            <w:vAlign w:val="center"/>
          </w:tcPr>
          <w:p>
            <w:pPr>
              <w:widowControl/>
              <w:jc w:val="center"/>
              <w:rPr>
                <w:rFonts w:ascii="宋体" w:hAnsi="宋体" w:cs="宋体"/>
                <w:b/>
                <w:bCs/>
                <w:kern w:val="0"/>
                <w:sz w:val="20"/>
              </w:rPr>
            </w:pPr>
          </w:p>
        </w:tc>
        <w:tc>
          <w:tcPr>
            <w:tcW w:w="1384"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66"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384"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66"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384"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66"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384"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40"/>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40"/>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p>
    <w:p>
      <w:pPr>
        <w:spacing w:line="360" w:lineRule="auto"/>
        <w:jc w:val="center"/>
        <w:rPr>
          <w:rFonts w:ascii="宋体" w:hAnsi="宋体" w:cs="宋体"/>
          <w:b/>
          <w:sz w:val="32"/>
          <w:szCs w:val="32"/>
        </w:rPr>
      </w:pPr>
      <w:r>
        <w:rPr>
          <w:rFonts w:ascii="宋体" w:hAnsi="宋体" w:cs="宋体"/>
          <w:b/>
          <w:sz w:val="32"/>
          <w:szCs w:val="32"/>
        </w:rPr>
        <w:t>5</w:t>
      </w:r>
      <w:r>
        <w:rPr>
          <w:rFonts w:hint="eastAsia" w:ascii="宋体" w:hAnsi="宋体" w:cs="宋体"/>
          <w:b/>
          <w:sz w:val="32"/>
          <w:szCs w:val="32"/>
        </w:rPr>
        <w:t>.</w:t>
      </w:r>
      <w:r>
        <w:rPr>
          <w:rFonts w:ascii="宋体" w:hAnsi="宋体" w:cs="宋体"/>
          <w:b/>
          <w:sz w:val="32"/>
          <w:szCs w:val="32"/>
        </w:rPr>
        <w:t>3</w:t>
      </w:r>
      <w:r>
        <w:rPr>
          <w:rFonts w:hint="eastAsia" w:ascii="宋体" w:hAnsi="宋体" w:cs="宋体"/>
          <w:b/>
          <w:sz w:val="32"/>
          <w:szCs w:val="32"/>
        </w:rPr>
        <w:t>备品备件分项报价表</w:t>
      </w:r>
    </w:p>
    <w:tbl>
      <w:tblPr>
        <w:tblStyle w:val="89"/>
        <w:tblpPr w:leftFromText="180" w:rightFromText="18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18"/>
        <w:gridCol w:w="1019"/>
        <w:gridCol w:w="779"/>
        <w:gridCol w:w="859"/>
        <w:gridCol w:w="700"/>
        <w:gridCol w:w="700"/>
        <w:gridCol w:w="1119"/>
        <w:gridCol w:w="111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0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1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77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vMerge w:val="continue"/>
            <w:shd w:val="clear" w:color="auto" w:fill="auto"/>
            <w:vAlign w:val="center"/>
          </w:tcPr>
          <w:p>
            <w:pPr>
              <w:widowControl/>
              <w:jc w:val="center"/>
              <w:rPr>
                <w:rFonts w:ascii="宋体" w:hAnsi="宋体" w:cs="宋体"/>
                <w:b/>
                <w:bCs/>
                <w:kern w:val="0"/>
                <w:sz w:val="20"/>
              </w:rPr>
            </w:pPr>
          </w:p>
        </w:tc>
        <w:tc>
          <w:tcPr>
            <w:tcW w:w="1018" w:type="dxa"/>
            <w:vMerge w:val="continue"/>
            <w:shd w:val="clear" w:color="auto" w:fill="auto"/>
            <w:vAlign w:val="center"/>
          </w:tcPr>
          <w:p>
            <w:pPr>
              <w:widowControl/>
              <w:jc w:val="left"/>
              <w:rPr>
                <w:rFonts w:ascii="宋体" w:hAnsi="宋体" w:cs="宋体"/>
                <w:b/>
                <w:bCs/>
                <w:kern w:val="0"/>
                <w:sz w:val="20"/>
              </w:rPr>
            </w:pPr>
          </w:p>
        </w:tc>
        <w:tc>
          <w:tcPr>
            <w:tcW w:w="1019" w:type="dxa"/>
            <w:vMerge w:val="continue"/>
            <w:shd w:val="clear" w:color="auto" w:fill="auto"/>
            <w:vAlign w:val="center"/>
          </w:tcPr>
          <w:p>
            <w:pPr>
              <w:widowControl/>
              <w:jc w:val="left"/>
              <w:rPr>
                <w:rFonts w:ascii="宋体" w:hAnsi="宋体" w:cs="宋体"/>
                <w:b/>
                <w:bCs/>
                <w:kern w:val="0"/>
                <w:sz w:val="20"/>
              </w:rPr>
            </w:pPr>
          </w:p>
        </w:tc>
        <w:tc>
          <w:tcPr>
            <w:tcW w:w="779" w:type="dxa"/>
            <w:vMerge w:val="continue"/>
            <w:shd w:val="clear" w:color="auto" w:fill="auto"/>
            <w:vAlign w:val="center"/>
          </w:tcPr>
          <w:p>
            <w:pPr>
              <w:widowControl/>
              <w:jc w:val="left"/>
              <w:rPr>
                <w:rFonts w:ascii="宋体" w:hAnsi="宋体" w:cs="宋体"/>
                <w:b/>
                <w:bCs/>
                <w:kern w:val="0"/>
                <w:sz w:val="20"/>
              </w:rPr>
            </w:pPr>
          </w:p>
        </w:tc>
        <w:tc>
          <w:tcPr>
            <w:tcW w:w="859"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859"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018" w:type="dxa"/>
            <w:shd w:val="clear" w:color="000000" w:fill="FFFFFF"/>
            <w:vAlign w:val="center"/>
          </w:tcPr>
          <w:p>
            <w:pPr>
              <w:widowControl/>
              <w:jc w:val="center"/>
              <w:rPr>
                <w:rFonts w:ascii="宋体" w:hAnsi="宋体" w:cs="宋体"/>
                <w:b/>
                <w:bCs/>
                <w:kern w:val="0"/>
                <w:sz w:val="20"/>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kern w:val="0"/>
                <w:sz w:val="20"/>
              </w:rPr>
            </w:pPr>
          </w:p>
        </w:tc>
        <w:tc>
          <w:tcPr>
            <w:tcW w:w="1018" w:type="dxa"/>
            <w:shd w:val="clear" w:color="000000" w:fill="FFFFFF"/>
            <w:vAlign w:val="center"/>
          </w:tcPr>
          <w:p>
            <w:pPr>
              <w:widowControl/>
              <w:jc w:val="center"/>
              <w:rPr>
                <w:rFonts w:ascii="宋体" w:hAnsi="宋体"/>
                <w:b/>
                <w:bCs/>
                <w:kern w:val="0"/>
                <w:szCs w:val="21"/>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5"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8" w:type="first"/>
          <w:headerReference r:id="rId16" w:type="default"/>
          <w:headerReference r:id="rId17"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2017</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w:t>
      </w:r>
      <w:r>
        <w:rPr>
          <w:rFonts w:ascii="宋体" w:hAnsi="宋体" w:cs="宋体"/>
          <w:b/>
          <w:sz w:val="32"/>
          <w:szCs w:val="32"/>
        </w:rPr>
        <w:t>7</w:t>
      </w:r>
      <w:r>
        <w:rPr>
          <w:rFonts w:hint="eastAsia" w:ascii="宋体" w:hAnsi="宋体" w:cs="宋体"/>
          <w:b/>
          <w:sz w:val="32"/>
          <w:szCs w:val="32"/>
        </w:rPr>
        <w:t>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1"/>
        </w:numPr>
        <w:spacing w:line="360" w:lineRule="auto"/>
        <w:rPr>
          <w:rFonts w:ascii="宋体" w:hAnsi="宋体" w:cs="宋体"/>
          <w:sz w:val="22"/>
        </w:rPr>
      </w:pPr>
      <w:r>
        <w:rPr>
          <w:rFonts w:hint="eastAsia" w:ascii="宋体" w:hAnsi="宋体" w:cs="宋体"/>
          <w:sz w:val="22"/>
        </w:rPr>
        <w:t>服务说明；</w:t>
      </w:r>
    </w:p>
    <w:p>
      <w:pPr>
        <w:numPr>
          <w:ilvl w:val="0"/>
          <w:numId w:val="41"/>
        </w:numPr>
        <w:spacing w:line="360" w:lineRule="auto"/>
        <w:rPr>
          <w:rFonts w:ascii="宋体" w:hAnsi="宋体" w:cs="宋体"/>
          <w:sz w:val="22"/>
        </w:rPr>
      </w:pPr>
      <w:r>
        <w:rPr>
          <w:rFonts w:hint="eastAsia" w:ascii="宋体" w:hAnsi="宋体" w:cs="宋体"/>
          <w:sz w:val="22"/>
        </w:rPr>
        <w:t>主要技术指标的详细描述；</w:t>
      </w:r>
    </w:p>
    <w:p>
      <w:pPr>
        <w:numPr>
          <w:ilvl w:val="0"/>
          <w:numId w:val="41"/>
        </w:numPr>
        <w:spacing w:line="360" w:lineRule="auto"/>
        <w:rPr>
          <w:rFonts w:ascii="宋体" w:hAnsi="宋体" w:cs="宋体"/>
          <w:sz w:val="22"/>
        </w:rPr>
      </w:pPr>
      <w:r>
        <w:rPr>
          <w:rFonts w:hint="eastAsia" w:ascii="宋体" w:hAnsi="宋体" w:cs="宋体"/>
          <w:sz w:val="22"/>
        </w:rPr>
        <w:t>相关检测、检验、测试报告；</w:t>
      </w:r>
    </w:p>
    <w:p>
      <w:pPr>
        <w:numPr>
          <w:ilvl w:val="0"/>
          <w:numId w:val="41"/>
        </w:numPr>
        <w:spacing w:line="360" w:lineRule="auto"/>
        <w:rPr>
          <w:rFonts w:ascii="宋体" w:hAnsi="宋体" w:cs="宋体"/>
          <w:sz w:val="22"/>
        </w:rPr>
      </w:pPr>
      <w:r>
        <w:rPr>
          <w:rFonts w:hint="eastAsia" w:ascii="宋体" w:hAnsi="宋体" w:cs="宋体"/>
          <w:sz w:val="22"/>
        </w:rPr>
        <w:t>主要服务流程；</w:t>
      </w:r>
    </w:p>
    <w:p>
      <w:pPr>
        <w:numPr>
          <w:ilvl w:val="0"/>
          <w:numId w:val="41"/>
        </w:numPr>
        <w:spacing w:line="360" w:lineRule="auto"/>
        <w:rPr>
          <w:rFonts w:ascii="宋体" w:hAnsi="宋体" w:cs="宋体"/>
          <w:sz w:val="22"/>
        </w:rPr>
      </w:pPr>
      <w:r>
        <w:rPr>
          <w:rFonts w:hint="eastAsia" w:ascii="宋体" w:hAnsi="宋体" w:cs="宋体"/>
          <w:sz w:val="22"/>
        </w:rPr>
        <w:t>项目实施进度控制计划；</w:t>
      </w:r>
    </w:p>
    <w:p>
      <w:pPr>
        <w:numPr>
          <w:ilvl w:val="0"/>
          <w:numId w:val="41"/>
        </w:numPr>
        <w:spacing w:line="360" w:lineRule="auto"/>
        <w:rPr>
          <w:rFonts w:ascii="宋体" w:hAnsi="宋体" w:cs="宋体"/>
          <w:sz w:val="22"/>
        </w:rPr>
      </w:pPr>
      <w:r>
        <w:rPr>
          <w:rFonts w:hint="eastAsia" w:ascii="宋体" w:hAnsi="宋体" w:cs="宋体"/>
          <w:sz w:val="22"/>
        </w:rPr>
        <w:t>相关服务实施方案；</w:t>
      </w:r>
    </w:p>
    <w:p>
      <w:pPr>
        <w:numPr>
          <w:ilvl w:val="0"/>
          <w:numId w:val="41"/>
        </w:numPr>
        <w:spacing w:line="360" w:lineRule="auto"/>
        <w:rPr>
          <w:rFonts w:ascii="宋体" w:hAnsi="宋体" w:cs="宋体"/>
          <w:sz w:val="22"/>
        </w:rPr>
      </w:pPr>
      <w:r>
        <w:rPr>
          <w:rFonts w:hint="eastAsia" w:ascii="宋体" w:hAnsi="宋体" w:cs="宋体"/>
          <w:sz w:val="22"/>
        </w:rPr>
        <w:t>技术支持及售后服务方案；</w:t>
      </w:r>
    </w:p>
    <w:p>
      <w:pPr>
        <w:numPr>
          <w:ilvl w:val="0"/>
          <w:numId w:val="41"/>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21 -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24</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44</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55</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- 74 -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BFMNJj4A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zDp2gAAAA0B&#10;AAAPAAAAAAAAAAEAIAAAACIAAABkcnMvZG93bnJldi54bWxQSwECFAAUAAAACACHTuJARTDSY+AB&#10;AAC1AwAADgAAAAAAAAABACAAAAApAQAAZHJzL2Uyb0RvYy54bWxQSwUGAAAAAAYABgBZAQAAewUA&#10;A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8F592"/>
    <w:multiLevelType w:val="singleLevel"/>
    <w:tmpl w:val="AC78F592"/>
    <w:lvl w:ilvl="0" w:tentative="0">
      <w:start w:val="4"/>
      <w:numFmt w:val="chineseCounting"/>
      <w:suff w:val="space"/>
      <w:lvlText w:val="第%1章"/>
      <w:lvlJc w:val="left"/>
      <w:rPr>
        <w:rFonts w:hint="eastAsia"/>
      </w:rPr>
    </w:lvl>
  </w:abstractNum>
  <w:abstractNum w:abstractNumId="1">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2">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3">
    <w:nsid w:val="00000005"/>
    <w:multiLevelType w:val="multilevel"/>
    <w:tmpl w:val="00000005"/>
    <w:lvl w:ilvl="0" w:tentative="0">
      <w:start w:val="1"/>
      <w:numFmt w:val="decimal"/>
      <w:lvlText w:val="11.%1"/>
      <w:lvlJc w:val="left"/>
      <w:pPr>
        <w:tabs>
          <w:tab w:val="left" w:pos="0"/>
        </w:tabs>
        <w:ind w:left="0" w:firstLine="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5">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7">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8">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9">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2">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3">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5">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7">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8">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9">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2">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9C4BD6E"/>
    <w:multiLevelType w:val="singleLevel"/>
    <w:tmpl w:val="59C4BD6E"/>
    <w:lvl w:ilvl="0" w:tentative="0">
      <w:start w:val="1"/>
      <w:numFmt w:val="decimal"/>
      <w:suff w:val="nothing"/>
      <w:lvlText w:val="（%1）"/>
      <w:lvlJc w:val="left"/>
    </w:lvl>
  </w:abstractNum>
  <w:abstractNum w:abstractNumId="24">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E7CAE06"/>
    <w:multiLevelType w:val="singleLevel"/>
    <w:tmpl w:val="5E7CAE06"/>
    <w:lvl w:ilvl="0" w:tentative="0">
      <w:start w:val="1"/>
      <w:numFmt w:val="decimal"/>
      <w:pStyle w:val="17"/>
      <w:lvlText w:val="%1."/>
      <w:lvlJc w:val="left"/>
      <w:pPr>
        <w:tabs>
          <w:tab w:val="left" w:pos="780"/>
        </w:tabs>
        <w:ind w:left="780" w:hanging="360"/>
      </w:pPr>
    </w:lvl>
  </w:abstractNum>
  <w:abstractNum w:abstractNumId="26">
    <w:nsid w:val="5E7CAE1C"/>
    <w:multiLevelType w:val="singleLevel"/>
    <w:tmpl w:val="5E7CAE1C"/>
    <w:lvl w:ilvl="0" w:tentative="0">
      <w:start w:val="1"/>
      <w:numFmt w:val="decimal"/>
      <w:pStyle w:val="22"/>
      <w:lvlText w:val="%1."/>
      <w:lvlJc w:val="left"/>
      <w:pPr>
        <w:tabs>
          <w:tab w:val="left" w:pos="360"/>
        </w:tabs>
        <w:ind w:left="360" w:hanging="360"/>
      </w:pPr>
    </w:lvl>
  </w:abstractNum>
  <w:abstractNum w:abstractNumId="27">
    <w:nsid w:val="5E7CAE27"/>
    <w:multiLevelType w:val="singleLevel"/>
    <w:tmpl w:val="5E7CAE27"/>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E7CAE32"/>
    <w:multiLevelType w:val="singleLevel"/>
    <w:tmpl w:val="5E7CAE32"/>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E7CAE48"/>
    <w:multiLevelType w:val="singleLevel"/>
    <w:tmpl w:val="5E7CAE48"/>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E7CAE53"/>
    <w:multiLevelType w:val="singleLevel"/>
    <w:tmpl w:val="5E7CAE53"/>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E7CAE5E"/>
    <w:multiLevelType w:val="singleLevel"/>
    <w:tmpl w:val="5E7CAE5E"/>
    <w:lvl w:ilvl="0" w:tentative="0">
      <w:start w:val="1"/>
      <w:numFmt w:val="decimal"/>
      <w:pStyle w:val="43"/>
      <w:lvlText w:val="%1."/>
      <w:lvlJc w:val="left"/>
      <w:pPr>
        <w:tabs>
          <w:tab w:val="left" w:pos="1620"/>
        </w:tabs>
        <w:ind w:left="1620" w:hanging="360"/>
      </w:pPr>
    </w:lvl>
  </w:abstractNum>
  <w:abstractNum w:abstractNumId="32">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9">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10"/>
  </w:num>
  <w:num w:numId="9">
    <w:abstractNumId w:val="36"/>
  </w:num>
  <w:num w:numId="10">
    <w:abstractNumId w:val="37"/>
  </w:num>
  <w:num w:numId="11">
    <w:abstractNumId w:val="2"/>
    <w:lvlOverride w:ilvl="0">
      <w:startOverride w:val="1"/>
    </w:lvlOverride>
  </w:num>
  <w:num w:numId="12">
    <w:abstractNumId w:val="1"/>
    <w:lvlOverride w:ilvl="0">
      <w:startOverride w:val="1"/>
    </w:lvlOverride>
  </w:num>
  <w:num w:numId="13">
    <w:abstractNumId w:val="15"/>
  </w:num>
  <w:num w:numId="14">
    <w:abstractNumId w:val="16"/>
  </w:num>
  <w:num w:numId="15">
    <w:abstractNumId w:val="21"/>
  </w:num>
  <w:num w:numId="16">
    <w:abstractNumId w:val="34"/>
  </w:num>
  <w:num w:numId="17">
    <w:abstractNumId w:val="35"/>
  </w:num>
  <w:num w:numId="18">
    <w:abstractNumId w:val="12"/>
  </w:num>
  <w:num w:numId="19">
    <w:abstractNumId w:val="11"/>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5"/>
  </w:num>
  <w:num w:numId="25">
    <w:abstractNumId w:val="9"/>
  </w:num>
  <w:num w:numId="26">
    <w:abstractNumId w:val="19"/>
  </w:num>
  <w:num w:numId="27">
    <w:abstractNumId w:val="13"/>
  </w:num>
  <w:num w:numId="28">
    <w:abstractNumId w:val="24"/>
  </w:num>
  <w:num w:numId="29">
    <w:abstractNumId w:val="33"/>
  </w:num>
  <w:num w:numId="30">
    <w:abstractNumId w:val="22"/>
  </w:num>
  <w:num w:numId="31">
    <w:abstractNumId w:val="40"/>
  </w:num>
  <w:num w:numId="32">
    <w:abstractNumId w:val="17"/>
  </w:num>
  <w:num w:numId="33">
    <w:abstractNumId w:val="18"/>
  </w:num>
  <w:num w:numId="34">
    <w:abstractNumId w:val="32"/>
  </w:num>
  <w:num w:numId="35">
    <w:abstractNumId w:val="23"/>
  </w:num>
  <w:num w:numId="36">
    <w:abstractNumId w:val="0"/>
  </w:num>
  <w:num w:numId="37">
    <w:abstractNumId w:val="3"/>
  </w:num>
  <w:num w:numId="38">
    <w:abstractNumId w:val="38"/>
  </w:num>
  <w:num w:numId="39">
    <w:abstractNumId w:val="39"/>
  </w:num>
  <w:num w:numId="40">
    <w:abstractNumId w:val="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0499D"/>
    <w:rsid w:val="0E2940CB"/>
    <w:rsid w:val="20583D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Times New Roman" w:hAnsi="Times New Roman" w:eastAsia="宋体" w:cs="Times New Roman"/>
      <w:b/>
      <w:bCs/>
      <w:lang w:val="en-US" w:eastAsia="zh-CN" w:bidi="ar-SA"/>
    </w:rPr>
  </w:style>
  <w:style w:type="character" w:styleId="81">
    <w:name w:val="endnote reference"/>
    <w:qFormat/>
    <w:uiPriority w:val="0"/>
    <w:rPr>
      <w:rFonts w:ascii="Times New Roman" w:hAnsi="Times New Roman" w:eastAsia="宋体" w:cs="Times New Roman"/>
      <w:vertAlign w:val="superscript"/>
      <w:lang w:val="en-US" w:eastAsia="zh-CN" w:bidi="ar-SA"/>
    </w:rPr>
  </w:style>
  <w:style w:type="character" w:styleId="82">
    <w:name w:val="page number"/>
    <w:qFormat/>
    <w:uiPriority w:val="0"/>
    <w:rPr>
      <w:rFonts w:ascii="Times New Roman" w:hAnsi="Times New Roman" w:eastAsia="宋体" w:cs="Times New Roman"/>
      <w:lang w:val="en-US" w:eastAsia="zh-CN" w:bidi="ar-SA"/>
    </w:rPr>
  </w:style>
  <w:style w:type="character" w:styleId="83">
    <w:name w:val="FollowedHyperlink"/>
    <w:qFormat/>
    <w:uiPriority w:val="99"/>
    <w:rPr>
      <w:rFonts w:ascii="Times New Roman" w:hAnsi="Times New Roman" w:eastAsia="宋体" w:cs="Times New Roman"/>
      <w:color w:val="800080"/>
      <w:u w:val="single"/>
      <w:lang w:val="en-US" w:eastAsia="zh-CN" w:bidi="ar-SA"/>
    </w:rPr>
  </w:style>
  <w:style w:type="character" w:styleId="84">
    <w:name w:val="Emphasis"/>
    <w:qFormat/>
    <w:uiPriority w:val="20"/>
    <w:rPr>
      <w:rFonts w:ascii="Times New Roman" w:hAnsi="Times New Roman" w:eastAsia="宋体" w:cs="Times New Roman"/>
      <w:i/>
      <w:iCs/>
      <w:lang w:val="en-US" w:eastAsia="zh-CN" w:bidi="ar-SA"/>
    </w:rPr>
  </w:style>
  <w:style w:type="character" w:styleId="85">
    <w:name w:val="line number"/>
    <w:basedOn w:val="79"/>
    <w:qFormat/>
    <w:uiPriority w:val="0"/>
    <w:rPr>
      <w:rFonts w:ascii="Times New Roman" w:hAnsi="Times New Roman" w:eastAsia="宋体" w:cs="Times New Roman"/>
      <w:lang w:val="en-US" w:eastAsia="zh-CN" w:bidi="ar-SA"/>
    </w:rPr>
  </w:style>
  <w:style w:type="character" w:styleId="86">
    <w:name w:val="Hyperlink"/>
    <w:unhideWhenUsed/>
    <w:qFormat/>
    <w:uiPriority w:val="99"/>
    <w:rPr>
      <w:rFonts w:ascii="Times New Roman" w:hAnsi="Times New Roman" w:eastAsia="宋体" w:cs="Times New Roman"/>
      <w:color w:val="0000FF"/>
      <w:u w:val="single"/>
      <w:lang w:val="en-US" w:eastAsia="zh-CN" w:bidi="ar-SA"/>
    </w:rPr>
  </w:style>
  <w:style w:type="character" w:styleId="87">
    <w:name w:val="annotation reference"/>
    <w:qFormat/>
    <w:uiPriority w:val="0"/>
    <w:rPr>
      <w:rFonts w:ascii="Times New Roman" w:hAnsi="Times New Roman" w:eastAsia="宋体" w:cs="Times New Roman"/>
      <w:sz w:val="21"/>
      <w:szCs w:val="21"/>
      <w:lang w:val="en-US" w:eastAsia="zh-CN" w:bidi="ar-SA"/>
    </w:rPr>
  </w:style>
  <w:style w:type="character" w:styleId="88">
    <w:name w:val="footnote reference"/>
    <w:qFormat/>
    <w:uiPriority w:val="0"/>
    <w:rPr>
      <w:rFonts w:ascii="Times New Roman" w:hAnsi="Times New Roman" w:eastAsia="宋体" w:cs="Times New Roman"/>
      <w:vertAlign w:val="superscript"/>
      <w:lang w:val="en-US" w:eastAsia="zh-CN" w:bidi="ar-SA"/>
    </w:r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Times New Roman" w:hAnsi="Times New Roman" w:eastAsia="宋体" w:cs="Times New Roman"/>
      <w:sz w:val="18"/>
      <w:szCs w:val="18"/>
      <w:lang w:val="en-US" w:eastAsia="zh-CN" w:bidi="ar-SA"/>
    </w:rPr>
  </w:style>
  <w:style w:type="character" w:customStyle="1" w:styleId="94">
    <w:name w:val="页脚 字符1"/>
    <w:link w:val="50"/>
    <w:qFormat/>
    <w:uiPriority w:val="0"/>
    <w:rPr>
      <w:rFonts w:ascii="Times New Roman" w:hAnsi="Times New Roman" w:eastAsia="宋体" w:cs="Times New Roman"/>
      <w:sz w:val="18"/>
      <w:szCs w:val="18"/>
      <w:lang w:val="en-US" w:eastAsia="zh-CN" w:bidi="ar-SA"/>
    </w:rPr>
  </w:style>
  <w:style w:type="character" w:customStyle="1" w:styleId="95">
    <w:name w:val="标题 1 字符1"/>
    <w:link w:val="2"/>
    <w:qFormat/>
    <w:uiPriority w:val="0"/>
    <w:rPr>
      <w:rFonts w:ascii="Times New Roman" w:hAnsi="Times New Roman"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Times New Roman" w:hAnsi="Times New Roman"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Times New Roman" w:hAnsi="Times New Roman"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Times New Roman" w:hAnsi="Times New Roman"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uiPriority w:val="0"/>
    <w:rPr>
      <w:rFonts w:hint="eastAsia" w:ascii="宋体" w:hAnsi="宋体" w:eastAsia="宋体" w:cs="Times New Roman"/>
      <w:sz w:val="21"/>
      <w:szCs w:val="21"/>
      <w:lang w:val="en-US" w:eastAsia="zh-CN" w:bidi="ar-SA"/>
    </w:rPr>
  </w:style>
  <w:style w:type="character" w:customStyle="1" w:styleId="110">
    <w:name w:val="zbggmain style9"/>
    <w:basedOn w:val="79"/>
    <w:qFormat/>
    <w:uiPriority w:val="0"/>
    <w:rPr>
      <w:rFonts w:ascii="Times New Roman" w:hAnsi="Times New Roman"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Times New Roman" w:eastAsia="黑体" w:cs="Times New Roman"/>
      <w:szCs w:val="24"/>
      <w:lang w:val="en-US" w:eastAsia="zh-CN" w:bidi="ar-SA"/>
    </w:rPr>
  </w:style>
  <w:style w:type="character" w:customStyle="1" w:styleId="113">
    <w:name w:val="ca-91"/>
    <w:qFormat/>
    <w:uiPriority w:val="0"/>
    <w:rPr>
      <w:rFonts w:hint="eastAsia" w:ascii="楷体_GB2312" w:hAnsi="Times New Roman"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Times New Roman" w:hAnsi="Times New Roman"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Times New Roman" w:hAnsi="Times New Roman" w:eastAsia="宋体" w:cs="Times New Roman"/>
      <w:szCs w:val="24"/>
      <w:lang w:val="en-US" w:eastAsia="zh-CN" w:bidi="ar-SA"/>
    </w:rPr>
  </w:style>
  <w:style w:type="character" w:customStyle="1" w:styleId="123">
    <w:name w:val="zbggtop11 style5"/>
    <w:qFormat/>
    <w:uiPriority w:val="0"/>
    <w:rPr>
      <w:rFonts w:ascii="Times New Roman" w:hAnsi="Times New Roman" w:eastAsia="宋体" w:cs="Times New Roman"/>
      <w:lang w:val="en-US" w:eastAsia="zh-CN" w:bidi="ar-SA"/>
    </w:rPr>
  </w:style>
  <w:style w:type="character" w:customStyle="1" w:styleId="124">
    <w:name w:val="批注主题 字符1"/>
    <w:link w:val="12"/>
    <w:qFormat/>
    <w:uiPriority w:val="0"/>
    <w:rPr>
      <w:rFonts w:ascii="Times New Roman" w:hAnsi="Times New Roman" w:eastAsia="宋体" w:cs="Times New Roman"/>
      <w:b/>
      <w:bCs/>
      <w:lang w:val="en-US" w:eastAsia="zh-CN" w:bidi="ar-SA"/>
    </w:rPr>
  </w:style>
  <w:style w:type="character" w:customStyle="1" w:styleId="125">
    <w:name w:val="页眉 Char1"/>
    <w:qFormat/>
    <w:uiPriority w:val="0"/>
    <w:rPr>
      <w:rFonts w:ascii="Times New Roman" w:hAnsi="Times New Roman"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Times New Roman" w:hAnsi="Times New Roman" w:eastAsia="宋体" w:cs="Times New Roman"/>
      <w:szCs w:val="24"/>
      <w:lang w:val="en-US" w:eastAsia="zh-CN" w:bidi="ar-SA"/>
    </w:rPr>
  </w:style>
  <w:style w:type="character" w:customStyle="1" w:styleId="131">
    <w:name w:val="批注框文本 字符1"/>
    <w:link w:val="49"/>
    <w:qFormat/>
    <w:uiPriority w:val="0"/>
    <w:rPr>
      <w:rFonts w:ascii="Times New Roman" w:hAnsi="Times New Roman"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Times New Roman" w:hAnsi="Times New Roman" w:eastAsia="宋体" w:cs="Times New Roman"/>
      <w:szCs w:val="20"/>
      <w:lang w:val="en-US" w:eastAsia="zh-CN" w:bidi="ar-SA"/>
    </w:rPr>
  </w:style>
  <w:style w:type="character" w:customStyle="1" w:styleId="134">
    <w:name w:val="zbggmainstyle9"/>
    <w:qFormat/>
    <w:uiPriority w:val="0"/>
    <w:rPr>
      <w:rFonts w:ascii="Times New Roman" w:hAnsi="Times New Roman"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Times New Roman" w:hAnsi="Times New Roman" w:eastAsia="宋体" w:cs="Times New Roman"/>
      <w:b/>
      <w:bCs/>
      <w:sz w:val="32"/>
      <w:szCs w:val="32"/>
      <w:lang w:val="en-US" w:eastAsia="zh-CN" w:bidi="ar-SA"/>
    </w:rPr>
  </w:style>
  <w:style w:type="character" w:customStyle="1" w:styleId="143">
    <w:name w:val="ca-131"/>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Times New Roman" w:hAnsi="Times New Roman"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Times New Roman" w:hAnsi="Times New Roman"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Times New Roman" w:hAnsi="Times New Roman" w:eastAsia="宋体" w:cs="Times New Roman"/>
      <w:kern w:val="2"/>
      <w:sz w:val="18"/>
      <w:szCs w:val="18"/>
      <w:lang w:val="en-US" w:eastAsia="zh-CN" w:bidi="ar-SA"/>
    </w:rPr>
  </w:style>
  <w:style w:type="character" w:customStyle="1" w:styleId="150">
    <w:name w:val="表正文 Char1"/>
    <w:qFormat/>
    <w:uiPriority w:val="0"/>
    <w:rPr>
      <w:rFonts w:ascii="Times New Roman" w:hAnsi="Times New Roman" w:eastAsia="宋体" w:cs="Times New Roman"/>
      <w:kern w:val="2"/>
      <w:sz w:val="21"/>
      <w:szCs w:val="24"/>
      <w:lang w:val="en-US" w:eastAsia="zh-CN" w:bidi="ar-SA"/>
    </w:rPr>
  </w:style>
  <w:style w:type="character" w:customStyle="1" w:styleId="151">
    <w:name w:val="批注文字 字符1"/>
    <w:link w:val="13"/>
    <w:qFormat/>
    <w:uiPriority w:val="0"/>
    <w:rPr>
      <w:rFonts w:ascii="Times New Roman" w:hAnsi="Times New Roman"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Times New Roman" w:hAnsi="Times New Roman"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Times New Roman" w:hAnsi="Times New Roman"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Times New Roman" w:hAnsi="Times New Roman"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Times New Roman" w:hAnsi="Times New Roman" w:eastAsia="宋体" w:cs="Times New Roman"/>
      <w:kern w:val="2"/>
      <w:sz w:val="18"/>
      <w:szCs w:val="18"/>
      <w:lang w:val="en-US" w:eastAsia="zh-CN" w:bidi="ar-SA"/>
    </w:rPr>
  </w:style>
  <w:style w:type="character" w:customStyle="1" w:styleId="172">
    <w:name w:val="正文文本 3 字符1"/>
    <w:link w:val="31"/>
    <w:qFormat/>
    <w:uiPriority w:val="0"/>
    <w:rPr>
      <w:rFonts w:ascii="宋体" w:hAnsi="Times New Roman" w:eastAsia="宋体" w:cs="Times New Roman"/>
      <w:sz w:val="24"/>
      <w:szCs w:val="20"/>
      <w:lang w:val="en-US" w:eastAsia="zh-CN" w:bidi="ar-SA"/>
    </w:rPr>
  </w:style>
  <w:style w:type="character" w:customStyle="1" w:styleId="173">
    <w:name w:val="Char Char9"/>
    <w:qFormat/>
    <w:uiPriority w:val="0"/>
    <w:rPr>
      <w:rFonts w:ascii="Times New Roman" w:hAnsi="Times New Roman" w:eastAsia="宋体" w:cs="Times New Roman"/>
      <w:color w:val="000000"/>
      <w:kern w:val="2"/>
      <w:sz w:val="24"/>
      <w:lang w:val="en-US" w:eastAsia="zh-CN" w:bidi="ar-SA"/>
    </w:rPr>
  </w:style>
  <w:style w:type="character" w:customStyle="1" w:styleId="174">
    <w:name w:val="Body Text Indent Char"/>
    <w:semiHidden/>
    <w:qFormat/>
    <w:locked/>
    <w:uiPriority w:val="0"/>
    <w:rPr>
      <w:rFonts w:ascii="Times New Roman" w:hAnsi="Times New Roman"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Times New Roman" w:hAnsi="Times New Roman" w:eastAsia="宋体" w:cs="Times New Roman"/>
      <w:lang w:val="en-US" w:eastAsia="zh-CN" w:bidi="ar-SA"/>
    </w:rPr>
  </w:style>
  <w:style w:type="character" w:customStyle="1" w:styleId="179">
    <w:name w:val="正文文字4 Char Char"/>
    <w:qFormat/>
    <w:uiPriority w:val="0"/>
    <w:rPr>
      <w:rFonts w:ascii="Times New Roman" w:hAnsi="Times New Roman" w:eastAsia="宋体" w:cs="Times New Roman"/>
      <w:kern w:val="2"/>
      <w:sz w:val="21"/>
      <w:szCs w:val="24"/>
      <w:lang w:val="en-US" w:eastAsia="zh-CN" w:bidi="ar-SA"/>
    </w:rPr>
  </w:style>
  <w:style w:type="character" w:customStyle="1" w:styleId="180">
    <w:name w:val="style91"/>
    <w:qFormat/>
    <w:uiPriority w:val="0"/>
    <w:rPr>
      <w:rFonts w:ascii="Times New Roman" w:hAnsi="Times New Roman"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Times New Roman" w:hAnsi="Times New Roman"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Times New Roman" w:hAnsi="Times New Roman"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Times New Roman" w:hAnsi="Times New Roman"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Times New Roman" w:hAnsi="Times New Roman"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Times New Roman" w:hAnsi="Times New Roman"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Times New Roman" w:hAnsi="Times New Roman" w:eastAsia="宋体" w:cs="Times New Roman"/>
      <w:kern w:val="2"/>
      <w:sz w:val="21"/>
      <w:szCs w:val="22"/>
      <w:lang w:val="en-US" w:eastAsia="zh-CN" w:bidi="ar-SA"/>
    </w:rPr>
  </w:style>
  <w:style w:type="character" w:customStyle="1" w:styleId="206">
    <w:name w:val="尾注文本 Char1"/>
    <w:qFormat/>
    <w:uiPriority w:val="99"/>
    <w:rPr>
      <w:rFonts w:ascii="Times New Roman" w:hAnsi="Times New Roman"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Times New Roman" w:hAnsi="Times New Roman" w:eastAsia="宋体" w:cs="Times New Roman"/>
      <w:b/>
      <w:bCs/>
      <w:kern w:val="2"/>
      <w:sz w:val="21"/>
      <w:szCs w:val="22"/>
      <w:lang w:val="en-US" w:eastAsia="zh-CN" w:bidi="ar-SA"/>
    </w:rPr>
  </w:style>
  <w:style w:type="character" w:customStyle="1" w:styleId="209">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210">
    <w:name w:val="文档结构图 Char1"/>
    <w:semiHidden/>
    <w:qFormat/>
    <w:uiPriority w:val="99"/>
    <w:rPr>
      <w:rFonts w:ascii="宋体" w:hAnsi="Times New Roman" w:eastAsia="宋体" w:cs="Times New Roman"/>
      <w:kern w:val="2"/>
      <w:sz w:val="18"/>
      <w:szCs w:val="18"/>
      <w:lang w:val="en-US" w:eastAsia="zh-CN" w:bidi="ar-SA"/>
    </w:rPr>
  </w:style>
  <w:style w:type="character" w:customStyle="1" w:styleId="211">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212">
    <w:name w:val="日期 Char2"/>
    <w:semiHidden/>
    <w:qFormat/>
    <w:uiPriority w:val="99"/>
    <w:rPr>
      <w:rFonts w:ascii="Times New Roman" w:hAnsi="Times New Roman" w:eastAsia="宋体" w:cs="Times New Roman"/>
      <w:kern w:val="2"/>
      <w:sz w:val="21"/>
      <w:szCs w:val="22"/>
      <w:lang w:val="en-US" w:eastAsia="zh-CN" w:bidi="ar-SA"/>
    </w:rPr>
  </w:style>
  <w:style w:type="character" w:customStyle="1" w:styleId="213">
    <w:name w:val="正文文本 Char1"/>
    <w:qFormat/>
    <w:uiPriority w:val="0"/>
    <w:rPr>
      <w:rFonts w:ascii="Times New Roman" w:hAnsi="Times New Roman" w:eastAsia="宋体" w:cs="Times New Roman"/>
      <w:kern w:val="2"/>
      <w:sz w:val="21"/>
      <w:szCs w:val="22"/>
      <w:lang w:val="en-US" w:eastAsia="zh-CN" w:bidi="ar-SA"/>
    </w:rPr>
  </w:style>
  <w:style w:type="character" w:customStyle="1" w:styleId="214">
    <w:name w:val="正文文本缩进 Char1"/>
    <w:semiHidden/>
    <w:qFormat/>
    <w:uiPriority w:val="0"/>
    <w:rPr>
      <w:rFonts w:ascii="Times New Roman" w:hAnsi="Times New Roman" w:eastAsia="宋体" w:cs="Times New Roman"/>
      <w:kern w:val="2"/>
      <w:sz w:val="21"/>
      <w:szCs w:val="22"/>
      <w:lang w:val="en-US" w:eastAsia="zh-CN" w:bidi="ar-SA"/>
    </w:rPr>
  </w:style>
  <w:style w:type="character" w:customStyle="1" w:styleId="215">
    <w:name w:val="脚注文本 Char1"/>
    <w:qFormat/>
    <w:uiPriority w:val="99"/>
    <w:rPr>
      <w:rFonts w:ascii="Times New Roman" w:hAnsi="Times New Roman"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Times New Roman" w:hAnsi="Times New Roman" w:eastAsia="宋体" w:cs="Times New Roman"/>
      <w:kern w:val="2"/>
      <w:sz w:val="21"/>
      <w:szCs w:val="22"/>
      <w:lang w:val="en-US" w:eastAsia="zh-CN" w:bidi="ar-SA"/>
    </w:rPr>
  </w:style>
  <w:style w:type="character" w:customStyle="1" w:styleId="218">
    <w:name w:val="正文文本 3 Char1"/>
    <w:semiHidden/>
    <w:qFormat/>
    <w:uiPriority w:val="99"/>
    <w:rPr>
      <w:rFonts w:ascii="Times New Roman" w:hAnsi="Times New Roman"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Times New Roman" w:hAnsi="Times New Roman"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0"/>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uiPriority w:val="0"/>
    <w:pPr>
      <w:widowControl/>
      <w:spacing w:line="360" w:lineRule="atLeast"/>
      <w:ind w:firstLine="640"/>
    </w:pPr>
    <w:rPr>
      <w:rFonts w:ascii="宋体" w:hAnsi="宋体" w:cs="宋体"/>
      <w:kern w:val="0"/>
      <w:sz w:val="24"/>
    </w:rPr>
  </w:style>
  <w:style w:type="paragraph" w:customStyle="1" w:styleId="471">
    <w:name w:val="ca-42"/>
    <w:basedOn w:val="1"/>
    <w:uiPriority w:val="0"/>
    <w:pPr>
      <w:widowControl/>
      <w:jc w:val="left"/>
    </w:pPr>
    <w:rPr>
      <w:rFonts w:ascii="宋体" w:hAnsi="宋体" w:cs="宋体"/>
      <w:color w:val="000000"/>
      <w:kern w:val="0"/>
      <w:sz w:val="36"/>
      <w:szCs w:val="36"/>
    </w:rPr>
  </w:style>
  <w:style w:type="paragraph" w:customStyle="1" w:styleId="47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uiPriority w:val="99"/>
    <w:rPr>
      <w:rFonts w:ascii="Times New Roman" w:hAnsi="Times New Roman"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rFonts w:ascii="Times New Roman" w:hAnsi="Times New Roman"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Times New Roman" w:hAnsi="Times New Roman"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Times New Roman" w:hAnsi="Times New Roman"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Times New Roman" w:hAnsi="Times New Roman"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uiPriority w:val="99"/>
    <w:rPr>
      <w:rFonts w:ascii="Times New Roman" w:hAnsi="Times New Roman" w:eastAsia="宋体" w:cs="Times New Roman"/>
      <w:color w:val="605E5C"/>
      <w:shd w:val="clear" w:color="auto" w:fill="E1DFDD"/>
      <w:lang w:val="en-US" w:eastAsia="zh-CN" w:bidi="ar-SA"/>
    </w:rPr>
  </w:style>
  <w:style w:type="table" w:customStyle="1" w:styleId="552">
    <w:name w:val="网格型1"/>
    <w:basedOn w:val="8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Times New Roman" w:hAnsi="Times New Roman"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Times New Roman" w:hAnsi="Times New Roman" w:eastAsia="宋体" w:cs="Times New Roman"/>
      <w:lang w:val="en-US" w:eastAsia="zh-CN" w:bidi="ar-SA"/>
    </w:rPr>
  </w:style>
  <w:style w:type="character" w:customStyle="1" w:styleId="575">
    <w:name w:val="Char Char91"/>
    <w:qFormat/>
    <w:uiPriority w:val="0"/>
    <w:rPr>
      <w:rFonts w:ascii="Times New Roman" w:hAnsi="Times New Roman"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Times New Roman" w:hAnsi="Times New Roman" w:eastAsia="宋体" w:cs="Times New Roman"/>
      <w:kern w:val="0"/>
      <w:sz w:val="20"/>
      <w:szCs w:val="20"/>
      <w:lang w:val="en-US" w:eastAsia="zh-CN" w:bidi="ar-SA"/>
    </w:rPr>
  </w:style>
  <w:style w:type="character" w:customStyle="1" w:styleId="592">
    <w:name w:val="标题3 Char"/>
    <w:basedOn w:val="79"/>
    <w:link w:val="593"/>
    <w:qFormat/>
    <w:locked/>
    <w:uiPriority w:val="0"/>
    <w:rPr>
      <w:rFonts w:ascii="Times New Roman" w:hAnsi="Times New Roman"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Times New Roman" w:hAnsi="Times New Roman"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Times New Roman"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Times New Roman"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Times New Roman" w:hAnsi="Times New Roman"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Times New Roman" w:hAnsi="Times New Roman"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Times New Roman" w:hAnsi="Times New Roman"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Times New Roman" w:hAnsi="Times New Roman" w:eastAsia="宋体" w:cs="Times New Roman"/>
      <w:kern w:val="2"/>
      <w:sz w:val="21"/>
      <w:lang w:val="en-US" w:eastAsia="zh-CN" w:bidi="ar-SA"/>
    </w:rPr>
  </w:style>
  <w:style w:type="character" w:customStyle="1" w:styleId="825">
    <w:name w:val="图形布置 Char"/>
    <w:link w:val="826"/>
    <w:qFormat/>
    <w:uiPriority w:val="0"/>
    <w:rPr>
      <w:rFonts w:ascii="Times New Roman" w:hAnsi="Times New Roman"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Times New Roman"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Times New Roman"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Times New Roman" w:hAnsi="Times New Roman"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Times New Roman" w:hAnsi="Times New Roman" w:eastAsia="宋体" w:cs="Times New Roman"/>
      <w:sz w:val="24"/>
      <w:szCs w:val="24"/>
      <w:lang w:val="en-US" w:eastAsia="zh-CN" w:bidi="ar-SA"/>
    </w:rPr>
  </w:style>
  <w:style w:type="character" w:customStyle="1" w:styleId="972">
    <w:name w:val="表格文字图表文字 Char"/>
    <w:link w:val="973"/>
    <w:qFormat/>
    <w:uiPriority w:val="0"/>
    <w:rPr>
      <w:rFonts w:ascii="Times New Roman" w:hAnsi="Times New Roman"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Times New Roman" w:hAnsi="Times New Roman"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Times New Roman"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Times New Roman" w:hAnsi="Times New Roman"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Times New Roman" w:hAnsi="Times New Roman"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Times New Roman"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Times New Roman" w:hAnsi="Times New Roman"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Times New Roman" w:hAnsi="Times New Roman" w:eastAsia="宋体" w:cs="Times New Roman"/>
      <w:b/>
      <w:bCs/>
      <w:kern w:val="2"/>
      <w:sz w:val="32"/>
      <w:szCs w:val="32"/>
      <w:lang w:val="en-US" w:eastAsia="zh-CN" w:bidi="ar-SA"/>
    </w:rPr>
  </w:style>
  <w:style w:type="character" w:customStyle="1" w:styleId="1005">
    <w:name w:val="even Char"/>
    <w:qFormat/>
    <w:uiPriority w:val="0"/>
    <w:rPr>
      <w:rFonts w:ascii="Times New Roman" w:hAnsi="Times New Roman" w:eastAsia="宋体" w:cs="Times New Roman"/>
      <w:kern w:val="2"/>
      <w:sz w:val="18"/>
      <w:lang w:val="en-US" w:eastAsia="zh-CN" w:bidi="ar-SA"/>
    </w:rPr>
  </w:style>
  <w:style w:type="character" w:customStyle="1" w:styleId="1006">
    <w:name w:val="Heading 3 Char1 Char"/>
    <w:qFormat/>
    <w:uiPriority w:val="0"/>
    <w:rPr>
      <w:rFonts w:ascii="Times New Roman"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Times New Roman" w:hAnsi="Times New Roman"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Times New Roman" w:hAnsi="Times New Roman"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Times New Roman" w:eastAsia="仿宋_GB2312" w:cs="Times New Roman"/>
      <w:b/>
      <w:sz w:val="32"/>
      <w:lang w:val="en-US" w:eastAsia="zh-CN" w:bidi="ar-SA"/>
    </w:rPr>
  </w:style>
  <w:style w:type="character" w:customStyle="1" w:styleId="1015">
    <w:name w:val="符号标题 Char Char"/>
    <w:link w:val="1016"/>
    <w:qFormat/>
    <w:uiPriority w:val="0"/>
    <w:rPr>
      <w:rFonts w:ascii="Times New Roman" w:hAnsi="Times New Roman"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Times New Roman" w:hAnsi="Times New Roman"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Times New Roman" w:hAnsi="Times New Roman"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Times New Roman" w:hAnsi="Times New Roman"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Times New Roman" w:hAnsi="Times New Roman" w:eastAsia="宋体" w:cs="Times New Roman"/>
      <w:kern w:val="2"/>
      <w:sz w:val="18"/>
      <w:szCs w:val="18"/>
      <w:lang w:val="en-US" w:eastAsia="zh-CN" w:bidi="ar-SA"/>
    </w:rPr>
  </w:style>
  <w:style w:type="character" w:customStyle="1" w:styleId="1086">
    <w:name w:val="Char Char15"/>
    <w:qFormat/>
    <w:uiPriority w:val="0"/>
    <w:rPr>
      <w:rFonts w:ascii="Times New Roman" w:hAnsi="Times New Roman"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Times New Roman" w:hAnsi="Times New Roman"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Times New Roman" w:hAnsi="Times New Roman"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Times New Roman" w:hAnsi="Times New Roman"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Times New Roman" w:hAnsi="Times New Roman" w:eastAsia="宋体" w:cs="Times New Roman"/>
      <w:lang w:val="en-US" w:eastAsia="zh-CN" w:bidi="ar-SA"/>
    </w:rPr>
  </w:style>
  <w:style w:type="character" w:customStyle="1" w:styleId="1163">
    <w:name w:val="apple-converted-space"/>
    <w:qFormat/>
    <w:uiPriority w:val="0"/>
    <w:rPr>
      <w:rFonts w:ascii="Times New Roman" w:hAnsi="Times New Roman"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Times New Roman" w:hAnsi="Times New Roman"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Times New Roman" w:hAnsi="Times New Roman"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Times New Roman"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Times New Roman" w:hAnsi="Times New Roman"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Times New Roman" w:hAnsi="Times New Roman"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Times New Roman" w:hAnsi="Times New Roman"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Times New Roman" w:hAnsi="Times New Roman"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Times New Roman" w:hAnsi="Times New Roman"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Times New Roman" w:hAnsi="Times New Roman"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Times New Roman" w:hAnsi="Times New Roman"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Times New Roman"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Times New Roman" w:hAnsi="Times New Roman"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Times New Roman" w:hAnsi="Times New Roman"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Times New Roman" w:hAnsi="Times New Roman" w:eastAsia="宋体" w:cs="Times New Roman"/>
      <w:lang w:val="en-US" w:eastAsia="zh-CN" w:bidi="ar-SA"/>
    </w:rPr>
  </w:style>
  <w:style w:type="character" w:customStyle="1" w:styleId="1377">
    <w:name w:val="article1"/>
    <w:qFormat/>
    <w:uiPriority w:val="0"/>
    <w:rPr>
      <w:rFonts w:ascii="Times New Roman" w:hAnsi="Times New Roman" w:eastAsia="宋体" w:cs="Times New Roman"/>
      <w:sz w:val="22"/>
      <w:szCs w:val="22"/>
      <w:lang w:val="en-US" w:eastAsia="zh-CN" w:bidi="ar-SA"/>
    </w:rPr>
  </w:style>
  <w:style w:type="character" w:customStyle="1" w:styleId="1378">
    <w:name w:val="title2 style1"/>
    <w:qFormat/>
    <w:uiPriority w:val="0"/>
    <w:rPr>
      <w:rFonts w:ascii="Times New Roman" w:hAnsi="Times New Roman" w:eastAsia="宋体" w:cs="Times New Roman"/>
      <w:lang w:val="en-US" w:eastAsia="zh-CN" w:bidi="ar-SA"/>
    </w:rPr>
  </w:style>
  <w:style w:type="character" w:customStyle="1" w:styleId="1379">
    <w:name w:val="bluetxt1"/>
    <w:qFormat/>
    <w:uiPriority w:val="0"/>
    <w:rPr>
      <w:rFonts w:ascii="Times New Roman" w:hAnsi="Times New Roman" w:eastAsia="宋体" w:cs="Times New Roman"/>
      <w:lang w:val="en-US" w:eastAsia="zh-CN" w:bidi="ar-SA"/>
    </w:rPr>
  </w:style>
  <w:style w:type="character" w:customStyle="1" w:styleId="1380">
    <w:name w:val="tcnt3"/>
    <w:qFormat/>
    <w:uiPriority w:val="0"/>
    <w:rPr>
      <w:rFonts w:ascii="Times New Roman" w:hAnsi="Times New Roman"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Times New Roman"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Times New Roman"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Times New Roman" w:hAnsi="Times New Roman"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Times New Roman" w:hAnsi="Times New Roman"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Times New Roman" w:hAnsi="Times New Roman"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Times New Roman" w:hAnsi="Times New Roman" w:eastAsia="黑体" w:cs="Times New Roman"/>
      <w:lang w:val="en-US" w:eastAsia="zh-CN" w:bidi="ar-SA"/>
    </w:rPr>
  </w:style>
  <w:style w:type="character" w:customStyle="1" w:styleId="1393">
    <w:name w:val="样式 ！正文1） + (符号) 宋体 Char"/>
    <w:link w:val="1394"/>
    <w:qFormat/>
    <w:uiPriority w:val="0"/>
    <w:rPr>
      <w:rFonts w:ascii="Times New Roman" w:hAnsi="Times New Roman"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Times New Roman" w:hAnsi="Times New Roman"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Times New Roman" w:hAnsi="Times New Roman" w:eastAsia="宋体" w:cs="Times New Roman"/>
      <w:sz w:val="24"/>
      <w:lang w:val="en-US" w:eastAsia="zh-CN" w:bidi="ar-SA"/>
    </w:rPr>
  </w:style>
  <w:style w:type="character" w:customStyle="1" w:styleId="1444">
    <w:name w:val="正文文本缩进 2 Char1"/>
    <w:qFormat/>
    <w:uiPriority w:val="0"/>
    <w:rPr>
      <w:rFonts w:ascii="Times New Roman" w:hAnsi="Times New Roman"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Times New Roman" w:hAnsi="Times New Roman"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Times New Roman" w:hAnsi="Times New Roman"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Times New Roman" w:hAnsi="Times New Roman"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Times New Roman" w:hAnsi="Times New Roman"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Times New Roman" w:hAnsi="Times New Roman"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Times New Roman" w:hAnsi="Times New Roman" w:eastAsia="宋体" w:cs="Times New Roman"/>
      <w:lang w:val="en-US" w:eastAsia="zh-CN" w:bidi="ar-SA"/>
    </w:rPr>
  </w:style>
  <w:style w:type="character" w:customStyle="1" w:styleId="1519">
    <w:name w:val="text1"/>
    <w:qFormat/>
    <w:uiPriority w:val="0"/>
    <w:rPr>
      <w:rFonts w:ascii="Times New Roman" w:hAnsi="Times New Roman"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Times New Roman"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Times New Roman" w:hAnsi="宋体" w:eastAsia="黑体" w:cs="Times New Roman"/>
      <w:kern w:val="2"/>
      <w:sz w:val="21"/>
      <w:lang w:val="en-US" w:eastAsia="zh-CN" w:bidi="ar-SA"/>
    </w:rPr>
  </w:style>
  <w:style w:type="character" w:customStyle="1" w:styleId="1525">
    <w:name w:val="l131"/>
    <w:qFormat/>
    <w:uiPriority w:val="0"/>
    <w:rPr>
      <w:rFonts w:ascii="Times New Roman" w:hAnsi="Times New Roman"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Times New Roman" w:hAnsi="Times New Roman"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Times New Roman" w:hAnsi="Times New Roman"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Times New Roman" w:hAnsi="Times New Roman" w:eastAsia="宋体" w:cs="Times New Roman"/>
      <w:kern w:val="2"/>
      <w:sz w:val="21"/>
      <w:szCs w:val="24"/>
      <w:lang w:val="en-US" w:eastAsia="zh-CN" w:bidi="ar-SA"/>
    </w:rPr>
  </w:style>
  <w:style w:type="character" w:customStyle="1" w:styleId="1555">
    <w:name w:val="正文文字缩进 3 Char Char"/>
    <w:qFormat/>
    <w:uiPriority w:val="0"/>
    <w:rPr>
      <w:rFonts w:ascii="Times New Roman" w:hAnsi="Times New Roman" w:eastAsia="宋体" w:cs="Times New Roman"/>
      <w:kern w:val="2"/>
      <w:sz w:val="16"/>
      <w:szCs w:val="16"/>
      <w:lang w:val="en-US" w:eastAsia="zh-CN" w:bidi="ar-SA"/>
    </w:rPr>
  </w:style>
  <w:style w:type="character" w:customStyle="1" w:styleId="1556">
    <w:name w:val="正文文字缩进 Char Char"/>
    <w:qFormat/>
    <w:uiPriority w:val="0"/>
    <w:rPr>
      <w:rFonts w:ascii="Times New Roman" w:hAnsi="Times New Roman" w:eastAsia="宋体" w:cs="Times New Roman"/>
      <w:kern w:val="2"/>
      <w:sz w:val="24"/>
      <w:szCs w:val="24"/>
      <w:lang w:val="en-US" w:eastAsia="zh-CN" w:bidi="ar-SA"/>
    </w:rPr>
  </w:style>
  <w:style w:type="character" w:customStyle="1" w:styleId="1557">
    <w:name w:val="正文文字 Char Char"/>
    <w:qFormat/>
    <w:uiPriority w:val="0"/>
    <w:rPr>
      <w:rFonts w:ascii="Times New Roman" w:hAnsi="Times New Roman" w:eastAsia="宋体" w:cs="Times New Roman"/>
      <w:kern w:val="2"/>
      <w:sz w:val="24"/>
      <w:lang w:val="en-US" w:eastAsia="zh-CN" w:bidi="ar-SA"/>
    </w:rPr>
  </w:style>
  <w:style w:type="character" w:customStyle="1" w:styleId="1558">
    <w:name w:val="正文文字缩进 2 Char Char"/>
    <w:qFormat/>
    <w:uiPriority w:val="0"/>
    <w:rPr>
      <w:rFonts w:ascii="宋体" w:hAnsi="Times New Roman" w:eastAsia="宋体" w:cs="Times New Roman"/>
      <w:i/>
      <w:kern w:val="2"/>
      <w:sz w:val="24"/>
      <w:lang w:val="en-US" w:eastAsia="zh-CN" w:bidi="ar-SA"/>
    </w:rPr>
  </w:style>
  <w:style w:type="character" w:customStyle="1" w:styleId="1559">
    <w:name w:val="Char Char18"/>
    <w:qFormat/>
    <w:uiPriority w:val="0"/>
    <w:rPr>
      <w:rFonts w:ascii="宋体" w:hAnsi="Times New Roman"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Times New Roman" w:hAnsi="Times New Roman"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Times New Roman" w:eastAsia="仿宋_GB2312" w:cs="Times New Roman"/>
      <w:b/>
      <w:sz w:val="24"/>
      <w:lang w:val="en-US" w:eastAsia="zh-CN" w:bidi="ar-SA"/>
    </w:rPr>
  </w:style>
  <w:style w:type="character" w:customStyle="1" w:styleId="1569">
    <w:name w:val="Char Char13"/>
    <w:semiHidden/>
    <w:qFormat/>
    <w:uiPriority w:val="0"/>
    <w:rPr>
      <w:rFonts w:ascii="Times New Roman" w:hAnsi="Times New Roman" w:eastAsia="宋体" w:cs="Times New Roman"/>
      <w:kern w:val="2"/>
      <w:sz w:val="18"/>
      <w:szCs w:val="18"/>
      <w:lang w:val="en-US" w:eastAsia="zh-CN" w:bidi="ar-SA"/>
    </w:rPr>
  </w:style>
  <w:style w:type="character" w:customStyle="1" w:styleId="1570">
    <w:name w:val="Char Char7"/>
    <w:qFormat/>
    <w:uiPriority w:val="0"/>
    <w:rPr>
      <w:rFonts w:ascii="Times New Roman" w:hAnsi="Times New Roman" w:eastAsia="宋体" w:cs="Times New Roman"/>
      <w:kern w:val="2"/>
      <w:sz w:val="24"/>
      <w:lang w:val="en-US" w:eastAsia="zh-CN" w:bidi="ar-SA"/>
    </w:rPr>
  </w:style>
  <w:style w:type="character" w:customStyle="1" w:styleId="1571">
    <w:name w:val="1page sec3 Char Char"/>
    <w:qFormat/>
    <w:uiPriority w:val="0"/>
    <w:rPr>
      <w:rFonts w:ascii="Times New Roman" w:hAnsi="Times New Roman"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Times New Roman" w:hAnsi="Times New Roman"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Times New Roman" w:eastAsia="宋体" w:cs="Times New Roman"/>
      <w:szCs w:val="24"/>
      <w:lang w:val="en-US" w:eastAsia="zh-CN" w:bidi="ar-SA"/>
    </w:rPr>
  </w:style>
  <w:style w:type="character" w:customStyle="1" w:styleId="1660">
    <w:name w:val="自定正文 Char"/>
    <w:link w:val="1661"/>
    <w:semiHidden/>
    <w:qFormat/>
    <w:uiPriority w:val="0"/>
    <w:rPr>
      <w:rFonts w:ascii="Times New Roman" w:hAnsi="Times New Roman"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Times New Roman" w:hAnsi="Times New Roman" w:eastAsia="宋体" w:cs="Times New Roman"/>
      <w:b/>
      <w:bCs/>
      <w:kern w:val="2"/>
      <w:sz w:val="21"/>
      <w:szCs w:val="24"/>
      <w:lang w:val="en-US" w:eastAsia="zh-CN" w:bidi="ar-SA"/>
    </w:rPr>
  </w:style>
  <w:style w:type="character" w:customStyle="1" w:styleId="1696">
    <w:name w:val="批注文字 Char Char Char"/>
    <w:qFormat/>
    <w:uiPriority w:val="0"/>
    <w:rPr>
      <w:rFonts w:ascii="Times New Roman" w:hAnsi="Times New Roman" w:eastAsia="宋体" w:cs="Times New Roman"/>
      <w:kern w:val="2"/>
      <w:sz w:val="21"/>
      <w:szCs w:val="24"/>
      <w:lang w:val="en-US" w:eastAsia="zh-CN" w:bidi="ar-SA"/>
    </w:rPr>
  </w:style>
  <w:style w:type="character" w:customStyle="1" w:styleId="1697">
    <w:name w:val="日期 Char Char Char"/>
    <w:qFormat/>
    <w:uiPriority w:val="0"/>
    <w:rPr>
      <w:rFonts w:ascii="Times New Roman" w:hAnsi="Times New Roman"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Times New Roman" w:eastAsia="宋体" w:cs="宋体"/>
      <w:kern w:val="2"/>
      <w:sz w:val="28"/>
      <w:lang w:val="en-US" w:eastAsia="zh-CN" w:bidi="ar-SA"/>
    </w:rPr>
  </w:style>
  <w:style w:type="character" w:customStyle="1" w:styleId="1700">
    <w:name w:val="标题三 Char Char"/>
    <w:qFormat/>
    <w:uiPriority w:val="0"/>
    <w:rPr>
      <w:rFonts w:ascii="Times New Roman" w:hAnsi="Times New Roman" w:eastAsia="宋体" w:cs="Times New Roman"/>
      <w:b/>
      <w:bCs/>
      <w:kern w:val="2"/>
      <w:sz w:val="32"/>
      <w:szCs w:val="32"/>
      <w:lang w:val="en-US" w:eastAsia="zh-CN" w:bidi="ar-SA"/>
    </w:rPr>
  </w:style>
  <w:style w:type="character" w:customStyle="1" w:styleId="1701">
    <w:name w:val="正文文本缩进 3 Char Char Char"/>
    <w:qFormat/>
    <w:uiPriority w:val="0"/>
    <w:rPr>
      <w:rFonts w:ascii="Times New Roman" w:hAnsi="Times New Roman" w:eastAsia="宋体" w:cs="Times New Roman"/>
      <w:kern w:val="2"/>
      <w:sz w:val="16"/>
      <w:szCs w:val="16"/>
      <w:lang w:val="en-US" w:eastAsia="zh-CN" w:bidi="ar-SA"/>
    </w:rPr>
  </w:style>
  <w:style w:type="character" w:customStyle="1" w:styleId="1702">
    <w:name w:val="Char Char161"/>
    <w:semiHidden/>
    <w:qFormat/>
    <w:uiPriority w:val="0"/>
    <w:rPr>
      <w:rFonts w:ascii="Times New Roman" w:hAnsi="Times New Roman" w:eastAsia="宋体" w:cs="Times New Roman"/>
      <w:kern w:val="2"/>
      <w:sz w:val="18"/>
      <w:szCs w:val="18"/>
      <w:lang w:val="en-US" w:eastAsia="zh-CN" w:bidi="ar-SA"/>
    </w:rPr>
  </w:style>
  <w:style w:type="character" w:customStyle="1" w:styleId="1703">
    <w:name w:val="正文文本 2 Char Char Char"/>
    <w:qFormat/>
    <w:uiPriority w:val="0"/>
    <w:rPr>
      <w:rFonts w:ascii="Times New Roman" w:hAnsi="Times New Roman"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Times New Roman" w:hAnsi="Times New Roman" w:eastAsia="宋体" w:cs="宋体"/>
      <w:b/>
      <w:bCs/>
      <w:kern w:val="2"/>
      <w:sz w:val="21"/>
      <w:lang w:val="en-US" w:eastAsia="zh-CN" w:bidi="ar-SA"/>
    </w:rPr>
  </w:style>
  <w:style w:type="character" w:customStyle="1" w:styleId="1705">
    <w:name w:val="文档结构图 Char Char Char"/>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Times New Roman"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Times New Roman" w:hAnsi="Times New Roman" w:eastAsia="宋体" w:cs="Times New Roman"/>
      <w:sz w:val="21"/>
      <w:szCs w:val="24"/>
      <w:lang w:val="en-US" w:eastAsia="zh-CN" w:bidi="ar-SA"/>
    </w:rPr>
  </w:style>
  <w:style w:type="character" w:customStyle="1" w:styleId="1710">
    <w:name w:val="页脚 Char Char Char"/>
    <w:qFormat/>
    <w:uiPriority w:val="0"/>
    <w:rPr>
      <w:rFonts w:ascii="Times New Roman" w:hAnsi="Times New Roman" w:eastAsia="宋体" w:cs="Times New Roman"/>
      <w:kern w:val="2"/>
      <w:sz w:val="18"/>
      <w:szCs w:val="18"/>
      <w:lang w:val="en-US" w:eastAsia="zh-CN" w:bidi="ar-SA"/>
    </w:rPr>
  </w:style>
  <w:style w:type="character" w:customStyle="1" w:styleId="1711">
    <w:name w:val="标题3 Char Char"/>
    <w:qFormat/>
    <w:locked/>
    <w:uiPriority w:val="0"/>
    <w:rPr>
      <w:rFonts w:ascii="Times New Roman" w:hAnsi="Times New Roman" w:eastAsia="宋体" w:cs="Times New Roman"/>
      <w:b/>
      <w:bCs/>
      <w:kern w:val="44"/>
      <w:sz w:val="24"/>
      <w:szCs w:val="44"/>
      <w:lang w:val="en-US" w:eastAsia="zh-CN" w:bidi="ar-SA"/>
    </w:rPr>
  </w:style>
  <w:style w:type="character" w:customStyle="1" w:styleId="1712">
    <w:name w:val="正文文本 3 Char Char Char"/>
    <w:qFormat/>
    <w:uiPriority w:val="0"/>
    <w:rPr>
      <w:rFonts w:ascii="Times New Roman" w:hAnsi="Times New Roman"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Times New Roman" w:hAnsi="Times New Roman" w:eastAsia="宋体" w:cs="Times New Roman"/>
      <w:b/>
      <w:bCs/>
      <w:kern w:val="44"/>
      <w:sz w:val="44"/>
      <w:szCs w:val="44"/>
      <w:lang w:val="en-US" w:eastAsia="zh-CN" w:bidi="ar-SA"/>
    </w:rPr>
  </w:style>
  <w:style w:type="character" w:customStyle="1" w:styleId="1715">
    <w:name w:val="批注框文本 Char Char Char"/>
    <w:qFormat/>
    <w:uiPriority w:val="0"/>
    <w:rPr>
      <w:rFonts w:ascii="Times New Roman" w:hAnsi="Times New Roman"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Times New Roman" w:hAnsi="Times New Roman"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Times New Roman" w:eastAsia="宋体" w:cs="Times New Roman"/>
      <w:sz w:val="24"/>
      <w:lang w:val="en-US" w:eastAsia="zh-CN" w:bidi="ar-SA"/>
    </w:rPr>
  </w:style>
  <w:style w:type="character" w:customStyle="1" w:styleId="1720">
    <w:name w:val="正文 BJ8 Char Char"/>
    <w:link w:val="1721"/>
    <w:semiHidden/>
    <w:qFormat/>
    <w:uiPriority w:val="0"/>
    <w:rPr>
      <w:rFonts w:ascii="Times New Roman" w:hAnsi="Times New Roman"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Times New Roman" w:hAnsi="Times New Roman"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Times New Roman" w:hAnsi="Times New Roman" w:eastAsia="宋体" w:cs="Times New Roman"/>
      <w:lang w:val="en-US" w:eastAsia="zh-CN" w:bidi="ar-SA"/>
    </w:rPr>
  </w:style>
  <w:style w:type="table" w:customStyle="1" w:styleId="1772">
    <w:name w:val="网格型2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Times New Roman" w:hAnsi="Times New Roman" w:eastAsia="宋体" w:cs="Times New Roman"/>
      <w:kern w:val="2"/>
      <w:sz w:val="18"/>
      <w:szCs w:val="18"/>
      <w:lang w:val="en-US" w:eastAsia="zh-CN" w:bidi="ar-SA"/>
    </w:rPr>
  </w:style>
  <w:style w:type="character" w:customStyle="1" w:styleId="1781">
    <w:name w:val="Char Char111"/>
    <w:link w:val="1782"/>
    <w:uiPriority w:val="0"/>
    <w:rPr>
      <w:rFonts w:ascii="Tahoma" w:hAnsi="Tahoma" w:eastAsia="宋体" w:cs="仿宋_GB2312"/>
      <w:sz w:val="24"/>
      <w:szCs w:val="20"/>
      <w:lang w:val="en-US" w:eastAsia="zh-CN" w:bidi="ar-SA"/>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Times New Roman" w:hAnsi="Times New Roman"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Times New Roman" w:hAnsi="Times New Roman" w:eastAsia="宋体" w:cs="Times New Roman"/>
      <w:kern w:val="2"/>
      <w:sz w:val="21"/>
      <w:szCs w:val="24"/>
      <w:lang w:val="en-US" w:eastAsia="zh-CN" w:bidi="ar-SA"/>
    </w:rPr>
  </w:style>
  <w:style w:type="character" w:customStyle="1" w:styleId="1804">
    <w:name w:val="标题 8 字符"/>
    <w:uiPriority w:val="0"/>
    <w:rPr>
      <w:rFonts w:ascii="Arial" w:hAnsi="Arial" w:eastAsia="黑体" w:cs="Times New Roman"/>
      <w:sz w:val="24"/>
      <w:lang w:val="en-US" w:eastAsia="zh-CN" w:bidi="ar-SA"/>
    </w:rPr>
  </w:style>
  <w:style w:type="character" w:customStyle="1" w:styleId="1805">
    <w:name w:val="正文文本缩进 字符"/>
    <w:uiPriority w:val="0"/>
    <w:rPr>
      <w:rFonts w:ascii="Times New Roman" w:hAnsi="Times New Roman" w:eastAsia="宋体" w:cs="Times New Roman"/>
      <w:kern w:val="2"/>
      <w:sz w:val="24"/>
      <w:szCs w:val="24"/>
      <w:lang w:val="en-US" w:eastAsia="zh-CN" w:bidi="ar-SA"/>
    </w:rPr>
  </w:style>
  <w:style w:type="character" w:customStyle="1" w:styleId="1806">
    <w:name w:val="Char Char163"/>
    <w:qFormat/>
    <w:uiPriority w:val="0"/>
    <w:rPr>
      <w:rFonts w:ascii="Times New Roman" w:hAnsi="Times New Roman" w:eastAsia="宋体" w:cs="Times New Roman"/>
      <w:kern w:val="2"/>
      <w:sz w:val="18"/>
      <w:szCs w:val="18"/>
      <w:lang w:val="en-US" w:eastAsia="zh-CN" w:bidi="ar-SA"/>
    </w:rPr>
  </w:style>
  <w:style w:type="character" w:customStyle="1" w:styleId="1807">
    <w:name w:val="文档结构图 字符"/>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Times New Roman" w:hAnsi="Times New Roman" w:eastAsia="宋体" w:cs="Times New Roman"/>
      <w:kern w:val="2"/>
      <w:sz w:val="16"/>
      <w:szCs w:val="16"/>
      <w:lang w:val="en-US" w:eastAsia="zh-CN" w:bidi="ar-SA"/>
    </w:rPr>
  </w:style>
  <w:style w:type="character" w:customStyle="1" w:styleId="1811">
    <w:name w:val="正文文本 3 字符"/>
    <w:qFormat/>
    <w:uiPriority w:val="0"/>
    <w:rPr>
      <w:rFonts w:ascii="Times New Roman" w:hAnsi="Times New Roman"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Times New Roman" w:hAnsi="Times New Roman"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Times New Roman" w:hAnsi="Times New Roman" w:eastAsia="宋体" w:cs="Times New Roman"/>
      <w:kern w:val="2"/>
      <w:sz w:val="21"/>
      <w:szCs w:val="24"/>
      <w:lang w:val="en-US" w:eastAsia="zh-CN" w:bidi="ar-SA"/>
    </w:rPr>
  </w:style>
  <w:style w:type="character" w:customStyle="1" w:styleId="1817">
    <w:name w:val="标题 3 字符"/>
    <w:qFormat/>
    <w:uiPriority w:val="0"/>
    <w:rPr>
      <w:rFonts w:ascii="Times New Roman" w:hAnsi="Times New Roman" w:eastAsia="宋体" w:cs="Times New Roman"/>
      <w:bCs/>
      <w:kern w:val="2"/>
      <w:sz w:val="21"/>
      <w:szCs w:val="32"/>
      <w:lang w:val="en-US" w:eastAsia="zh-CN" w:bidi="ar-SA"/>
    </w:rPr>
  </w:style>
  <w:style w:type="character" w:customStyle="1" w:styleId="1818">
    <w:name w:val="批注主题 字符"/>
    <w:semiHidden/>
    <w:uiPriority w:val="0"/>
    <w:rPr>
      <w:rFonts w:ascii="Times New Roman" w:hAnsi="Times New Roman" w:eastAsia="宋体" w:cs="Times New Roman"/>
      <w:b/>
      <w:bCs/>
      <w:kern w:val="2"/>
      <w:sz w:val="21"/>
      <w:szCs w:val="24"/>
      <w:lang w:val="en-US" w:eastAsia="zh-CN" w:bidi="ar-SA"/>
    </w:rPr>
  </w:style>
  <w:style w:type="character" w:customStyle="1" w:styleId="1819">
    <w:name w:val="标题 7 字符"/>
    <w:qFormat/>
    <w:uiPriority w:val="0"/>
    <w:rPr>
      <w:rFonts w:ascii="宋体" w:hAnsi="Times New Roman" w:eastAsia="仿宋_GB2312" w:cs="Times New Roman"/>
      <w:b/>
      <w:sz w:val="24"/>
      <w:lang w:val="en-US" w:eastAsia="zh-CN" w:bidi="ar-SA"/>
    </w:rPr>
  </w:style>
  <w:style w:type="character" w:customStyle="1" w:styleId="1820">
    <w:name w:val="标题 6 字符"/>
    <w:uiPriority w:val="0"/>
    <w:rPr>
      <w:rFonts w:ascii="Arial" w:hAnsi="Arial" w:eastAsia="黑体" w:cs="Times New Roman"/>
      <w:b/>
      <w:sz w:val="24"/>
      <w:lang w:val="en-US" w:eastAsia="zh-CN" w:bidi="ar-SA"/>
    </w:rPr>
  </w:style>
  <w:style w:type="character" w:customStyle="1" w:styleId="1821">
    <w:name w:val="正文文本缩进 2 字符"/>
    <w:uiPriority w:val="0"/>
    <w:rPr>
      <w:rFonts w:ascii="宋体" w:hAnsi="Times New Roman" w:eastAsia="宋体" w:cs="Times New Roman"/>
      <w:i/>
      <w:kern w:val="2"/>
      <w:sz w:val="24"/>
      <w:lang w:val="en-US" w:eastAsia="zh-CN" w:bidi="ar-SA"/>
    </w:rPr>
  </w:style>
  <w:style w:type="character" w:customStyle="1" w:styleId="1822">
    <w:name w:val="标题 4 字符"/>
    <w:uiPriority w:val="0"/>
    <w:rPr>
      <w:rFonts w:ascii="宋体" w:hAnsi="宋体" w:eastAsia="宋体" w:cs="Times New Roman"/>
      <w:b/>
      <w:bCs/>
      <w:kern w:val="2"/>
      <w:sz w:val="24"/>
      <w:szCs w:val="24"/>
      <w:lang w:val="en-US" w:eastAsia="zh-CN" w:bidi="ar-SA"/>
    </w:rPr>
  </w:style>
  <w:style w:type="character" w:customStyle="1" w:styleId="1823">
    <w:name w:val="尾注文本 字符"/>
    <w:uiPriority w:val="0"/>
    <w:rPr>
      <w:rFonts w:ascii="Times New Roman" w:hAnsi="Times New Roman" w:eastAsia="宋体" w:cs="Times New Roman"/>
      <w:sz w:val="21"/>
      <w:szCs w:val="24"/>
      <w:lang w:val="en-US" w:eastAsia="zh-CN" w:bidi="ar-SA"/>
    </w:rPr>
  </w:style>
  <w:style w:type="character" w:customStyle="1" w:styleId="1824">
    <w:name w:val="日期 字符"/>
    <w:qFormat/>
    <w:uiPriority w:val="0"/>
    <w:rPr>
      <w:rFonts w:ascii="Times New Roman" w:hAnsi="Times New Roman" w:eastAsia="宋体" w:cs="Times New Roman"/>
      <w:kern w:val="2"/>
      <w:sz w:val="21"/>
      <w:lang w:val="en-US" w:eastAsia="zh-CN" w:bidi="ar-SA"/>
    </w:rPr>
  </w:style>
  <w:style w:type="character" w:customStyle="1" w:styleId="1825">
    <w:name w:val="标题 1 字符"/>
    <w:qFormat/>
    <w:locked/>
    <w:uiPriority w:val="0"/>
    <w:rPr>
      <w:rFonts w:ascii="Times New Roman" w:hAnsi="Times New Roman" w:eastAsia="宋体" w:cs="Times New Roman"/>
      <w:b/>
      <w:bCs/>
      <w:kern w:val="44"/>
      <w:sz w:val="44"/>
      <w:szCs w:val="44"/>
      <w:lang w:val="en-US" w:eastAsia="zh-CN" w:bidi="ar-SA"/>
    </w:rPr>
  </w:style>
  <w:style w:type="character" w:customStyle="1" w:styleId="1826">
    <w:name w:val="批注框文本 字符"/>
    <w:qFormat/>
    <w:uiPriority w:val="0"/>
    <w:rPr>
      <w:rFonts w:ascii="Times New Roman" w:hAnsi="Times New Roman" w:eastAsia="宋体" w:cs="Times New Roman"/>
      <w:kern w:val="2"/>
      <w:sz w:val="18"/>
      <w:szCs w:val="18"/>
      <w:lang w:val="en-US" w:eastAsia="zh-CN" w:bidi="ar-SA"/>
    </w:rPr>
  </w:style>
  <w:style w:type="character" w:customStyle="1" w:styleId="1827">
    <w:name w:val="Char Char53"/>
    <w:qFormat/>
    <w:uiPriority w:val="0"/>
    <w:rPr>
      <w:rFonts w:ascii="Times New Roman" w:hAnsi="Times New Roman"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1852">
    <w:name w:val="修订3"/>
    <w:hidden/>
    <w:semiHidden/>
    <w:uiPriority w:val="99"/>
    <w:rPr>
      <w:rFonts w:ascii="Calibri" w:hAnsi="Calibri" w:eastAsia="宋体" w:cs="Times New Roman"/>
      <w:kern w:val="2"/>
      <w:sz w:val="21"/>
      <w:szCs w:val="22"/>
      <w:lang w:val="en-US" w:eastAsia="zh-CN" w:bidi="ar-SA"/>
    </w:rPr>
  </w:style>
  <w:style w:type="character" w:customStyle="1" w:styleId="1853">
    <w:name w:val="font91"/>
    <w:basedOn w:val="79"/>
    <w:qFormat/>
    <w:uiPriority w:val="0"/>
    <w:rPr>
      <w:rFonts w:hint="eastAsia" w:ascii="宋体" w:hAnsi="宋体" w:eastAsia="宋体" w:cs="宋体"/>
      <w:color w:val="000000"/>
      <w:sz w:val="20"/>
      <w:szCs w:val="20"/>
      <w:u w:val="none"/>
      <w:lang w:val="en-US" w:eastAsia="zh-CN" w:bidi="ar-SA"/>
    </w:rPr>
  </w:style>
  <w:style w:type="character" w:customStyle="1" w:styleId="1854">
    <w:name w:val="font112"/>
    <w:basedOn w:val="79"/>
    <w:qFormat/>
    <w:uiPriority w:val="0"/>
    <w:rPr>
      <w:rFonts w:hint="default" w:ascii="Times New Roman" w:hAnsi="Times New Roman" w:eastAsia="宋体" w:cs="Times New Roman"/>
      <w:color w:val="000000"/>
      <w:sz w:val="20"/>
      <w:szCs w:val="20"/>
      <w:u w:val="none"/>
      <w:lang w:val="en-US" w:eastAsia="zh-CN" w:bidi="ar-SA"/>
    </w:rPr>
  </w:style>
  <w:style w:type="character" w:customStyle="1" w:styleId="1855">
    <w:name w:val="font51"/>
    <w:basedOn w:val="79"/>
    <w:qFormat/>
    <w:uiPriority w:val="0"/>
    <w:rPr>
      <w:rFonts w:hint="default" w:ascii="Times New Roman" w:hAnsi="Times New Roman" w:cs="Times New Roman" w:eastAsiaTheme="minorEastAsia"/>
      <w:b/>
      <w:color w:val="000000"/>
      <w:sz w:val="24"/>
      <w:szCs w:val="24"/>
      <w:u w:val="none"/>
      <w:lang w:val="en-US" w:eastAsia="zh-CN" w:bidi="ar-SA"/>
    </w:rPr>
  </w:style>
  <w:style w:type="character" w:customStyle="1" w:styleId="1856">
    <w:name w:val="font81"/>
    <w:basedOn w:val="79"/>
    <w:qFormat/>
    <w:uiPriority w:val="0"/>
    <w:rPr>
      <w:rFonts w:hint="eastAsia" w:ascii="宋体" w:hAnsi="宋体" w:eastAsia="宋体" w:cs="宋体"/>
      <w:color w:val="000000"/>
      <w:sz w:val="20"/>
      <w:szCs w:val="20"/>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6970</Words>
  <Characters>39729</Characters>
  <Lines>331</Lines>
  <Paragraphs>93</Paragraphs>
  <ScaleCrop>false</ScaleCrop>
  <LinksUpToDate>false</LinksUpToDate>
  <CharactersWithSpaces>46606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2020-04-15T06:50:00Z</cp:lastPrinted>
  <dcterms:modified xsi:type="dcterms:W3CDTF">2020-04-20T10:35:05Z</dcterms:modified>
  <dc:title>杭州萧山国际机场服务类项目招标文件示范文本</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