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Lines="20" w:afterLines="20" w:line="360" w:lineRule="auto"/>
        <w:ind w:firstLine="361"/>
        <w:jc w:val="center"/>
        <w:rPr>
          <w:b/>
          <w:bCs/>
          <w:sz w:val="36"/>
          <w:szCs w:val="36"/>
        </w:rPr>
      </w:pPr>
    </w:p>
    <w:p>
      <w:pPr>
        <w:spacing w:beforeLines="20"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Lines="20" w:afterLines="20" w:line="360" w:lineRule="auto"/>
        <w:ind w:firstLine="522"/>
        <w:jc w:val="center"/>
        <w:rPr>
          <w:rFonts w:ascii="黑体" w:hAnsi="黑体" w:eastAsia="黑体"/>
          <w:b/>
          <w:bCs/>
          <w:sz w:val="52"/>
          <w:szCs w:val="52"/>
          <w:u w:val="single"/>
        </w:rPr>
      </w:pPr>
      <w:r>
        <w:rPr>
          <w:rFonts w:hint="eastAsia" w:ascii="黑体" w:hAnsi="黑体" w:eastAsia="黑体"/>
          <w:b/>
          <w:bCs/>
          <w:sz w:val="52"/>
          <w:szCs w:val="52"/>
          <w:u w:val="single"/>
        </w:rPr>
        <w:t>停车场 UPS不间断电源蓄电池</w:t>
      </w:r>
    </w:p>
    <w:p>
      <w:pPr>
        <w:spacing w:beforeLines="20"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采购项目</w:t>
      </w:r>
    </w:p>
    <w:p>
      <w:pPr>
        <w:spacing w:beforeLines="20" w:afterLines="20" w:line="360" w:lineRule="auto"/>
        <w:rPr>
          <w:rFonts w:ascii="黑体" w:hAnsi="黑体" w:eastAsia="黑体"/>
          <w:b/>
          <w:bCs/>
          <w:sz w:val="52"/>
          <w:szCs w:val="52"/>
        </w:rPr>
      </w:pPr>
    </w:p>
    <w:p>
      <w:pPr>
        <w:spacing w:beforeLines="20"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 五月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525202077"/>
      <w:bookmarkStart w:id="3" w:name="_Toc19698493"/>
      <w:r>
        <w:rPr>
          <w:rStyle w:val="95"/>
          <w:rFonts w:hint="eastAsia"/>
        </w:rPr>
        <w:t>目录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第一章招标公告</w:t>
      </w:r>
      <w:bookmarkEnd w:id="4"/>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spacing w:beforeLines="20" w:afterLines="20" w:line="360" w:lineRule="auto"/>
        <w:rPr>
          <w:rFonts w:ascii="宋体" w:hAnsi="宋体" w:cs="宋体"/>
          <w:szCs w:val="24"/>
          <w:u w:val="single" w:color="000000"/>
        </w:rPr>
      </w:pPr>
      <w:r>
        <w:rPr>
          <w:rFonts w:hint="eastAsia" w:ascii="宋体" w:hAnsi="宋体" w:cs="宋体"/>
          <w:szCs w:val="24"/>
          <w:u w:val="single" w:color="000000"/>
        </w:rPr>
        <w:t>停车场 UPS不间断电源蓄电池采购</w:t>
      </w:r>
      <w:r>
        <w:rPr>
          <w:rFonts w:ascii="宋体" w:hAnsi="宋体" w:cs="宋体"/>
          <w:u w:val="single" w:color="000000"/>
        </w:rPr>
        <w:t>项目</w:t>
      </w:r>
      <w:r>
        <w:rPr>
          <w:spacing w:val="-1"/>
        </w:rPr>
        <w:t>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Lines="50" w:line="348" w:lineRule="auto"/>
        <w:ind w:left="102" w:right="153" w:firstLine="420"/>
      </w:pPr>
      <w:r>
        <w:rPr>
          <w:rFonts w:hint="eastAsia"/>
        </w:rPr>
        <w:t>（1）招标货物名称、数量及主要技术规格如下：</w:t>
      </w:r>
    </w:p>
    <w:tbl>
      <w:tblPr>
        <w:tblStyle w:val="89"/>
        <w:tblW w:w="7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25"/>
        <w:gridCol w:w="2780"/>
        <w:gridCol w:w="854"/>
        <w:gridCol w:w="80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5"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425"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2780" w:type="dxa"/>
            <w:vAlign w:val="center"/>
          </w:tcPr>
          <w:p>
            <w:pPr>
              <w:spacing w:line="288" w:lineRule="auto"/>
              <w:jc w:val="center"/>
              <w:rPr>
                <w:rFonts w:ascii="宋体" w:hAnsi="宋体" w:cs="宋体"/>
                <w:caps/>
                <w:sz w:val="22"/>
              </w:rPr>
            </w:pPr>
            <w:r>
              <w:rPr>
                <w:rFonts w:hint="eastAsia" w:ascii="宋体" w:hAnsi="宋体" w:cs="宋体"/>
                <w:caps/>
                <w:sz w:val="22"/>
              </w:rPr>
              <w:t>合计数量（节）</w:t>
            </w:r>
          </w:p>
        </w:tc>
        <w:tc>
          <w:tcPr>
            <w:tcW w:w="854" w:type="dxa"/>
            <w:vAlign w:val="center"/>
          </w:tcPr>
          <w:p>
            <w:pPr>
              <w:adjustRightInd w:val="0"/>
              <w:snapToGrid w:val="0"/>
              <w:jc w:val="center"/>
              <w:rPr>
                <w:rFonts w:ascii="宋体" w:hAnsi="宋体" w:cs="宋体"/>
                <w:caps/>
                <w:sz w:val="22"/>
              </w:rPr>
            </w:pPr>
            <w:r>
              <w:rPr>
                <w:rFonts w:hint="eastAsia" w:ascii="宋体" w:hAnsi="宋体" w:cs="宋体"/>
                <w:sz w:val="22"/>
              </w:rPr>
              <w:t>主要技术规格</w:t>
            </w:r>
          </w:p>
        </w:tc>
        <w:tc>
          <w:tcPr>
            <w:tcW w:w="804" w:type="dxa"/>
            <w:vAlign w:val="center"/>
          </w:tcPr>
          <w:p>
            <w:pPr>
              <w:spacing w:line="288" w:lineRule="auto"/>
              <w:jc w:val="center"/>
              <w:rPr>
                <w:rFonts w:ascii="宋体" w:hAnsi="宋体" w:cs="宋体"/>
                <w:sz w:val="22"/>
              </w:rPr>
            </w:pPr>
            <w:r>
              <w:rPr>
                <w:rFonts w:hint="eastAsia" w:ascii="宋体" w:hAnsi="宋体" w:cs="宋体"/>
                <w:caps/>
                <w:sz w:val="22"/>
              </w:rPr>
              <w:t>交货期</w:t>
            </w:r>
          </w:p>
        </w:tc>
        <w:tc>
          <w:tcPr>
            <w:tcW w:w="808" w:type="dxa"/>
            <w:vAlign w:val="center"/>
          </w:tcPr>
          <w:p>
            <w:pPr>
              <w:spacing w:line="288" w:lineRule="auto"/>
              <w:jc w:val="center"/>
              <w:rPr>
                <w:rFonts w:ascii="宋体" w:hAnsi="宋体" w:cs="宋体"/>
                <w:sz w:val="22"/>
              </w:rPr>
            </w:pPr>
            <w:r>
              <w:rPr>
                <w:rFonts w:hint="eastAsia" w:ascii="宋体" w:hAnsi="宋体" w:cs="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5" w:type="dxa"/>
            <w:vAlign w:val="center"/>
          </w:tcPr>
          <w:p>
            <w:pPr>
              <w:spacing w:line="288" w:lineRule="auto"/>
              <w:jc w:val="center"/>
              <w:rPr>
                <w:rFonts w:ascii="宋体" w:hAnsi="宋体" w:cs="宋体"/>
                <w:caps/>
                <w:sz w:val="22"/>
              </w:rPr>
            </w:pPr>
            <w:r>
              <w:rPr>
                <w:rFonts w:hint="eastAsia" w:ascii="宋体" w:hAnsi="宋体" w:cs="宋体"/>
                <w:caps/>
                <w:sz w:val="22"/>
              </w:rPr>
              <w:t>蓄电池</w:t>
            </w:r>
          </w:p>
        </w:tc>
        <w:tc>
          <w:tcPr>
            <w:tcW w:w="1425" w:type="dxa"/>
            <w:vAlign w:val="center"/>
          </w:tcPr>
          <w:p>
            <w:pPr>
              <w:spacing w:line="288" w:lineRule="auto"/>
              <w:jc w:val="center"/>
              <w:rPr>
                <w:rFonts w:ascii="宋体" w:hAnsi="宋体" w:cs="宋体"/>
                <w:caps/>
                <w:sz w:val="22"/>
              </w:rPr>
            </w:pPr>
            <w:r>
              <w:rPr>
                <w:rFonts w:hint="eastAsia" w:ascii="宋体" w:hAnsi="宋体"/>
              </w:rPr>
              <w:t>12V100AH</w:t>
            </w:r>
          </w:p>
        </w:tc>
        <w:tc>
          <w:tcPr>
            <w:tcW w:w="2780"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854" w:type="dxa"/>
            <w:vAlign w:val="center"/>
          </w:tcPr>
          <w:p>
            <w:pPr>
              <w:adjustRightInd w:val="0"/>
              <w:snapToGrid w:val="0"/>
              <w:jc w:val="center"/>
              <w:rPr>
                <w:rFonts w:ascii="宋体" w:hAnsi="宋体" w:cs="宋体"/>
                <w:sz w:val="22"/>
              </w:rPr>
            </w:pPr>
            <w:r>
              <w:rPr>
                <w:rFonts w:hint="eastAsia" w:ascii="宋体" w:hAnsi="宋体" w:cs="宋体"/>
                <w:kern w:val="0"/>
                <w:sz w:val="22"/>
              </w:rPr>
              <w:t>详见第五章</w:t>
            </w:r>
            <w:r>
              <w:rPr>
                <w:rFonts w:hint="eastAsia" w:ascii="宋体" w:hAnsi="宋体"/>
              </w:rPr>
              <w:t>铅</w:t>
            </w:r>
          </w:p>
        </w:tc>
        <w:tc>
          <w:tcPr>
            <w:tcW w:w="804" w:type="dxa"/>
            <w:vAlign w:val="center"/>
          </w:tcPr>
          <w:p>
            <w:pPr>
              <w:spacing w:line="288" w:lineRule="auto"/>
              <w:jc w:val="center"/>
              <w:rPr>
                <w:rFonts w:ascii="宋体" w:hAnsi="宋体" w:cs="宋体"/>
                <w:caps/>
                <w:sz w:val="22"/>
              </w:rPr>
            </w:pPr>
            <w:r>
              <w:rPr>
                <w:rFonts w:hint="eastAsia" w:ascii="宋体" w:hAnsi="宋体" w:cs="宋体"/>
                <w:sz w:val="22"/>
              </w:rPr>
              <w:t>合同签订后</w:t>
            </w:r>
            <w:r>
              <w:rPr>
                <w:rFonts w:hint="eastAsia" w:ascii="宋体" w:hAnsi="宋体" w:cs="宋体"/>
                <w:sz w:val="22"/>
                <w:u w:val="single"/>
              </w:rPr>
              <w:t xml:space="preserve"> 30 </w:t>
            </w:r>
            <w:r>
              <w:rPr>
                <w:rFonts w:hint="eastAsia" w:ascii="宋体" w:hAnsi="宋体" w:cs="宋体"/>
                <w:sz w:val="22"/>
              </w:rPr>
              <w:t>日历天内</w:t>
            </w:r>
          </w:p>
        </w:tc>
        <w:tc>
          <w:tcPr>
            <w:tcW w:w="808" w:type="dxa"/>
            <w:vAlign w:val="center"/>
          </w:tcPr>
          <w:p>
            <w:pPr>
              <w:spacing w:line="288" w:lineRule="auto"/>
              <w:jc w:val="center"/>
              <w:rPr>
                <w:rFonts w:ascii="宋体" w:hAnsi="宋体" w:cs="宋体"/>
                <w:caps/>
                <w:sz w:val="22"/>
              </w:rPr>
            </w:pPr>
            <w:r>
              <w:rPr>
                <w:rFonts w:hint="eastAsia" w:ascii="宋体" w:hAnsi="宋体" w:cs="宋体"/>
                <w:sz w:val="22"/>
              </w:rPr>
              <w:t>杭州萧山国际机场</w:t>
            </w:r>
          </w:p>
        </w:tc>
      </w:tr>
    </w:tbl>
    <w:p>
      <w:pPr>
        <w:pStyle w:val="16"/>
        <w:tabs>
          <w:tab w:val="left" w:pos="2388"/>
          <w:tab w:val="left" w:pos="2832"/>
          <w:tab w:val="left" w:pos="3472"/>
          <w:tab w:val="left" w:pos="6667"/>
          <w:tab w:val="left" w:pos="7270"/>
        </w:tabs>
        <w:spacing w:line="348" w:lineRule="auto"/>
        <w:ind w:right="153"/>
      </w:pPr>
    </w:p>
    <w:p>
      <w:pPr>
        <w:pStyle w:val="16"/>
        <w:tabs>
          <w:tab w:val="left" w:pos="2388"/>
          <w:tab w:val="left" w:pos="2832"/>
          <w:tab w:val="left" w:pos="3472"/>
          <w:tab w:val="left" w:pos="6667"/>
          <w:tab w:val="left" w:pos="7270"/>
        </w:tabs>
        <w:spacing w:line="348" w:lineRule="auto"/>
        <w:ind w:right="153"/>
      </w:pPr>
      <w:r>
        <w:rPr>
          <w:rFonts w:hint="eastAsia"/>
        </w:rPr>
        <w:t xml:space="preserve">   （2）回收处理40节旧蓄电池数量及主要技术规格如下：</w:t>
      </w:r>
    </w:p>
    <w:tbl>
      <w:tblPr>
        <w:tblStyle w:val="89"/>
        <w:tblW w:w="6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22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宋体" w:hAnsi="宋体"/>
                <w:sz w:val="28"/>
                <w:szCs w:val="28"/>
              </w:rPr>
            </w:pPr>
            <w:r>
              <w:rPr>
                <w:rFonts w:asciiTheme="minorEastAsia" w:hAnsiTheme="minorEastAsia"/>
                <w:caps/>
                <w:sz w:val="22"/>
              </w:rPr>
              <w:t>货物名称</w:t>
            </w:r>
          </w:p>
        </w:tc>
        <w:tc>
          <w:tcPr>
            <w:tcW w:w="222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规格</w:t>
            </w:r>
          </w:p>
        </w:tc>
        <w:tc>
          <w:tcPr>
            <w:tcW w:w="183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数量（节）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Theme="minorEastAsia" w:hAnsiTheme="minorEastAsia"/>
                <w:caps/>
                <w:sz w:val="22"/>
              </w:rPr>
            </w:pPr>
            <w:r>
              <w:rPr>
                <w:rFonts w:hint="eastAsia" w:ascii="宋体" w:hAnsi="宋体" w:cs="宋体"/>
                <w:caps/>
                <w:sz w:val="22"/>
              </w:rPr>
              <w:t>蓄电池1</w:t>
            </w:r>
          </w:p>
        </w:tc>
        <w:tc>
          <w:tcPr>
            <w:tcW w:w="2224" w:type="dxa"/>
            <w:vAlign w:val="center"/>
          </w:tcPr>
          <w:p>
            <w:pPr>
              <w:spacing w:line="288" w:lineRule="auto"/>
              <w:jc w:val="center"/>
              <w:rPr>
                <w:rFonts w:ascii="宋体" w:hAnsi="宋体" w:cs="宋体"/>
                <w:caps/>
                <w:sz w:val="22"/>
              </w:rPr>
            </w:pPr>
            <w:r>
              <w:rPr>
                <w:rFonts w:ascii="宋体" w:hAnsi="宋体" w:cs="宋体"/>
                <w:caps/>
                <w:sz w:val="22"/>
              </w:rPr>
              <w:t>中达 DCF126-12/100</w:t>
            </w:r>
          </w:p>
        </w:tc>
        <w:tc>
          <w:tcPr>
            <w:tcW w:w="183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Theme="minorEastAsia" w:hAnsiTheme="minorEastAsia"/>
                <w:caps/>
                <w:sz w:val="22"/>
              </w:rPr>
            </w:pPr>
            <w:r>
              <w:rPr>
                <w:rFonts w:hint="eastAsia" w:ascii="宋体" w:hAnsi="宋体" w:cs="宋体"/>
                <w:caps/>
                <w:sz w:val="22"/>
              </w:rPr>
              <w:t>蓄电池2</w:t>
            </w:r>
          </w:p>
        </w:tc>
        <w:tc>
          <w:tcPr>
            <w:tcW w:w="2224" w:type="dxa"/>
            <w:vAlign w:val="center"/>
          </w:tcPr>
          <w:p>
            <w:pPr>
              <w:spacing w:line="288" w:lineRule="auto"/>
              <w:jc w:val="center"/>
              <w:rPr>
                <w:rFonts w:ascii="宋体" w:hAnsi="宋体" w:cs="宋体"/>
                <w:caps/>
                <w:sz w:val="22"/>
              </w:rPr>
            </w:pPr>
            <w:r>
              <w:rPr>
                <w:rFonts w:ascii="宋体" w:hAnsi="宋体" w:cs="宋体"/>
                <w:caps/>
                <w:sz w:val="22"/>
              </w:rPr>
              <w:t>中达 DCF126-12/100</w:t>
            </w:r>
          </w:p>
        </w:tc>
        <w:tc>
          <w:tcPr>
            <w:tcW w:w="183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bl>
    <w:p>
      <w:pPr>
        <w:pStyle w:val="16"/>
        <w:tabs>
          <w:tab w:val="left" w:pos="2388"/>
          <w:tab w:val="left" w:pos="2832"/>
          <w:tab w:val="left" w:pos="3472"/>
          <w:tab w:val="left" w:pos="6667"/>
          <w:tab w:val="left" w:pos="7270"/>
        </w:tabs>
        <w:spacing w:line="348" w:lineRule="auto"/>
        <w:ind w:right="153"/>
      </w:pPr>
      <w:r>
        <w:rPr>
          <w:rFonts w:hint="eastAsia"/>
        </w:rPr>
        <w:t xml:space="preserve">       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具有独立法人资格的制造商或代理商，制造商注册资金不少于人民币</w:t>
      </w:r>
      <w:r>
        <w:rPr>
          <w:rFonts w:hint="eastAsia" w:ascii="Times New Roman" w:hAnsi="Times New Roman"/>
          <w:u w:val="single"/>
        </w:rPr>
        <w:t>50</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，代理商注册资金不少于人民币</w:t>
      </w:r>
      <w:r>
        <w:rPr>
          <w:rFonts w:hint="eastAsia" w:ascii="Times New Roman" w:hAnsi="Times New Roman"/>
          <w:u w:val="single"/>
        </w:rPr>
        <w:t>50</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⑤ 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rPr>
          <w:rFonts w:cs="宋体"/>
        </w:rPr>
      </w:pPr>
      <w:r>
        <w:rPr>
          <w:rFonts w:hint="eastAsia" w:cs="宋体"/>
        </w:rPr>
        <w:t>⑥ 近年（合同</w:t>
      </w:r>
      <w:r>
        <w:rPr>
          <w:rFonts w:cs="宋体"/>
        </w:rPr>
        <w:t>签订时间或部分供货期在</w:t>
      </w:r>
      <w:r>
        <w:rPr>
          <w:rFonts w:ascii="Times New Roman" w:hAnsi="Times New Roman" w:eastAsia="Times New Roman"/>
        </w:rPr>
        <w:t>20</w:t>
      </w:r>
      <w:r>
        <w:rPr>
          <w:rFonts w:hint="eastAsia" w:ascii="Times New Roman" w:hAnsi="Times New Roman"/>
        </w:rPr>
        <w:t>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w:t>
      </w:r>
      <w:r>
        <w:rPr>
          <w:rFonts w:cs="宋体"/>
        </w:rPr>
        <w:t>期间</w:t>
      </w:r>
      <w:r>
        <w:rPr>
          <w:rFonts w:hint="eastAsia" w:cs="宋体"/>
        </w:rPr>
        <w:t>）具有投标同类产品的1个（含）以上合同金额≥10万元销售业绩，需提供中标通知书或合同复印件并加盖投标人公章作为证明材料，原件备查。</w:t>
      </w:r>
    </w:p>
    <w:p>
      <w:pPr>
        <w:pStyle w:val="16"/>
        <w:tabs>
          <w:tab w:val="left" w:pos="4394"/>
          <w:tab w:val="left" w:pos="5990"/>
        </w:tabs>
        <w:spacing w:line="331" w:lineRule="auto"/>
        <w:ind w:right="157" w:firstLine="419"/>
        <w:rPr>
          <w:rFonts w:cs="宋体"/>
        </w:rPr>
      </w:pPr>
      <w:r>
        <w:rPr>
          <w:rFonts w:hint="eastAsia" w:cs="宋体"/>
        </w:rPr>
        <w:t>⑦需提供一份同类产品或材质的第三方检测报告并加盖公章，原件备查。</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w:t>
      </w:r>
      <w:r>
        <w:rPr>
          <w:rFonts w:hint="eastAsia" w:ascii="Times New Roman" w:hAnsi="Times New Roman"/>
        </w:rPr>
        <w:t>3</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bookmarkStart w:id="42" w:name="_GoBack"/>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w:t>
      </w:r>
      <w:r>
        <w:rPr>
          <w:rFonts w:hint="eastAsia" w:cs="宋体"/>
          <w:lang w:eastAsia="zh-CN"/>
        </w:rPr>
        <w:t>浙江省机场集团</w:t>
      </w:r>
      <w:r>
        <w:rPr>
          <w:rFonts w:hint="eastAsia" w:cs="宋体"/>
        </w:rPr>
        <w:t>有限公司主页招投标</w:t>
      </w:r>
      <w:r>
        <w:rPr>
          <w:rFonts w:cs="宋体"/>
        </w:rPr>
        <w:t>信息栏</w:t>
      </w:r>
      <w:r>
        <w:rPr>
          <w:rFonts w:hint="eastAsia" w:cs="宋体"/>
        </w:rPr>
        <w:t>自行下载招标文件。</w:t>
      </w:r>
    </w:p>
    <w:bookmarkEnd w:id="42"/>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widowControl/>
        <w:adjustRightInd w:val="0"/>
        <w:snapToGrid w:val="0"/>
        <w:spacing w:line="340" w:lineRule="exact"/>
        <w:ind w:firstLine="420" w:firstLineChars="200"/>
        <w:rPr>
          <w:rFonts w:cs="宋体"/>
          <w:color w:val="000000" w:themeColor="text1"/>
        </w:rPr>
      </w:pPr>
      <w:r>
        <w:rPr>
          <w:rFonts w:ascii="Times New Roman" w:hAnsi="Times New Roman" w:eastAsia="Times New Roman"/>
          <w:color w:val="000000" w:themeColor="text1"/>
        </w:rPr>
        <w:t xml:space="preserve">5.1 </w:t>
      </w:r>
      <w:r>
        <w:rPr>
          <w:rFonts w:hint="eastAsia" w:cs="宋体"/>
          <w:color w:val="000000" w:themeColor="text1"/>
        </w:rPr>
        <w:t>投标文件递交的截止时间（投标截止时间，下同）为</w:t>
      </w:r>
      <w:r>
        <w:rPr>
          <w:rFonts w:ascii="Times New Roman" w:hAnsi="Times New Roman" w:eastAsia="Times New Roman"/>
          <w:color w:val="0000FF"/>
        </w:rPr>
        <w:t>2020</w:t>
      </w:r>
      <w:r>
        <w:rPr>
          <w:rFonts w:hint="eastAsia" w:cs="宋体"/>
          <w:color w:val="0000FF"/>
        </w:rPr>
        <w:t>年5月29日14时</w:t>
      </w:r>
      <w:r>
        <w:rPr>
          <w:rFonts w:hint="eastAsia" w:ascii="Times New Roman" w:hAnsi="Times New Roman"/>
          <w:color w:val="0000FF"/>
        </w:rPr>
        <w:t>30</w:t>
      </w:r>
      <w:r>
        <w:rPr>
          <w:rFonts w:hint="eastAsia" w:cs="宋体"/>
          <w:color w:val="0000FF"/>
        </w:rPr>
        <w:t>分</w:t>
      </w:r>
      <w:r>
        <w:rPr>
          <w:rFonts w:hint="eastAsia" w:cs="宋体"/>
          <w:color w:val="000000" w:themeColor="text1"/>
        </w:rPr>
        <w:t>，投标文件在封口处加盖公章，派专人于2020年5月29日14时30分</w:t>
      </w:r>
      <w:r>
        <w:rPr>
          <w:rFonts w:hint="eastAsia" w:cs="宋体"/>
          <w:color w:val="0000FF"/>
        </w:rPr>
        <w:t>（北京时间）前送至杭州萧山国际机场</w:t>
      </w:r>
      <w:r>
        <w:rPr>
          <w:rFonts w:hint="eastAsia" w:cs="宋体"/>
          <w:color w:val="000000" w:themeColor="text1"/>
        </w:rPr>
        <w:t>翔越路综合服务楼园区招标中心，逾期无效；若采用投递（邮寄）方式的，请于2020年5月29日14时30分（北京时间）前投递至杭州萧山国际机场物业安检楼416室，逾期无效。</w:t>
      </w:r>
    </w:p>
    <w:p>
      <w:pPr>
        <w:pStyle w:val="16"/>
        <w:tabs>
          <w:tab w:val="left" w:pos="4394"/>
          <w:tab w:val="left" w:pos="5990"/>
        </w:tabs>
        <w:spacing w:line="331" w:lineRule="auto"/>
        <w:ind w:right="157" w:firstLine="419"/>
        <w:rPr>
          <w:rFonts w:cs="宋体"/>
          <w:color w:val="000000" w:themeColor="text1"/>
        </w:rPr>
      </w:pPr>
      <w:r>
        <w:rPr>
          <w:rFonts w:ascii="Times New Roman" w:hAnsi="Times New Roman" w:eastAsia="Times New Roman"/>
          <w:color w:val="000000" w:themeColor="text1"/>
        </w:rPr>
        <w:t xml:space="preserve">5.2  </w:t>
      </w:r>
      <w:r>
        <w:rPr>
          <w:rFonts w:hint="eastAsia" w:cs="宋体"/>
          <w:color w:val="000000" w:themeColor="text1"/>
        </w:rPr>
        <w:t>逾期送达的、未送达指定地点的或者不按照招标文件要求密封的投标文件，招标人将予以拒收。</w:t>
      </w:r>
    </w:p>
    <w:p>
      <w:pPr>
        <w:spacing w:line="340" w:lineRule="exact"/>
        <w:ind w:firstLine="460" w:firstLineChars="200"/>
        <w:rPr>
          <w:rFonts w:ascii="仿宋" w:hAnsi="仿宋" w:eastAsia="仿宋" w:cs="仿宋"/>
          <w:color w:val="000000" w:themeColor="text1"/>
        </w:rPr>
      </w:pPr>
      <w:r>
        <w:rPr>
          <w:rFonts w:hint="eastAsia"/>
          <w:color w:val="FF0000"/>
          <w:sz w:val="23"/>
          <w:szCs w:val="23"/>
        </w:rPr>
        <w:t>特别说明：因疫情防控工作需要，建议各投标人优先采用投递（邮寄）方式递交投标文件。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widowControl/>
        <w:adjustRightInd w:val="0"/>
        <w:snapToGrid w:val="0"/>
        <w:spacing w:line="340" w:lineRule="exact"/>
        <w:ind w:firstLine="420" w:firstLineChars="200"/>
        <w:rPr>
          <w:rFonts w:ascii="Times New Roman" w:hAnsi="Times New Roman" w:eastAsia="Times New Roman"/>
        </w:rPr>
      </w:pPr>
      <w:r>
        <w:rPr>
          <w:rFonts w:hint="eastAsia" w:cs="宋体"/>
        </w:rPr>
        <w:t>招标人：杭州萧山国际机场有限公司</w:t>
      </w:r>
    </w:p>
    <w:p>
      <w:pPr>
        <w:widowControl/>
        <w:adjustRightInd w:val="0"/>
        <w:snapToGrid w:val="0"/>
        <w:spacing w:line="340" w:lineRule="exact"/>
        <w:ind w:firstLine="440" w:firstLineChars="200"/>
        <w:rPr>
          <w:rFonts w:cs="Arial" w:asciiTheme="minorEastAsia" w:hAnsiTheme="minorEastAsia"/>
          <w:kern w:val="0"/>
          <w:sz w:val="22"/>
        </w:rPr>
      </w:pPr>
      <w:bookmarkStart w:id="13" w:name="_bookmark9"/>
      <w:bookmarkEnd w:id="13"/>
      <w:r>
        <w:rPr>
          <w:rFonts w:hint="eastAsia" w:cs="Arial" w:asciiTheme="minorEastAsia" w:hAnsiTheme="minorEastAsia"/>
          <w:kern w:val="0"/>
          <w:sz w:val="22"/>
        </w:rPr>
        <w:t>联系人：楼工 联系电话：0571-83837734</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监督联系人：孟工 联系电话：0571-83837728</w:t>
      </w:r>
    </w:p>
    <w:p>
      <w:pPr>
        <w:pStyle w:val="16"/>
        <w:tabs>
          <w:tab w:val="left" w:pos="4394"/>
          <w:tab w:val="left" w:pos="5990"/>
        </w:tabs>
        <w:spacing w:line="331" w:lineRule="auto"/>
        <w:ind w:right="157" w:firstLine="419"/>
        <w:rPr>
          <w:rFonts w:cs="宋体"/>
        </w:rPr>
        <w:sectPr>
          <w:pgSz w:w="12240" w:h="15840"/>
          <w:pgMar w:top="1400" w:right="1640" w:bottom="1120" w:left="1700" w:header="0" w:footer="901" w:gutter="0"/>
          <w:cols w:space="720" w:num="1"/>
        </w:sectPr>
      </w:pPr>
      <w:r>
        <w:rPr>
          <w:rFonts w:hint="eastAsia" w:cs="宋体"/>
        </w:rPr>
        <w:t>受疫情影响，为避免人群聚集，保障投标人及其他相关人员生命安全和身体健康，建议投标人以投递的方式将投标（报价）文件邮寄至指定地点，特殊情况必须现场投递的，投标人代表须全程佩戴口罩并配合工作人员完成检查。（请投标人合理预留投递运输时间，投标人因自身贻误行为导致投标失败的，责任自负。）</w:t>
      </w:r>
    </w:p>
    <w:p>
      <w:pPr>
        <w:spacing w:before="7"/>
        <w:rPr>
          <w:rFonts w:ascii="宋体" w:hAnsi="宋体" w:cs="宋体"/>
          <w:sz w:val="18"/>
          <w:szCs w:val="18"/>
        </w:rPr>
      </w:pPr>
    </w:p>
    <w:p>
      <w:pPr>
        <w:pStyle w:val="2"/>
        <w:spacing w:line="564" w:lineRule="exact"/>
        <w:ind w:right="57"/>
        <w:jc w:val="center"/>
      </w:pPr>
      <w:bookmarkStart w:id="14" w:name="_bookmark18"/>
      <w:bookmarkEnd w:id="14"/>
      <w:bookmarkStart w:id="15" w:name="_Toc19698496"/>
      <w:r>
        <w:t>第二章投标人须知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联系人：楼铁文</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w:t>
            </w:r>
            <w:r>
              <w:rPr>
                <w:rFonts w:hint="eastAsia" w:ascii="宋体" w:hAnsi="宋体" w:cs="宋体"/>
                <w:spacing w:val="-2"/>
              </w:rPr>
              <w:t>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jc w:val="left"/>
              <w:rPr>
                <w:rFonts w:ascii="宋体" w:hAnsi="宋体" w:cs="宋体"/>
              </w:rPr>
            </w:pPr>
            <w:r>
              <w:rPr>
                <w:rFonts w:hint="eastAsia" w:ascii="宋体" w:hAnsi="宋体" w:cs="宋体"/>
              </w:rPr>
              <w:t>杭州萧山国际机场</w:t>
            </w:r>
            <w:r>
              <w:rPr>
                <w:rFonts w:hint="eastAsia" w:ascii="宋体" w:hAnsi="宋体" w:cs="宋体"/>
                <w:u w:val="single"/>
              </w:rPr>
              <w:t xml:space="preserve">停车场 UPS不间断电源蓄电池 </w:t>
            </w:r>
            <w:r>
              <w:rPr>
                <w:rFonts w:hint="eastAsia" w:ascii="宋体" w:hAnsi="宋体" w:cs="宋体"/>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ascii="宋体" w:hAnsi="宋体" w:cs="宋体"/>
                <w:u w:val="single"/>
              </w:rPr>
              <w:t>30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形式：加盖公章后将扫描件发送邮件至11965291@qq.com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p>
          <w:p>
            <w:pPr>
              <w:adjustRightInd w:val="0"/>
              <w:snapToGrid w:val="0"/>
              <w:ind w:firstLine="210" w:firstLineChars="100"/>
              <w:rPr>
                <w:rFonts w:ascii="宋体" w:hAnsi="宋体" w:cs="宋体"/>
              </w:rPr>
            </w:pPr>
            <w:r>
              <w:rPr>
                <w:rFonts w:hint="eastAsia" w:ascii="宋体" w:hAnsi="宋体" w:cs="宋体"/>
              </w:rPr>
              <w:t>分包金额要求：</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color w:val="000000" w:themeColor="text1"/>
              </w:rPr>
              <w:t>2020年5月29日14时30分</w:t>
            </w:r>
            <w:r>
              <w:rPr>
                <w:rFonts w:hint="eastAsia" w:ascii="宋体" w:hAnsi="宋体" w:cs="宋体"/>
                <w:bCs/>
                <w:color w:val="0000FF"/>
              </w:rPr>
              <w:t>前</w:t>
            </w:r>
            <w:r>
              <w:rPr>
                <w:rFonts w:hint="eastAsia" w:ascii="宋体" w:hAnsi="宋体" w:cs="宋体"/>
              </w:rPr>
              <w:t>，请将投标疑问以电子邮件（扫描件加盖公章，并同时提供word版本的文件）的方式提交至招标人如下邮箱：11965291@qq.com。</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7"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投标人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7"/>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8" w:name="EB191aa127b49d4a8b95623a875e1177a4"/>
            <w:r>
              <w:rPr>
                <w:rFonts w:ascii="宋体" w:hAnsi="宋体"/>
                <w:u w:val="single"/>
              </w:rPr>
              <w:t>12</w:t>
            </w:r>
            <w:r>
              <w:rPr>
                <w:rFonts w:hint="eastAsia" w:ascii="宋体" w:hAnsi="宋体"/>
                <w:u w:val="single"/>
              </w:rPr>
              <w:t>0</w:t>
            </w:r>
            <w:bookmarkEnd w:id="18"/>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查，以确认其业绩真实情况，中标候选人必须积极配合业绩核查，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19"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9"/>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sdtPr>
              <w:sdtEndPr>
                <w:rPr>
                  <w:rFonts w:hint="eastAsia"/>
                  <w:sz w:val="24"/>
                </w:rPr>
              </w:sdtEndPr>
              <w:sdtContent>
                <w:r>
                  <w:rPr>
                    <w:rFonts w:ascii="Wingdings 2" w:hAnsi="Wingdings 2" w:eastAsia="MS Gothic"/>
                    <w:sz w:val="24"/>
                  </w:rPr>
                  <w:t></w:t>
                </w:r>
              </w:sdtContent>
            </w:sdt>
            <w:r>
              <w:rPr>
                <w:rFonts w:hint="eastAsia" w:ascii="宋体" w:hAnsi="宋体" w:cs="宋体"/>
              </w:rPr>
              <w:t>/</w:t>
            </w:r>
          </w:p>
          <w:p>
            <w:pPr>
              <w:adjustRightInd w:val="0"/>
              <w:snapToGrid w:val="0"/>
              <w:rPr>
                <w:rFonts w:ascii="宋体" w:hAnsi="宋体" w:cs="宋体"/>
              </w:rPr>
            </w:pPr>
            <w:sdt>
              <w:sdtPr>
                <w:rPr>
                  <w:rFonts w:hint="eastAsia"/>
                  <w:sz w:val="24"/>
                </w:rPr>
                <w:id w:val="-570736496"/>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20年至20年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sdtPr>
              <w:sdtEndPr>
                <w:rPr>
                  <w:rFonts w:hint="eastAsia"/>
                  <w:sz w:val="24"/>
                </w:rPr>
              </w:sdtEndPr>
              <w:sdtContent>
                <w:r>
                  <w:rPr>
                    <w:rFonts w:ascii="Wingdings 2" w:hAnsi="Wingdings 2" w:eastAsia="MS Gothic"/>
                    <w:sz w:val="24"/>
                  </w:rPr>
                  <w:t></w:t>
                </w:r>
              </w:sdtContent>
            </w:sdt>
            <w:r>
              <w:rPr>
                <w:rFonts w:ascii="宋体" w:hAnsi="宋体" w:cs="宋体"/>
              </w:rPr>
              <w:t xml:space="preserve"> 20</w:t>
            </w:r>
            <w:r>
              <w:rPr>
                <w:rFonts w:hint="eastAsia" w:ascii="宋体" w:hAnsi="宋体" w:cs="宋体"/>
              </w:rPr>
              <w:t>17年1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20年月日至投标截止日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rPr>
            </w:pPr>
            <w:r>
              <w:rPr>
                <w:rFonts w:hint="eastAsia" w:ascii="宋体" w:hAnsi="宋体" w:cs="宋体"/>
                <w:color w:val="000000" w:themeColor="text1"/>
              </w:rPr>
              <w:t>招标人名称：杭州萧山国际机场有限公司</w:t>
            </w:r>
          </w:p>
          <w:p>
            <w:pPr>
              <w:adjustRightInd w:val="0"/>
              <w:snapToGrid w:val="0"/>
              <w:rPr>
                <w:rFonts w:ascii="宋体" w:hAnsi="宋体" w:cs="宋体"/>
                <w:color w:val="000000" w:themeColor="text1"/>
              </w:rPr>
            </w:pPr>
            <w:r>
              <w:rPr>
                <w:rFonts w:hint="eastAsia" w:ascii="宋体" w:hAnsi="宋体" w:cs="宋体"/>
                <w:color w:val="000000" w:themeColor="text1"/>
              </w:rPr>
              <w:t>招标人地址：杭州萧山国际机场内</w:t>
            </w:r>
          </w:p>
          <w:p>
            <w:pPr>
              <w:adjustRightInd w:val="0"/>
              <w:snapToGrid w:val="0"/>
              <w:rPr>
                <w:rFonts w:ascii="宋体" w:hAnsi="宋体" w:cs="宋体"/>
                <w:color w:val="000000" w:themeColor="text1"/>
              </w:rPr>
            </w:pPr>
            <w:r>
              <w:rPr>
                <w:rFonts w:ascii="宋体" w:hAnsi="宋体" w:cs="宋体"/>
                <w:color w:val="000000" w:themeColor="text1"/>
                <w:u w:val="single"/>
              </w:rPr>
              <w:t xml:space="preserve"> 杭州萧山国际机场停车场 UPS不间断电源蓄电池采购          </w:t>
            </w:r>
            <w:r>
              <w:rPr>
                <w:rFonts w:ascii="宋体" w:hAnsi="宋体" w:cs="宋体"/>
                <w:color w:val="000000" w:themeColor="text1"/>
              </w:rPr>
              <w:t>(项目名称)投标文件</w:t>
            </w:r>
          </w:p>
          <w:p>
            <w:pPr>
              <w:adjustRightInd w:val="0"/>
              <w:snapToGrid w:val="0"/>
              <w:rPr>
                <w:rFonts w:ascii="宋体" w:hAnsi="宋体" w:cs="宋体"/>
                <w:color w:val="000000" w:themeColor="text1"/>
              </w:rPr>
            </w:pPr>
            <w:r>
              <w:rPr>
                <w:rFonts w:hint="eastAsia" w:ascii="宋体" w:hAnsi="宋体" w:cs="宋体"/>
                <w:color w:val="0000FF"/>
              </w:rPr>
              <w:t>在</w:t>
            </w:r>
            <w:r>
              <w:rPr>
                <w:rFonts w:hint="eastAsia" w:cs="宋体"/>
                <w:color w:val="000000" w:themeColor="text1"/>
              </w:rPr>
              <w:t>2020年5月29日14时30分</w:t>
            </w:r>
            <w:r>
              <w:rPr>
                <w:rFonts w:ascii="宋体" w:hAnsi="宋体" w:cs="宋体"/>
                <w:color w:val="000000" w:themeColor="text1"/>
              </w:rPr>
              <w:t>(即开标时间)不得开启</w:t>
            </w:r>
          </w:p>
          <w:p>
            <w:pPr>
              <w:adjustRightInd w:val="0"/>
              <w:snapToGrid w:val="0"/>
              <w:rPr>
                <w:rFonts w:ascii="宋体" w:hAnsi="宋体" w:cs="宋体"/>
                <w:color w:val="000000" w:themeColor="text1"/>
              </w:rPr>
            </w:pPr>
            <w:r>
              <w:rPr>
                <w:rFonts w:hint="eastAsia" w:ascii="宋体" w:hAnsi="宋体" w:cs="宋体"/>
                <w:color w:val="000000" w:themeColor="text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rPr>
            </w:pPr>
            <w:r>
              <w:rPr>
                <w:rFonts w:hint="eastAsia" w:cs="宋体"/>
                <w:color w:val="000000" w:themeColor="text1"/>
              </w:rPr>
              <w:t>2020年5月29日14时30分</w:t>
            </w:r>
            <w:r>
              <w:rPr>
                <w:rFonts w:ascii="宋体" w:hAnsi="宋体" w:cs="宋体"/>
                <w:b/>
                <w:color w:val="0000FF"/>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sdtPr>
              <w:sdtEndPr>
                <w:rPr>
                  <w:rFonts w:hint="eastAsia"/>
                  <w:sz w:val="24"/>
                </w:rPr>
              </w:sdtEndPr>
              <w:sdtContent>
                <w:sdt>
                  <w:sdtPr>
                    <w:rPr>
                      <w:rFonts w:hint="eastAsia"/>
                      <w:sz w:val="24"/>
                    </w:rPr>
                    <w:id w:val="351555254"/>
                  </w:sdtPr>
                  <w:sdtEndPr>
                    <w:rPr>
                      <w:rFonts w:hint="eastAsia"/>
                      <w:sz w:val="24"/>
                    </w:rPr>
                  </w:sdtEndPr>
                  <w:sdtContent>
                    <w:r>
                      <w:rPr>
                        <w:rFonts w:hint="eastAsia" w:ascii="MS Gothic" w:hAnsi="MS Gothic" w:eastAsia="MS Gothic"/>
                        <w:sz w:val="24"/>
                      </w:rPr>
                      <w:t>☐</w:t>
                    </w:r>
                  </w:sdtContent>
                </w:sdt>
              </w:sdtContent>
            </w:sdt>
            <w:r>
              <w:rPr>
                <w:rFonts w:hint="eastAsia" w:ascii="宋体" w:hAnsi="宋体" w:cs="宋体"/>
              </w:rPr>
              <w:t>要求，履约保证金的形式：银行转账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sdtPr>
              <w:sdtEndPr>
                <w:rPr>
                  <w:rFonts w:hint="eastAsia"/>
                  <w:sz w:val="24"/>
                </w:rPr>
              </w:sdtEndPr>
              <w:sdtContent>
                <w:sdt>
                  <w:sdtPr>
                    <w:rPr>
                      <w:rFonts w:hint="eastAsia"/>
                      <w:sz w:val="24"/>
                    </w:rPr>
                    <w:id w:val="351555252"/>
                  </w:sdtPr>
                  <w:sdtEndPr>
                    <w:rPr>
                      <w:rFonts w:hint="eastAsia"/>
                      <w:sz w:val="24"/>
                    </w:rPr>
                  </w:sdtEndPr>
                  <w:sdtContent>
                    <w:r>
                      <w:rPr>
                        <w:rFonts w:hint="eastAsia"/>
                        <w:sz w:val="24"/>
                      </w:rPr>
                      <w:sym w:font="Wingdings 2" w:char="F052"/>
                    </w:r>
                  </w:sdtContent>
                </w:sdt>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0"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投标报价为各分项报价金额之和，投标报价与分项报价的合价不一致的，按投标人须知</w:t>
      </w:r>
      <w:r>
        <w:rPr>
          <w:rFonts w:ascii="宋体" w:hAnsi="宋体" w:cs="宋体"/>
          <w:kern w:val="0"/>
          <w:sz w:val="22"/>
        </w:rPr>
        <w:t>前附表</w:t>
      </w:r>
      <w:r>
        <w:rPr>
          <w:rFonts w:hint="eastAsia" w:ascii="宋体" w:hAnsi="宋体" w:cs="宋体"/>
          <w:kern w:val="0"/>
          <w:sz w:val="22"/>
        </w:rPr>
        <w:t>条款规定修正投标报价；如分项报价中存在缺漏项，则视为缺漏项价格已包含在其他分项报价之中。投标人在投标截止时间前修改投标函中的投标报价总额，应同时修改投标文件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shd w:val="clear" w:color="auto" w:fill="FFFF00"/>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1" w:name="_Toc219809802"/>
      <w:bookmarkStart w:id="22" w:name="_Toc15553"/>
      <w:bookmarkStart w:id="23"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1"/>
      <w:bookmarkEnd w:id="22"/>
      <w:bookmarkEnd w:id="23"/>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20123243"/>
      <w:bookmarkStart w:id="25" w:name="_Toc219809803"/>
      <w:bookmarkStart w:id="26" w:name="_Toc18806"/>
      <w:r>
        <w:rPr>
          <w:rFonts w:hint="eastAsia" w:ascii="宋体" w:hAnsi="宋体" w:cs="宋体"/>
          <w:b/>
          <w:kern w:val="0"/>
          <w:sz w:val="22"/>
        </w:rPr>
        <w:t>8.2 不再招标</w:t>
      </w:r>
      <w:bookmarkEnd w:id="24"/>
      <w:bookmarkEnd w:id="25"/>
      <w:bookmarkEnd w:id="26"/>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0"/>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ind w:right="420"/>
        <w:jc w:val="right"/>
        <w:sectPr>
          <w:pgSz w:w="12240" w:h="15840"/>
          <w:pgMar w:top="1400" w:right="1680" w:bottom="1120" w:left="1580" w:header="0" w:footer="921" w:gutter="0"/>
          <w:cols w:space="720" w:num="1"/>
        </w:sectPr>
      </w:pPr>
    </w:p>
    <w:p>
      <w:pPr>
        <w:pStyle w:val="2"/>
        <w:spacing w:line="564" w:lineRule="exact"/>
        <w:ind w:right="57"/>
        <w:jc w:val="center"/>
      </w:pPr>
      <w:bookmarkStart w:id="27" w:name="_bookmark76"/>
      <w:bookmarkEnd w:id="27"/>
      <w:bookmarkStart w:id="28" w:name="_Toc19698498"/>
      <w:r>
        <w:rPr>
          <w:rFonts w:hint="eastAsia"/>
        </w:rPr>
        <w:t>第三章评标办法</w:t>
      </w:r>
      <w:bookmarkEnd w:id="28"/>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经评审的最低投标价法（本项目</w:t>
      </w:r>
      <w:r>
        <w:rPr>
          <w:rFonts w:ascii="宋体" w:hAnsi="宋体" w:cs="宋体"/>
          <w:b/>
          <w:kern w:val="0"/>
          <w:sz w:val="22"/>
        </w:rPr>
        <w:t>评标价=</w:t>
      </w:r>
      <w:r>
        <w:rPr>
          <w:rFonts w:hint="eastAsia" w:ascii="宋体" w:hAnsi="宋体" w:cs="宋体"/>
          <w:b/>
          <w:kern w:val="0"/>
          <w:sz w:val="22"/>
        </w:rPr>
        <w:t>UPS不间断电源蓄电池报价总金额</w:t>
      </w:r>
      <w:r>
        <w:rPr>
          <w:rFonts w:ascii="宋体" w:hAnsi="宋体" w:cs="宋体"/>
          <w:b/>
          <w:kern w:val="0"/>
          <w:sz w:val="22"/>
        </w:rPr>
        <w:t>-旧</w:t>
      </w:r>
      <w:r>
        <w:rPr>
          <w:rFonts w:hint="eastAsia" w:ascii="宋体" w:hAnsi="宋体" w:cs="宋体"/>
          <w:b/>
          <w:kern w:val="0"/>
          <w:sz w:val="22"/>
        </w:rPr>
        <w:t>蓄电池</w:t>
      </w:r>
      <w:r>
        <w:rPr>
          <w:rFonts w:ascii="宋体" w:hAnsi="宋体" w:cs="宋体"/>
          <w:b/>
          <w:kern w:val="0"/>
          <w:sz w:val="22"/>
        </w:rPr>
        <w:t>回收费用</w:t>
      </w:r>
      <w:r>
        <w:rPr>
          <w:rFonts w:hint="eastAsia" w:ascii="宋体" w:hAnsi="宋体" w:cs="宋体"/>
          <w:b/>
          <w:kern w:val="0"/>
          <w:sz w:val="22"/>
        </w:rPr>
        <w:t>）</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29" w:name="_Toc19698499"/>
      <w:r>
        <w:rPr>
          <w:rFonts w:hint="eastAsia"/>
        </w:rPr>
        <w:t>第四章合同条款及格式</w:t>
      </w:r>
      <w:bookmarkEnd w:id="29"/>
    </w:p>
    <w:p>
      <w:pPr>
        <w:spacing w:line="360" w:lineRule="auto"/>
        <w:jc w:val="center"/>
        <w:rPr>
          <w:rFonts w:ascii="宋体" w:hAnsi="宋体" w:cs="宋体"/>
          <w:b/>
          <w:sz w:val="22"/>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甲方：杭州萧山国际机场有限公司</w:t>
      </w: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住所地：杭州萧山国际机场内</w:t>
      </w:r>
    </w:p>
    <w:p>
      <w:pPr>
        <w:spacing w:line="560" w:lineRule="exact"/>
        <w:rPr>
          <w:rFonts w:ascii="仿宋" w:hAnsi="仿宋" w:eastAsia="仿宋" w:cs="仿宋"/>
          <w:b/>
          <w:sz w:val="28"/>
          <w:szCs w:val="28"/>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乙方:</w:t>
      </w:r>
    </w:p>
    <w:p>
      <w:pPr>
        <w:spacing w:line="560" w:lineRule="exact"/>
        <w:ind w:firstLine="452"/>
        <w:rPr>
          <w:rFonts w:ascii="仿宋" w:hAnsi="仿宋" w:eastAsia="仿宋" w:cs="仿宋"/>
          <w:sz w:val="28"/>
          <w:szCs w:val="28"/>
        </w:rPr>
      </w:pPr>
      <w:r>
        <w:rPr>
          <w:rFonts w:hint="eastAsia" w:ascii="仿宋" w:hAnsi="仿宋" w:eastAsia="仿宋" w:cs="仿宋"/>
          <w:b/>
          <w:sz w:val="28"/>
          <w:szCs w:val="28"/>
        </w:rPr>
        <w:t>住所地:</w:t>
      </w:r>
    </w:p>
    <w:p>
      <w:pPr>
        <w:spacing w:line="560" w:lineRule="exact"/>
        <w:ind w:firstLine="45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甲、乙双方根据《中华人民共和国合同法》等相关法律法规，就相关产品采购事宜，在互利、平等的原则基础上，经协商一致，特签订本合同，以共同遵守。</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一、产品规格型号及参数</w:t>
      </w:r>
    </w:p>
    <w:tbl>
      <w:tblPr>
        <w:tblStyle w:val="89"/>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91"/>
        <w:gridCol w:w="1171"/>
        <w:gridCol w:w="681"/>
        <w:gridCol w:w="2862"/>
        <w:gridCol w:w="93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1171" w:type="dxa"/>
            <w:vAlign w:val="center"/>
          </w:tcPr>
          <w:p>
            <w:pPr>
              <w:spacing w:line="288" w:lineRule="auto"/>
              <w:jc w:val="center"/>
              <w:rPr>
                <w:rFonts w:ascii="宋体" w:hAnsi="宋体" w:cs="宋体"/>
                <w:caps/>
                <w:sz w:val="22"/>
              </w:rPr>
            </w:pPr>
            <w:r>
              <w:rPr>
                <w:rFonts w:hint="eastAsia" w:ascii="宋体" w:hAnsi="宋体" w:cs="宋体"/>
                <w:caps/>
                <w:sz w:val="22"/>
              </w:rPr>
              <w:t>品牌</w:t>
            </w:r>
          </w:p>
        </w:tc>
        <w:tc>
          <w:tcPr>
            <w:tcW w:w="681" w:type="dxa"/>
            <w:vAlign w:val="center"/>
          </w:tcPr>
          <w:p>
            <w:pPr>
              <w:spacing w:line="288" w:lineRule="auto"/>
              <w:jc w:val="center"/>
              <w:rPr>
                <w:rFonts w:ascii="宋体" w:hAnsi="宋体" w:cs="宋体"/>
                <w:caps/>
                <w:sz w:val="22"/>
              </w:rPr>
            </w:pPr>
            <w:r>
              <w:rPr>
                <w:rFonts w:hint="eastAsia" w:ascii="宋体" w:hAnsi="宋体" w:cs="宋体"/>
                <w:caps/>
                <w:sz w:val="22"/>
              </w:rPr>
              <w:t>产地</w:t>
            </w: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数量（节）</w:t>
            </w:r>
          </w:p>
        </w:tc>
        <w:tc>
          <w:tcPr>
            <w:tcW w:w="932" w:type="dxa"/>
            <w:vAlign w:val="center"/>
          </w:tcPr>
          <w:p>
            <w:pPr>
              <w:spacing w:line="288" w:lineRule="auto"/>
              <w:jc w:val="center"/>
              <w:rPr>
                <w:rFonts w:ascii="宋体" w:hAnsi="宋体" w:cs="宋体"/>
                <w:caps/>
                <w:sz w:val="22"/>
              </w:rPr>
            </w:pPr>
            <w:r>
              <w:rPr>
                <w:rFonts w:hint="eastAsia" w:ascii="宋体" w:hAnsi="宋体" w:cs="宋体"/>
                <w:caps/>
                <w:sz w:val="22"/>
              </w:rPr>
              <w:t>单价(元)</w:t>
            </w:r>
          </w:p>
          <w:p>
            <w:pPr>
              <w:spacing w:line="288" w:lineRule="auto"/>
              <w:jc w:val="center"/>
              <w:rPr>
                <w:rFonts w:ascii="宋体" w:hAnsi="宋体" w:cs="宋体"/>
                <w:caps/>
                <w:sz w:val="22"/>
              </w:rPr>
            </w:pPr>
            <w:r>
              <w:rPr>
                <w:rFonts w:hint="eastAsia" w:ascii="宋体" w:hAnsi="宋体" w:cs="宋体"/>
                <w:caps/>
                <w:sz w:val="22"/>
              </w:rPr>
              <w:t>不含税</w:t>
            </w:r>
          </w:p>
        </w:tc>
        <w:tc>
          <w:tcPr>
            <w:tcW w:w="1070" w:type="dxa"/>
            <w:vAlign w:val="center"/>
          </w:tcPr>
          <w:p>
            <w:pPr>
              <w:spacing w:line="288" w:lineRule="auto"/>
              <w:jc w:val="center"/>
              <w:rPr>
                <w:rFonts w:ascii="宋体" w:hAnsi="宋体" w:cs="宋体"/>
                <w:caps/>
                <w:sz w:val="22"/>
              </w:rPr>
            </w:pPr>
            <w:r>
              <w:rPr>
                <w:rFonts w:hint="eastAsia" w:ascii="宋体" w:hAnsi="宋体" w:cs="宋体"/>
                <w:caps/>
                <w:sz w:val="22"/>
              </w:rPr>
              <w:t>合价(元)</w:t>
            </w:r>
          </w:p>
          <w:p>
            <w:pPr>
              <w:spacing w:line="288" w:lineRule="auto"/>
              <w:jc w:val="center"/>
              <w:rPr>
                <w:rFonts w:ascii="宋体" w:hAnsi="宋体" w:cs="宋体"/>
                <w:caps/>
                <w:sz w:val="22"/>
              </w:rPr>
            </w:pPr>
            <w:r>
              <w:rPr>
                <w:rFonts w:hint="eastAsia" w:ascii="宋体" w:hAnsi="宋体" w:cs="宋体"/>
                <w:caps/>
                <w:sz w:val="22"/>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蓄电池</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12V100AH</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合计（不含税）</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税率</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合计（含税）</w:t>
            </w:r>
          </w:p>
        </w:tc>
        <w:tc>
          <w:tcPr>
            <w:tcW w:w="1070" w:type="dxa"/>
            <w:vAlign w:val="center"/>
          </w:tcPr>
          <w:p>
            <w:pPr>
              <w:spacing w:line="288" w:lineRule="auto"/>
              <w:jc w:val="center"/>
              <w:rPr>
                <w:rFonts w:ascii="宋体" w:hAnsi="宋体" w:cs="宋体"/>
                <w:caps/>
                <w:sz w:val="22"/>
              </w:rPr>
            </w:pPr>
          </w:p>
        </w:tc>
      </w:tr>
    </w:tbl>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回收费用</w:t>
      </w:r>
    </w:p>
    <w:tbl>
      <w:tblPr>
        <w:tblStyle w:val="89"/>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51" w:type="dxa"/>
            <w:shd w:val="clear" w:color="auto" w:fill="auto"/>
          </w:tcPr>
          <w:p>
            <w:pPr>
              <w:adjustRightInd w:val="0"/>
              <w:snapToGrid w:val="0"/>
              <w:spacing w:line="360" w:lineRule="exact"/>
              <w:jc w:val="left"/>
              <w:rPr>
                <w:rFonts w:ascii="宋体" w:hAnsi="宋体"/>
                <w:sz w:val="22"/>
              </w:rPr>
            </w:pPr>
            <w:r>
              <w:rPr>
                <w:rFonts w:hint="eastAsia" w:ascii="宋体" w:hAnsi="宋体"/>
                <w:sz w:val="22"/>
              </w:rPr>
              <w:t>回收费用</w:t>
            </w:r>
          </w:p>
        </w:tc>
        <w:tc>
          <w:tcPr>
            <w:tcW w:w="7409" w:type="dxa"/>
            <w:shd w:val="clear" w:color="auto" w:fill="auto"/>
          </w:tcPr>
          <w:p>
            <w:pPr>
              <w:adjustRightInd w:val="0"/>
              <w:snapToGrid w:val="0"/>
              <w:spacing w:line="360" w:lineRule="exact"/>
              <w:jc w:val="left"/>
              <w:rPr>
                <w:rFonts w:ascii="宋体" w:hAnsi="宋体"/>
                <w:b/>
                <w:sz w:val="22"/>
              </w:rPr>
            </w:pPr>
          </w:p>
        </w:tc>
      </w:tr>
    </w:tbl>
    <w:p>
      <w:pPr>
        <w:adjustRightInd w:val="0"/>
        <w:snapToGrid w:val="0"/>
        <w:spacing w:line="360" w:lineRule="exact"/>
        <w:ind w:firstLine="442" w:firstLineChars="200"/>
        <w:jc w:val="left"/>
        <w:rPr>
          <w:rFonts w:ascii="宋体" w:hAnsi="宋体"/>
          <w:b/>
          <w:sz w:val="22"/>
        </w:rPr>
      </w:pPr>
      <w:r>
        <w:rPr>
          <w:rFonts w:hint="eastAsia" w:ascii="宋体" w:hAnsi="宋体"/>
          <w:b/>
          <w:sz w:val="22"/>
        </w:rPr>
        <w:t>回收费用：乙方负责处理回收旧电池40节.</w:t>
      </w:r>
      <w:r>
        <w:rPr>
          <w:rFonts w:ascii="宋体" w:hAnsi="宋体"/>
          <w:b/>
          <w:sz w:val="22"/>
        </w:rPr>
        <w:t xml:space="preserve"> </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二、合同金额</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本合同为固定总价合同，合同金额为（大写）：人民币    ，（小写）¥       。本合同价为杭州萧山国际机场内交货价，含产品价格、运输费、包装费、保险费、税费等所有费用。甲方不再承担其他任何费用。</w:t>
      </w:r>
    </w:p>
    <w:p>
      <w:pPr>
        <w:spacing w:line="560" w:lineRule="exact"/>
        <w:ind w:firstLine="538" w:firstLineChars="192"/>
        <w:rPr>
          <w:rFonts w:ascii="仿宋" w:hAnsi="仿宋" w:eastAsia="仿宋" w:cs="仿宋"/>
          <w:sz w:val="28"/>
          <w:szCs w:val="28"/>
        </w:rPr>
      </w:pPr>
      <w:r>
        <w:rPr>
          <w:rFonts w:hint="eastAsia" w:ascii="仿宋" w:hAnsi="仿宋" w:eastAsia="仿宋" w:cs="仿宋"/>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三、技术资料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1.乙方应在交付合同产品时同时向甲方提供使用产品的有关技术资料。</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四、知识产权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乙方应保证所提供的产品或其任何一部分均不会侵犯任何第三方的知识产权等合法权益。如因乙方违反本条保证并导致甲方遭受损失的，甲方有权解除本合同，乙方须向甲方承担赔偿责任。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五、产权担保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六、转包或分包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项下甲方采购的产品及其安装、调试等服务，必须由乙方直接供应；除非得到甲方的书面同意，乙方不得将本合同项下的产品或服务全部或部分分包给第三方供应，不得将本合同项下权利义务转让给第三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2.如有未经甲方书面同意的转让和分包行为，甲方有权解除合同，并有权要求乙方承担合同总金额【5%】的违约金。</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七、产品包装、发运及运输</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乙方应在产品发运前对其按满足运输距离、防潮、防震、防锈和防破损装卸等要求进行包装，以保证产品安全运达甲方指定地点。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使用说明书、质量检验证明书、技术资料、随配附件和工具以及清单一并附于产品内同时向甲方交付。如资料和工具、附件不全的，视为乙方未完全履行交付义务。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乙方在产品发运手续办理完毕后【24】小时内必须书面通知甲方，以便甲方准备接货。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产品在本合同规定的交货地点交付甲方前发生的一切风险包括产品运输风险均由乙方负责。</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 产品在规定的交付期限内由乙方送达甲方指定的交货地点并经甲方签收后视为交付，乙方同时必须在产品到达的当天立即通知甲方产品已送达。</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八、交货期、交货方式及交货地点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交货期：合同签订后</w:t>
      </w:r>
      <w:r>
        <w:rPr>
          <w:rFonts w:hint="eastAsia" w:ascii="仿宋" w:hAnsi="仿宋" w:eastAsia="仿宋" w:cs="仿宋"/>
          <w:sz w:val="28"/>
          <w:szCs w:val="28"/>
          <w:u w:val="single"/>
        </w:rPr>
        <w:t xml:space="preserve">30 </w:t>
      </w:r>
      <w:r>
        <w:rPr>
          <w:rFonts w:hint="eastAsia" w:ascii="仿宋" w:hAnsi="仿宋" w:eastAsia="仿宋" w:cs="仿宋"/>
          <w:sz w:val="28"/>
          <w:szCs w:val="28"/>
        </w:rPr>
        <w:t>日历天内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交货方式：乙方送货上门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 交货地点：杭州萧山国际机场内</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九、安装与验收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甲方对乙方交付的货物依据甲方要求和国家有关质量标准进行现场初步验收，产品外观、数量、品种、规格和说明书等资料符合甲方要求的，视为初步验收合格，给予签收，初步验收不合格的不予签收并在到货之日起【7】日内以书面或电话形式向乙方提出异议。乙方在甲方初步验收完毕后，负责在【</w:t>
      </w:r>
      <w:r>
        <w:rPr>
          <w:rFonts w:ascii="仿宋" w:hAnsi="仿宋" w:eastAsia="仿宋" w:cs="仿宋"/>
          <w:sz w:val="28"/>
          <w:szCs w:val="28"/>
        </w:rPr>
        <w:t>3</w:t>
      </w:r>
      <w:r>
        <w:rPr>
          <w:rFonts w:hint="eastAsia" w:ascii="仿宋" w:hAnsi="仿宋" w:eastAsia="仿宋" w:cs="仿宋"/>
          <w:sz w:val="28"/>
          <w:szCs w:val="28"/>
        </w:rPr>
        <w:t>】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3】日内以书面方式向乙方提出相关异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2.乙方交货前应对产品作出全面检查和对验收文件进行整理，并列出清单，作为甲方收货验收和使用的技术条件依据，乙方检验的结果应随货物交甲方。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3.乙方应当在收到甲方前述第1款异议之日起【</w:t>
      </w:r>
      <w:r>
        <w:rPr>
          <w:rFonts w:ascii="仿宋" w:hAnsi="仿宋" w:eastAsia="仿宋" w:cs="仿宋"/>
          <w:sz w:val="28"/>
          <w:szCs w:val="28"/>
        </w:rPr>
        <w:t>3</w:t>
      </w:r>
      <w:r>
        <w:rPr>
          <w:rFonts w:hint="eastAsia" w:ascii="仿宋" w:hAnsi="仿宋" w:eastAsia="仿宋" w:cs="仿宋"/>
          <w:sz w:val="28"/>
          <w:szCs w:val="28"/>
        </w:rPr>
        <w:t>】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验收要求：对地下停车场29房间电池组进行拆分组装，更换其中20节电池组，保障UPS电源的正常运行。楼前出口更换20节旧电池，保障UPS电源正常运行。</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十、货款支付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按照合同约定将货物安全运送到甲方指定交货地点,经甲方对所有合同规定货物验收合格并收到乙方开具增值税专用发票后，【30】日内支付合同总额的95%，合同总金额的5%作为质保金，在质保期届满后【15】日内无息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质量保证金为合同总价5%，质量保证金于质量保证期满后【15】个工作日内一并无息支付。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3.乙方在甲方付款前按合同总价开具正式增值税发票。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4.本合同执行中相关的一切税费均由乙方负担。</w:t>
      </w:r>
    </w:p>
    <w:p>
      <w:pPr>
        <w:pStyle w:val="74"/>
        <w:spacing w:before="150" w:after="150" w:line="560" w:lineRule="exact"/>
        <w:ind w:firstLine="562" w:firstLineChars="200"/>
        <w:rPr>
          <w:rFonts w:ascii="仿宋" w:hAnsi="仿宋" w:eastAsia="仿宋" w:cs="仿宋"/>
          <w:b/>
          <w:color w:val="444444"/>
          <w:sz w:val="28"/>
          <w:szCs w:val="28"/>
          <w:lang w:val="zh-CN"/>
        </w:rPr>
      </w:pPr>
      <w:r>
        <w:rPr>
          <w:rFonts w:hint="eastAsia" w:ascii="仿宋" w:hAnsi="仿宋" w:eastAsia="仿宋" w:cs="仿宋"/>
          <w:b/>
          <w:color w:val="444444"/>
          <w:sz w:val="28"/>
          <w:szCs w:val="28"/>
        </w:rPr>
        <w:t>十一、</w:t>
      </w:r>
      <w:r>
        <w:rPr>
          <w:rFonts w:hint="eastAsia" w:ascii="仿宋" w:hAnsi="仿宋" w:eastAsia="仿宋" w:cs="仿宋"/>
          <w:b/>
          <w:color w:val="444444"/>
          <w:sz w:val="28"/>
          <w:szCs w:val="28"/>
          <w:lang w:val="zh-CN"/>
        </w:rPr>
        <w:t>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十二、免费质保期及服务内容</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1. 乙方保证其所供应的产品符合相关产品质量标准，不存在任何质量瑕疵或因质量瑕疵而导致的安全隐患，且为未经使用的全新产品。</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2. 乙方应为产品提供【三】年的免费保修期，时间为甲方验收并接受货物之日起计算。</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3．保修期内由于非甲方原因发生的故障或损坏，乙方免费提供维修和备件直至设备性能、状态等达到正常标准，可以正常安全使用为止。如无法修复，乙方应负责免费更换或由甲方退还乙方所供货物，乙方退还甲方支付的合同款，同时应承担该货物的直接费用（运输、保险、检验、货款利息及银行手续费等）以及由此给甲方造成的损失。</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4．乙方提供24小时售后服务，在接到报修通知后，维修人员应在【二十四】小时内赶到杭州萧山国际机场，并连续进行维修，直到设备恢复正常。修复部分的质保期自修复之日起重新开始计算。</w:t>
      </w:r>
    </w:p>
    <w:p>
      <w:pPr>
        <w:spacing w:line="560" w:lineRule="exact"/>
        <w:ind w:firstLine="602"/>
        <w:outlineLvl w:val="0"/>
        <w:rPr>
          <w:rFonts w:ascii="仿宋" w:hAnsi="仿宋" w:eastAsia="仿宋" w:cs="仿宋"/>
          <w:sz w:val="28"/>
          <w:szCs w:val="28"/>
        </w:rPr>
      </w:pPr>
      <w:r>
        <w:rPr>
          <w:rFonts w:hint="eastAsia" w:ascii="仿宋" w:hAnsi="仿宋" w:eastAsia="仿宋" w:cs="仿宋"/>
          <w:sz w:val="28"/>
          <w:szCs w:val="28"/>
        </w:rPr>
        <w:t>5．保修期结束的【十五】天前，乙方负责对设备进行一次全面的检修和维护，并由甲方验收认可。</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十三、违约责任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甲方无正当理由拒收货物的，甲方向乙方偿付拒收货款总值的每日【0.05】%的违约金。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2.甲方无故逾期验收和办理货款支付手续的,甲方应按逾期付款总额每日【0.05】%向乙方支付违约金。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 乙方逾期交付产品和本合同规定的文件资料的，或者未按甲方时间要求完成安装调试并通过甲方终验收的，乙方应按合同总额每日【0.6】%向甲方支付违约金，由甲方从货款中扣除。逾期超过约定日期【10】个工作日的，甲方可解除本合同。乙方因逾期交货或因其他违约行为导致甲方解除合同的，乙方应向甲方支付合同总额【5】%的违约金，且全额没收乙方的履约保证金，如造成甲方损失超过违约金的，超出部分由乙方继续承担赔偿责任。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 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 乙方不在约定期限内派人维修或维修质量验收不合格的，甲方可以委托他人修理，费用由乙方承担，甲方与第三方确认后可直接从质保金中扣除；质保金不足以抵扣的，继续向乙方追偿。</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8．对于本合同项下乙方应支付的赔偿款或违约金，甲方有权从应付乙方的货款及履约保证金中直接扣除，不足的部分，继续向乙方追偿。</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十四、不可抗力事件处理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在合同有效期内，任何一方因不可抗力事件导致不能履行合同，则合同履行期可延长，其延长期与不可抗力影响期相同。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不可抗力事件发生后，遭遇不可抗力的一方应立即通知对方，并寄送有关官方权威机构出具的证明。</w:t>
      </w:r>
    </w:p>
    <w:p>
      <w:pPr>
        <w:spacing w:line="560" w:lineRule="exact"/>
        <w:ind w:firstLine="532" w:firstLineChars="190"/>
        <w:rPr>
          <w:rFonts w:ascii="仿宋" w:hAnsi="仿宋" w:eastAsia="仿宋" w:cs="仿宋"/>
          <w:sz w:val="28"/>
          <w:szCs w:val="28"/>
        </w:rPr>
      </w:pPr>
      <w:r>
        <w:rPr>
          <w:rFonts w:hint="eastAsia" w:ascii="仿宋" w:hAnsi="仿宋" w:eastAsia="仿宋" w:cs="仿宋"/>
          <w:sz w:val="28"/>
          <w:szCs w:val="28"/>
        </w:rPr>
        <w:t>3. 不可抗力事件延续【40 】天以上，双方应通过友好协商，确定是否继续履行合同；协商无法达成一致的，本合同自动终止，双方互不承担赔偿或违约责任。</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十五、争议解决</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双方在执行合同中所发生的一切争议，应通过协商解决。如协商不成，由甲方所在地的人民法院管辖审理。</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十六、合同组成文件包含下列内容，且解释顺序如下：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1.本合同协议书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2.中标通知书</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3.招标文件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4.投标书及其附件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5.标准、规范及有关技术文件</w:t>
      </w:r>
    </w:p>
    <w:p>
      <w:pPr>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rPr>
        <w:t>十七、合同生效及其它</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合同经双方法定代表人或授权代表签字（包含签章）并加盖单位公章或者合同章之日起生效。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2.本合同未尽事宜，双方可签订补充协议予以执行；未达成补充协议的，遵照《合同法》及有关法律法规执行。</w:t>
      </w: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3.本合同一式陆份，甲执四份，乙方持二份，具有同等法律效力。</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（以下为签署页）</w:t>
      </w:r>
    </w:p>
    <w:p>
      <w:pPr>
        <w:tabs>
          <w:tab w:val="right" w:pos="8306"/>
        </w:tabs>
        <w:spacing w:line="560" w:lineRule="exact"/>
        <w:rPr>
          <w:rFonts w:ascii="仿宋" w:hAnsi="仿宋" w:eastAsia="仿宋" w:cs="仿宋"/>
          <w:sz w:val="28"/>
          <w:szCs w:val="28"/>
        </w:rPr>
      </w:pPr>
    </w:p>
    <w:p>
      <w:pPr>
        <w:tabs>
          <w:tab w:val="right" w:pos="8306"/>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ab/>
      </w:r>
    </w:p>
    <w:p>
      <w:pPr>
        <w:spacing w:line="560" w:lineRule="exact"/>
        <w:ind w:left="4480" w:hanging="4480" w:hangingChars="1600"/>
        <w:rPr>
          <w:rFonts w:ascii="仿宋" w:hAnsi="仿宋" w:eastAsia="仿宋" w:cs="仿宋"/>
          <w:sz w:val="28"/>
          <w:szCs w:val="28"/>
        </w:rPr>
      </w:pPr>
      <w:r>
        <w:rPr>
          <w:rFonts w:hint="eastAsia" w:ascii="仿宋" w:hAnsi="仿宋" w:eastAsia="仿宋" w:cs="仿宋"/>
          <w:sz w:val="28"/>
          <w:szCs w:val="28"/>
        </w:rPr>
        <w:t>甲方：杭州萧山国际机场有限公司  乙方：</w:t>
      </w:r>
    </w:p>
    <w:p>
      <w:pPr>
        <w:spacing w:line="560" w:lineRule="exact"/>
        <w:ind w:left="6750" w:hanging="6750"/>
        <w:rPr>
          <w:rFonts w:ascii="仿宋" w:hAnsi="仿宋" w:eastAsia="仿宋" w:cs="仿宋"/>
          <w:sz w:val="28"/>
          <w:szCs w:val="28"/>
        </w:rPr>
      </w:pPr>
      <w:r>
        <w:rPr>
          <w:rFonts w:hint="eastAsia" w:ascii="仿宋" w:hAnsi="仿宋" w:eastAsia="仿宋" w:cs="仿宋"/>
          <w:sz w:val="28"/>
          <w:szCs w:val="28"/>
        </w:rPr>
        <w:t>地址：杭州萧山国际机场内        地址：</w:t>
      </w:r>
    </w:p>
    <w:p>
      <w:pPr>
        <w:spacing w:line="560" w:lineRule="exact"/>
        <w:ind w:left="6750" w:hanging="6750"/>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法定代表人：                     法定代表人：</w:t>
      </w:r>
    </w:p>
    <w:p>
      <w:pPr>
        <w:spacing w:line="560" w:lineRule="exact"/>
        <w:rPr>
          <w:rFonts w:ascii="仿宋" w:hAnsi="仿宋" w:eastAsia="仿宋" w:cs="仿宋"/>
          <w:sz w:val="28"/>
          <w:szCs w:val="28"/>
        </w:rPr>
      </w:pPr>
      <w:r>
        <w:rPr>
          <w:rFonts w:hint="eastAsia" w:ascii="仿宋" w:hAnsi="仿宋" w:eastAsia="仿宋" w:cs="仿宋"/>
          <w:sz w:val="28"/>
          <w:szCs w:val="28"/>
        </w:rPr>
        <w:t>或                               或</w:t>
      </w:r>
    </w:p>
    <w:p>
      <w:pPr>
        <w:spacing w:line="560" w:lineRule="exact"/>
        <w:rPr>
          <w:rFonts w:ascii="仿宋" w:hAnsi="仿宋" w:eastAsia="仿宋" w:cs="仿宋"/>
          <w:sz w:val="28"/>
          <w:szCs w:val="28"/>
        </w:rPr>
      </w:pPr>
      <w:r>
        <w:rPr>
          <w:rFonts w:hint="eastAsia" w:ascii="仿宋" w:hAnsi="仿宋" w:eastAsia="仿宋" w:cs="仿宋"/>
          <w:sz w:val="28"/>
          <w:szCs w:val="28"/>
        </w:rPr>
        <w:t>授权代表：                       授权代表：</w:t>
      </w:r>
    </w:p>
    <w:p>
      <w:pPr>
        <w:spacing w:line="560" w:lineRule="exact"/>
        <w:rPr>
          <w:rFonts w:ascii="仿宋" w:hAnsi="仿宋" w:eastAsia="仿宋" w:cs="仿宋"/>
          <w:b/>
          <w:sz w:val="28"/>
          <w:szCs w:val="28"/>
        </w:rPr>
      </w:pPr>
      <w:r>
        <w:rPr>
          <w:rFonts w:hint="eastAsia" w:ascii="仿宋" w:hAnsi="仿宋" w:eastAsia="仿宋" w:cs="仿宋"/>
          <w:sz w:val="28"/>
          <w:szCs w:val="28"/>
        </w:rPr>
        <w:t xml:space="preserve">签字日期：                       签字日期： </w:t>
      </w:r>
    </w:p>
    <w:p>
      <w:pPr>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年  月  日                      年  月  日</w:t>
      </w:r>
    </w:p>
    <w:p>
      <w:pPr>
        <w:rPr>
          <w:rFonts w:ascii="宋体" w:hAnsi="宋体" w:cs="宋体"/>
          <w:b/>
          <w:sz w:val="22"/>
        </w:rPr>
        <w:sectPr>
          <w:footerReference r:id="rId8" w:type="defaul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Lines="50" w:line="360" w:lineRule="auto"/>
        <w:rPr>
          <w:rFonts w:ascii="宋体" w:hAnsi="宋体" w:cs="宋体"/>
          <w:b/>
          <w:szCs w:val="21"/>
        </w:rPr>
      </w:pPr>
      <w:r>
        <w:rPr>
          <w:rFonts w:hint="eastAsia" w:ascii="宋体" w:hAnsi="宋体" w:cs="宋体"/>
          <w:b/>
          <w:szCs w:val="21"/>
        </w:rPr>
        <w:t>附件2：保密承诺书</w:t>
      </w:r>
    </w:p>
    <w:p>
      <w:pPr>
        <w:snapToGrid w:val="0"/>
        <w:spacing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30" w:name="_Toc19698501"/>
      <w:r>
        <w:rPr>
          <w:rFonts w:hint="eastAsia"/>
        </w:rPr>
        <w:t>第五章用户需求书</w:t>
      </w:r>
      <w:bookmarkEnd w:id="30"/>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31" w:name="_Toc19698502"/>
      <w:r>
        <w:rPr>
          <w:rStyle w:val="95"/>
          <w:rFonts w:hint="eastAsia"/>
          <w:sz w:val="40"/>
          <w:szCs w:val="40"/>
        </w:rPr>
        <w:t>用户需求书</w:t>
      </w:r>
      <w:bookmarkEnd w:id="31"/>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 xml:space="preserve">招标人应尽可能清晰准确地提出对设备的需求，并对所要求提供的设备名称、规格、数量 </w:t>
      </w:r>
      <w:r>
        <w:rPr>
          <w:rFonts w:hint="eastAsia" w:ascii="宋体" w:hAnsi="宋体" w:cs="宋体"/>
          <w:spacing w:val="-1"/>
          <w:sz w:val="22"/>
          <w:szCs w:val="22"/>
        </w:rPr>
        <w:t>及单位、交货期、交货地点、技术性能指标、检验考核要求、技术服务和质保期服务要求等作出说明。鉴于供货要求是合同文件的组成文件之一，指代主体名称宜采用甲方和乙方分别表示</w:t>
      </w:r>
      <w:r>
        <w:rPr>
          <w:rFonts w:hint="eastAsia" w:ascii="宋体" w:hAnsi="宋体" w:cs="宋体"/>
          <w:sz w:val="22"/>
          <w:szCs w:val="22"/>
        </w:rPr>
        <w:t>招标人和投标人或中标人。</w:t>
      </w:r>
    </w:p>
    <w:p>
      <w:pPr>
        <w:pStyle w:val="5"/>
        <w:spacing w:before="160" w:after="160" w:line="360" w:lineRule="exact"/>
        <w:ind w:firstLine="281" w:firstLineChars="100"/>
        <w:jc w:val="left"/>
        <w:rPr>
          <w:rFonts w:ascii="宋体" w:hAnsi="宋体" w:eastAsia="宋体" w:cs="宋体"/>
          <w:sz w:val="22"/>
          <w:szCs w:val="22"/>
        </w:rPr>
      </w:pPr>
      <w:bookmarkStart w:id="32" w:name="_bookmark148"/>
      <w:bookmarkEnd w:id="32"/>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招标人可根据需要对项目的概况进行介绍，以使投标人更清晰地了解供货的总体要求和相关信息。</w:t>
      </w:r>
    </w:p>
    <w:p>
      <w:pPr>
        <w:spacing w:line="340" w:lineRule="exact"/>
        <w:ind w:firstLine="440" w:firstLineChars="200"/>
        <w:rPr>
          <w:rFonts w:ascii="宋体" w:hAnsi="宋体" w:cs="宋体"/>
          <w:sz w:val="22"/>
        </w:rPr>
      </w:pPr>
      <w:r>
        <w:rPr>
          <w:rFonts w:hint="eastAsia" w:ascii="宋体" w:hAnsi="宋体" w:cs="宋体"/>
          <w:sz w:val="22"/>
        </w:rPr>
        <w:t>主要招标内容：</w:t>
      </w:r>
    </w:p>
    <w:p>
      <w:pPr>
        <w:spacing w:line="340" w:lineRule="exact"/>
        <w:ind w:firstLine="440" w:firstLineChars="200"/>
        <w:rPr>
          <w:rFonts w:ascii="宋体" w:hAnsi="宋体" w:cs="宋体"/>
          <w:sz w:val="22"/>
        </w:rPr>
      </w:pPr>
    </w:p>
    <w:p>
      <w:pPr>
        <w:numPr>
          <w:ilvl w:val="0"/>
          <w:numId w:val="36"/>
        </w:numPr>
        <w:spacing w:line="360" w:lineRule="auto"/>
        <w:rPr>
          <w:rFonts w:ascii="宋体" w:hAnsi="宋体" w:cs="宋体"/>
          <w:sz w:val="22"/>
        </w:rPr>
      </w:pPr>
      <w:r>
        <w:rPr>
          <w:rFonts w:hint="eastAsia" w:ascii="宋体" w:hAnsi="宋体" w:cs="宋体"/>
          <w:sz w:val="22"/>
        </w:rPr>
        <w:t>提供蓄电池40节，</w:t>
      </w:r>
      <w:r>
        <w:rPr>
          <w:rFonts w:hint="eastAsia" w:ascii="宋体" w:hAnsi="宋体"/>
        </w:rPr>
        <w:t>▲铅酸免维护蓄电池12V100AH。</w:t>
      </w:r>
    </w:p>
    <w:p>
      <w:pPr>
        <w:numPr>
          <w:ilvl w:val="0"/>
          <w:numId w:val="36"/>
        </w:numPr>
        <w:spacing w:line="360" w:lineRule="auto"/>
        <w:rPr>
          <w:rFonts w:ascii="宋体" w:hAnsi="宋体" w:cs="宋体"/>
          <w:sz w:val="22"/>
        </w:rPr>
      </w:pPr>
      <w:r>
        <w:rPr>
          <w:rFonts w:hint="eastAsia" w:ascii="宋体" w:hAnsi="宋体" w:cs="宋体"/>
          <w:sz w:val="22"/>
        </w:rPr>
        <w:t>回收处理旧电池40节</w:t>
      </w:r>
    </w:p>
    <w:p>
      <w:pPr>
        <w:pStyle w:val="5"/>
        <w:spacing w:before="160" w:after="160" w:line="360" w:lineRule="exact"/>
        <w:ind w:firstLine="281" w:firstLineChars="100"/>
        <w:jc w:val="left"/>
        <w:rPr>
          <w:rFonts w:ascii="宋体" w:hAnsi="宋体" w:eastAsia="宋体" w:cs="宋体"/>
          <w:sz w:val="23"/>
          <w:szCs w:val="23"/>
        </w:rPr>
      </w:pPr>
      <w:bookmarkStart w:id="33" w:name="_bookmark149"/>
      <w:bookmarkEnd w:id="33"/>
      <w:r>
        <w:t>二、设备需求一览表</w:t>
      </w:r>
    </w:p>
    <w:p>
      <w:pPr>
        <w:pStyle w:val="16"/>
        <w:tabs>
          <w:tab w:val="left" w:pos="2388"/>
          <w:tab w:val="left" w:pos="2832"/>
          <w:tab w:val="left" w:pos="3472"/>
          <w:tab w:val="left" w:pos="6667"/>
          <w:tab w:val="left" w:pos="7270"/>
        </w:tabs>
        <w:spacing w:beforeLines="50" w:line="348" w:lineRule="auto"/>
        <w:ind w:left="102" w:right="153" w:firstLine="420"/>
      </w:pPr>
      <w:r>
        <w:rPr>
          <w:rFonts w:hint="eastAsia"/>
        </w:rPr>
        <w:t>（1）招标货物名称、数量及主要技术规格如下：</w:t>
      </w:r>
    </w:p>
    <w:tbl>
      <w:tblPr>
        <w:tblStyle w:val="89"/>
        <w:tblW w:w="7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26"/>
        <w:gridCol w:w="2783"/>
        <w:gridCol w:w="855"/>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2"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426"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合计数量（节）</w:t>
            </w:r>
          </w:p>
        </w:tc>
        <w:tc>
          <w:tcPr>
            <w:tcW w:w="855" w:type="dxa"/>
            <w:vAlign w:val="center"/>
          </w:tcPr>
          <w:p>
            <w:pPr>
              <w:adjustRightInd w:val="0"/>
              <w:snapToGrid w:val="0"/>
              <w:jc w:val="center"/>
              <w:rPr>
                <w:rFonts w:ascii="宋体" w:hAnsi="宋体" w:cs="宋体"/>
                <w:caps/>
                <w:sz w:val="22"/>
              </w:rPr>
            </w:pPr>
            <w:r>
              <w:rPr>
                <w:rFonts w:hint="eastAsia" w:ascii="宋体" w:hAnsi="宋体" w:cs="宋体"/>
                <w:sz w:val="22"/>
              </w:rPr>
              <w:t>推荐品牌</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供货期</w:t>
            </w:r>
          </w:p>
        </w:tc>
        <w:tc>
          <w:tcPr>
            <w:tcW w:w="805" w:type="dxa"/>
            <w:vAlign w:val="center"/>
          </w:tcPr>
          <w:p>
            <w:pPr>
              <w:spacing w:line="288" w:lineRule="auto"/>
              <w:jc w:val="center"/>
              <w:rPr>
                <w:rFonts w:ascii="宋体" w:hAnsi="宋体" w:cs="宋体"/>
                <w:sz w:val="22"/>
              </w:rPr>
            </w:pPr>
            <w:r>
              <w:rPr>
                <w:rFonts w:hint="eastAsia" w:ascii="宋体" w:hAnsi="宋体" w:cs="宋体"/>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852" w:type="dxa"/>
            <w:vAlign w:val="center"/>
          </w:tcPr>
          <w:p>
            <w:pPr>
              <w:spacing w:line="288" w:lineRule="auto"/>
              <w:jc w:val="center"/>
              <w:rPr>
                <w:rFonts w:ascii="宋体" w:hAnsi="宋体" w:cs="宋体"/>
                <w:caps/>
                <w:sz w:val="22"/>
              </w:rPr>
            </w:pPr>
            <w:r>
              <w:rPr>
                <w:rFonts w:hint="eastAsia" w:ascii="宋体" w:hAnsi="宋体" w:cs="宋体"/>
                <w:caps/>
                <w:sz w:val="22"/>
              </w:rPr>
              <w:t>蓄电池</w:t>
            </w:r>
          </w:p>
        </w:tc>
        <w:tc>
          <w:tcPr>
            <w:tcW w:w="1426" w:type="dxa"/>
            <w:vAlign w:val="center"/>
          </w:tcPr>
          <w:p>
            <w:pPr>
              <w:spacing w:line="288" w:lineRule="auto"/>
              <w:jc w:val="center"/>
              <w:rPr>
                <w:rFonts w:ascii="宋体" w:hAnsi="宋体" w:cs="宋体"/>
                <w:caps/>
                <w:sz w:val="22"/>
              </w:rPr>
            </w:pPr>
            <w:r>
              <w:rPr>
                <w:rFonts w:hint="eastAsia" w:ascii="宋体" w:hAnsi="宋体" w:cs="宋体"/>
                <w:sz w:val="22"/>
              </w:rPr>
              <w:t>★</w:t>
            </w:r>
            <w:r>
              <w:rPr>
                <w:rFonts w:hint="eastAsia" w:ascii="宋体" w:hAnsi="宋体"/>
              </w:rPr>
              <w:t>铅酸免维护蓄电池12V100AH</w:t>
            </w:r>
          </w:p>
        </w:tc>
        <w:tc>
          <w:tcPr>
            <w:tcW w:w="2783" w:type="dxa"/>
            <w:vAlign w:val="center"/>
          </w:tcPr>
          <w:p>
            <w:pPr>
              <w:spacing w:line="288" w:lineRule="auto"/>
              <w:jc w:val="center"/>
              <w:rPr>
                <w:rFonts w:ascii="宋体" w:hAnsi="宋体" w:cs="宋体"/>
                <w:caps/>
                <w:sz w:val="22"/>
              </w:rPr>
            </w:pPr>
            <w:r>
              <w:rPr>
                <w:rFonts w:hint="eastAsia" w:ascii="宋体" w:hAnsi="宋体" w:cs="宋体"/>
                <w:caps/>
                <w:sz w:val="22"/>
              </w:rPr>
              <w:t>40</w:t>
            </w:r>
          </w:p>
        </w:tc>
        <w:tc>
          <w:tcPr>
            <w:tcW w:w="855" w:type="dxa"/>
            <w:vAlign w:val="center"/>
          </w:tcPr>
          <w:p>
            <w:pPr>
              <w:adjustRightInd w:val="0"/>
              <w:snapToGrid w:val="0"/>
              <w:jc w:val="center"/>
              <w:rPr>
                <w:rFonts w:ascii="宋体" w:hAnsi="宋体" w:cs="宋体"/>
                <w:sz w:val="22"/>
              </w:rPr>
            </w:pPr>
            <w:r>
              <w:rPr>
                <w:rFonts w:hint="eastAsia" w:ascii="宋体" w:hAnsi="宋体"/>
                <w:color w:val="000000"/>
                <w:kern w:val="0"/>
              </w:rPr>
              <w:t>GTB、普斯顿、欧迪森</w:t>
            </w:r>
          </w:p>
        </w:tc>
        <w:tc>
          <w:tcPr>
            <w:tcW w:w="805" w:type="dxa"/>
            <w:vAlign w:val="center"/>
          </w:tcPr>
          <w:p>
            <w:pPr>
              <w:spacing w:line="288" w:lineRule="auto"/>
              <w:jc w:val="center"/>
              <w:rPr>
                <w:rFonts w:ascii="宋体" w:hAnsi="宋体" w:cs="宋体"/>
                <w:caps/>
                <w:sz w:val="22"/>
              </w:rPr>
            </w:pPr>
            <w:r>
              <w:rPr>
                <w:rFonts w:hint="eastAsia" w:ascii="宋体" w:hAnsi="宋体" w:cs="宋体"/>
                <w:sz w:val="22"/>
              </w:rPr>
              <w:t>合同签订后</w:t>
            </w:r>
            <w:r>
              <w:rPr>
                <w:rFonts w:hint="eastAsia" w:ascii="宋体" w:hAnsi="宋体" w:cs="宋体"/>
                <w:sz w:val="22"/>
                <w:u w:val="single"/>
              </w:rPr>
              <w:t xml:space="preserve"> 30 </w:t>
            </w:r>
            <w:r>
              <w:rPr>
                <w:rFonts w:hint="eastAsia" w:ascii="宋体" w:hAnsi="宋体" w:cs="宋体"/>
                <w:sz w:val="22"/>
              </w:rPr>
              <w:t>日历天内</w:t>
            </w:r>
          </w:p>
        </w:tc>
        <w:tc>
          <w:tcPr>
            <w:tcW w:w="805" w:type="dxa"/>
            <w:vAlign w:val="center"/>
          </w:tcPr>
          <w:p>
            <w:pPr>
              <w:spacing w:line="288" w:lineRule="auto"/>
              <w:jc w:val="center"/>
              <w:rPr>
                <w:rFonts w:ascii="宋体" w:hAnsi="宋体" w:cs="宋体"/>
                <w:caps/>
                <w:sz w:val="22"/>
              </w:rPr>
            </w:pPr>
            <w:r>
              <w:rPr>
                <w:rFonts w:hint="eastAsia" w:ascii="宋体" w:hAnsi="宋体" w:cs="宋体"/>
                <w:sz w:val="22"/>
              </w:rPr>
              <w:t>杭州萧山国际机场</w:t>
            </w:r>
          </w:p>
        </w:tc>
      </w:tr>
    </w:tbl>
    <w:p>
      <w:pPr>
        <w:pStyle w:val="16"/>
        <w:tabs>
          <w:tab w:val="left" w:pos="2388"/>
          <w:tab w:val="left" w:pos="2832"/>
          <w:tab w:val="left" w:pos="3472"/>
          <w:tab w:val="left" w:pos="6667"/>
          <w:tab w:val="left" w:pos="7270"/>
        </w:tabs>
        <w:spacing w:line="348" w:lineRule="auto"/>
        <w:ind w:right="153"/>
      </w:pPr>
    </w:p>
    <w:p>
      <w:pPr>
        <w:pStyle w:val="16"/>
        <w:tabs>
          <w:tab w:val="left" w:pos="2388"/>
          <w:tab w:val="left" w:pos="2832"/>
          <w:tab w:val="left" w:pos="3472"/>
          <w:tab w:val="left" w:pos="6667"/>
          <w:tab w:val="left" w:pos="7270"/>
        </w:tabs>
        <w:spacing w:line="348" w:lineRule="auto"/>
        <w:ind w:right="153"/>
      </w:pPr>
      <w:r>
        <w:rPr>
          <w:rFonts w:hint="eastAsia"/>
        </w:rPr>
        <w:t xml:space="preserve">   （2）回收处理（40节）旧电池数量及主要技术规格如下：</w:t>
      </w:r>
    </w:p>
    <w:tbl>
      <w:tblPr>
        <w:tblStyle w:val="89"/>
        <w:tblW w:w="6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215"/>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宋体" w:hAnsi="宋体"/>
                <w:sz w:val="28"/>
                <w:szCs w:val="28"/>
              </w:rPr>
            </w:pPr>
            <w:r>
              <w:rPr>
                <w:rFonts w:asciiTheme="minorEastAsia" w:hAnsiTheme="minorEastAsia"/>
                <w:caps/>
                <w:sz w:val="22"/>
              </w:rPr>
              <w:t>货物名称</w:t>
            </w:r>
          </w:p>
        </w:tc>
        <w:tc>
          <w:tcPr>
            <w:tcW w:w="2215"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规格</w:t>
            </w:r>
          </w:p>
        </w:tc>
        <w:tc>
          <w:tcPr>
            <w:tcW w:w="184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数量（片）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Theme="minorEastAsia" w:hAnsiTheme="minorEastAsia"/>
                <w:caps/>
                <w:sz w:val="22"/>
              </w:rPr>
            </w:pPr>
            <w:r>
              <w:rPr>
                <w:rFonts w:hint="eastAsia" w:ascii="宋体" w:hAnsi="宋体" w:cs="宋体"/>
                <w:caps/>
                <w:sz w:val="22"/>
              </w:rPr>
              <w:t>蓄电池1</w:t>
            </w:r>
          </w:p>
        </w:tc>
        <w:tc>
          <w:tcPr>
            <w:tcW w:w="2215" w:type="dxa"/>
            <w:vAlign w:val="center"/>
          </w:tcPr>
          <w:p>
            <w:pPr>
              <w:spacing w:line="288" w:lineRule="auto"/>
              <w:jc w:val="center"/>
              <w:rPr>
                <w:rFonts w:ascii="宋体" w:hAnsi="宋体" w:cs="宋体"/>
                <w:caps/>
                <w:sz w:val="22"/>
              </w:rPr>
            </w:pPr>
            <w:r>
              <w:rPr>
                <w:rFonts w:ascii="宋体" w:hAnsi="宋体" w:cs="宋体"/>
                <w:caps/>
                <w:sz w:val="22"/>
              </w:rPr>
              <w:t>中达 DCF126-12/100</w:t>
            </w:r>
          </w:p>
        </w:tc>
        <w:tc>
          <w:tcPr>
            <w:tcW w:w="184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519" w:type="dxa"/>
            <w:vAlign w:val="center"/>
          </w:tcPr>
          <w:p>
            <w:pPr>
              <w:spacing w:line="288" w:lineRule="auto"/>
              <w:jc w:val="center"/>
              <w:rPr>
                <w:rFonts w:asciiTheme="minorEastAsia" w:hAnsiTheme="minorEastAsia"/>
                <w:caps/>
                <w:sz w:val="22"/>
              </w:rPr>
            </w:pPr>
            <w:r>
              <w:rPr>
                <w:rFonts w:hint="eastAsia" w:ascii="宋体" w:hAnsi="宋体" w:cs="宋体"/>
                <w:caps/>
                <w:sz w:val="22"/>
              </w:rPr>
              <w:t>蓄电池1</w:t>
            </w:r>
          </w:p>
        </w:tc>
        <w:tc>
          <w:tcPr>
            <w:tcW w:w="2215" w:type="dxa"/>
            <w:vAlign w:val="center"/>
          </w:tcPr>
          <w:p>
            <w:pPr>
              <w:spacing w:line="288" w:lineRule="auto"/>
              <w:jc w:val="center"/>
              <w:rPr>
                <w:rFonts w:ascii="宋体" w:hAnsi="宋体" w:cs="宋体"/>
                <w:caps/>
                <w:sz w:val="22"/>
              </w:rPr>
            </w:pPr>
            <w:r>
              <w:rPr>
                <w:rFonts w:ascii="宋体" w:hAnsi="宋体" w:cs="宋体"/>
                <w:caps/>
                <w:sz w:val="22"/>
              </w:rPr>
              <w:t>中达 DCF126-12/100</w:t>
            </w:r>
          </w:p>
        </w:tc>
        <w:tc>
          <w:tcPr>
            <w:tcW w:w="1844"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bl>
    <w:p>
      <w:pPr>
        <w:spacing w:before="2"/>
        <w:rPr>
          <w:rFonts w:ascii="宋体" w:hAnsi="宋体" w:cs="宋体"/>
          <w:sz w:val="15"/>
          <w:szCs w:val="15"/>
        </w:rPr>
      </w:pPr>
    </w:p>
    <w:p>
      <w:pPr>
        <w:pStyle w:val="5"/>
        <w:numPr>
          <w:ilvl w:val="0"/>
          <w:numId w:val="37"/>
        </w:numPr>
        <w:spacing w:before="160" w:after="160" w:line="360" w:lineRule="exact"/>
        <w:ind w:firstLine="281" w:firstLineChars="100"/>
        <w:jc w:val="left"/>
      </w:pPr>
      <w:bookmarkStart w:id="34" w:name="_bookmark150"/>
      <w:bookmarkEnd w:id="34"/>
      <w:r>
        <w:t>技术性能指标</w:t>
      </w:r>
    </w:p>
    <w:p>
      <w:pPr>
        <w:pStyle w:val="1343"/>
        <w:widowControl/>
        <w:numPr>
          <w:ilvl w:val="0"/>
          <w:numId w:val="38"/>
        </w:numPr>
        <w:spacing w:line="360" w:lineRule="auto"/>
        <w:ind w:firstLineChars="0"/>
        <w:jc w:val="left"/>
        <w:rPr>
          <w:rFonts w:ascii="宋体" w:hAnsi="宋体" w:cs="宋体"/>
          <w:bCs/>
          <w:sz w:val="22"/>
        </w:rPr>
      </w:pPr>
      <w:r>
        <w:rPr>
          <w:rFonts w:hint="eastAsia" w:ascii="宋体" w:hAnsi="宋体" w:cs="宋体"/>
          <w:bCs/>
          <w:sz w:val="22"/>
        </w:rPr>
        <w:t>蓄电池参数要求</w:t>
      </w:r>
    </w:p>
    <w:p>
      <w:pPr>
        <w:rPr>
          <w:rFonts w:ascii="宋体" w:hAnsi="宋体" w:cs="Calibri"/>
          <w:color w:val="000000"/>
          <w:kern w:val="0"/>
          <w:sz w:val="20"/>
          <w:szCs w:val="20"/>
        </w:rPr>
      </w:pPr>
      <w:r>
        <w:rPr>
          <w:rFonts w:hint="eastAsia" w:ascii="宋体" w:hAnsi="宋体"/>
        </w:rPr>
        <w:t xml:space="preserve">1. </w:t>
      </w:r>
      <w:r>
        <w:rPr>
          <w:rFonts w:hint="eastAsia" w:ascii="宋体" w:hAnsi="宋体" w:cs="宋体"/>
          <w:sz w:val="22"/>
        </w:rPr>
        <w:t>★</w:t>
      </w:r>
      <w:r>
        <w:rPr>
          <w:rFonts w:hint="eastAsia" w:ascii="宋体" w:hAnsi="宋体"/>
        </w:rPr>
        <w:t>铅酸免维护蓄电池12V100AH。</w:t>
      </w:r>
    </w:p>
    <w:p>
      <w:pPr>
        <w:rPr>
          <w:rFonts w:ascii="宋体" w:hAnsi="宋体"/>
        </w:rPr>
      </w:pPr>
      <w:r>
        <w:rPr>
          <w:rFonts w:hint="eastAsia" w:ascii="宋体" w:hAnsi="宋体"/>
          <w:sz w:val="20"/>
          <w:szCs w:val="20"/>
        </w:rPr>
        <w:t xml:space="preserve">2. </w:t>
      </w:r>
      <w:r>
        <w:rPr>
          <w:rFonts w:hint="eastAsia" w:ascii="宋体" w:hAnsi="宋体" w:cs="宋体"/>
          <w:sz w:val="22"/>
        </w:rPr>
        <w:t>★</w:t>
      </w:r>
      <w:r>
        <w:rPr>
          <w:rFonts w:hint="eastAsia" w:ascii="宋体" w:hAnsi="宋体"/>
        </w:rPr>
        <w:t>签合同前提供：生产厂家生产许可证、排污许可证、防渗酸结构密封结构专利证书、针对此项目三年或以上质保承诺函（以上证书或承诺函需加盖原厂公章）。</w:t>
      </w:r>
    </w:p>
    <w:p>
      <w:r>
        <w:rPr>
          <w:rFonts w:hint="eastAsia" w:ascii="宋体" w:hAnsi="宋体" w:cs="Calibri"/>
          <w:kern w:val="0"/>
          <w:sz w:val="22"/>
        </w:rPr>
        <w:t>3.</w:t>
      </w:r>
      <w:r>
        <w:rPr>
          <w:rFonts w:hint="eastAsia" w:ascii="宋体" w:hAnsi="宋体"/>
        </w:rPr>
        <w:t>标注“</w:t>
      </w:r>
      <w:r>
        <w:rPr>
          <w:rFonts w:hint="eastAsia" w:ascii="宋体" w:hAnsi="宋体" w:cs="宋体"/>
          <w:sz w:val="22"/>
        </w:rPr>
        <w:t>★</w:t>
      </w:r>
      <w:r>
        <w:rPr>
          <w:rFonts w:hint="eastAsia" w:ascii="宋体" w:hAnsi="宋体"/>
        </w:rPr>
        <w:t>”的为必须满足参数。UPS蓄电池须在投标时提供原厂保修服务承诺函原件；如投标时不能提供或提供不完整的按无效标处理。</w:t>
      </w:r>
    </w:p>
    <w:p>
      <w:pPr>
        <w:widowControl/>
        <w:jc w:val="left"/>
        <w:rPr>
          <w:rFonts w:ascii="宋体" w:hAnsi="宋体" w:cs="Calibri"/>
          <w:kern w:val="0"/>
          <w:sz w:val="22"/>
        </w:rPr>
      </w:pPr>
      <w:r>
        <w:rPr>
          <w:rFonts w:hint="eastAsia" w:ascii="宋体" w:hAnsi="宋体" w:cs="Calibri"/>
          <w:kern w:val="0"/>
          <w:sz w:val="22"/>
        </w:rPr>
        <w:t>4.本项目采购需求中的所有指标均为最低参考标准，以上表中提供了推荐品牌（或型号）、参考品牌（或型号）等，但这些</w:t>
      </w:r>
      <w:r>
        <w:rPr>
          <w:rFonts w:hint="eastAsia" w:ascii="宋体" w:hAnsi="宋体" w:cs="Calibri"/>
          <w:b/>
          <w:kern w:val="0"/>
          <w:sz w:val="22"/>
        </w:rPr>
        <w:t>品牌（或型号）仅供参考，并无限制性</w:t>
      </w:r>
      <w:r>
        <w:rPr>
          <w:rFonts w:hint="eastAsia" w:ascii="宋体" w:hAnsi="宋体" w:cs="Calibri"/>
          <w:kern w:val="0"/>
          <w:sz w:val="22"/>
        </w:rPr>
        <w:t>。投标人可以选择性能不低于推荐（或参考）的品牌（或型号）的其他品牌产品，但投标时应当提供有关技术证明资料，未提供的可能导致投标无效；</w:t>
      </w:r>
    </w:p>
    <w:p/>
    <w:p/>
    <w:p>
      <w:pPr>
        <w:pStyle w:val="5"/>
        <w:spacing w:before="160" w:after="160" w:line="360" w:lineRule="exact"/>
        <w:ind w:firstLine="281" w:firstLineChars="100"/>
        <w:jc w:val="left"/>
        <w:rPr>
          <w:rFonts w:ascii="宋体" w:hAnsi="宋体" w:eastAsia="宋体" w:cs="宋体"/>
          <w:sz w:val="31"/>
          <w:szCs w:val="31"/>
        </w:rPr>
      </w:pPr>
      <w:bookmarkStart w:id="35" w:name="_bookmark151"/>
      <w:bookmarkEnd w:id="35"/>
      <w:r>
        <w:t>四、检验考核要求</w:t>
      </w:r>
    </w:p>
    <w:p>
      <w:bookmarkStart w:id="36" w:name="_bookmark152"/>
      <w:bookmarkEnd w:id="36"/>
      <w:r>
        <w:rPr>
          <w:rFonts w:hint="eastAsia"/>
        </w:rPr>
        <w:t>1、蓄电池更换</w:t>
      </w:r>
      <w:r>
        <w:t>区域</w:t>
      </w:r>
      <w:r>
        <w:rPr>
          <w:rFonts w:hint="eastAsia"/>
        </w:rPr>
        <w:t>：</w:t>
      </w:r>
    </w:p>
    <w:tbl>
      <w:tblPr>
        <w:tblStyle w:val="89"/>
        <w:tblW w:w="7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817" w:type="dxa"/>
          </w:tcPr>
          <w:p>
            <w:pPr>
              <w:spacing w:line="288" w:lineRule="auto"/>
              <w:jc w:val="center"/>
              <w:rPr>
                <w:rFonts w:asciiTheme="minorEastAsia" w:hAnsiTheme="minorEastAsia"/>
                <w:caps/>
                <w:sz w:val="22"/>
              </w:rPr>
            </w:pPr>
            <w:r>
              <w:rPr>
                <w:rFonts w:asciiTheme="minorEastAsia" w:hAnsiTheme="minorEastAsia"/>
                <w:caps/>
                <w:sz w:val="22"/>
              </w:rPr>
              <w:t>序号</w:t>
            </w:r>
          </w:p>
        </w:tc>
        <w:tc>
          <w:tcPr>
            <w:tcW w:w="2268" w:type="dxa"/>
            <w:vAlign w:val="center"/>
          </w:tcPr>
          <w:p>
            <w:pPr>
              <w:spacing w:line="288" w:lineRule="auto"/>
              <w:jc w:val="center"/>
              <w:rPr>
                <w:rFonts w:ascii="宋体" w:hAnsi="宋体"/>
                <w:sz w:val="28"/>
                <w:szCs w:val="28"/>
              </w:rPr>
            </w:pPr>
            <w:r>
              <w:rPr>
                <w:rFonts w:hint="eastAsia" w:asciiTheme="minorEastAsia" w:hAnsiTheme="minorEastAsia"/>
                <w:caps/>
                <w:sz w:val="22"/>
              </w:rPr>
              <w:t>区域</w:t>
            </w:r>
          </w:p>
        </w:tc>
        <w:tc>
          <w:tcPr>
            <w:tcW w:w="4027"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数量（片）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17" w:type="dxa"/>
          </w:tcPr>
          <w:p>
            <w:pPr>
              <w:spacing w:line="288" w:lineRule="auto"/>
              <w:jc w:val="center"/>
              <w:rPr>
                <w:rFonts w:ascii="宋体" w:hAnsi="宋体" w:cs="宋体"/>
                <w:caps/>
                <w:sz w:val="22"/>
              </w:rPr>
            </w:pPr>
            <w:r>
              <w:rPr>
                <w:rFonts w:hint="eastAsia" w:ascii="宋体" w:hAnsi="宋体" w:cs="宋体"/>
                <w:caps/>
                <w:sz w:val="22"/>
              </w:rPr>
              <w:t>1</w:t>
            </w:r>
          </w:p>
        </w:tc>
        <w:tc>
          <w:tcPr>
            <w:tcW w:w="2268" w:type="dxa"/>
            <w:vAlign w:val="center"/>
          </w:tcPr>
          <w:p>
            <w:pPr>
              <w:spacing w:line="288" w:lineRule="auto"/>
              <w:jc w:val="center"/>
              <w:rPr>
                <w:rFonts w:asciiTheme="minorEastAsia" w:hAnsiTheme="minorEastAsia"/>
                <w:caps/>
                <w:sz w:val="22"/>
              </w:rPr>
            </w:pPr>
            <w:r>
              <w:rPr>
                <w:rFonts w:hint="eastAsia" w:ascii="宋体" w:hAnsi="宋体" w:cs="宋体"/>
                <w:caps/>
                <w:sz w:val="22"/>
              </w:rPr>
              <w:t>地下停车场29房间</w:t>
            </w:r>
          </w:p>
        </w:tc>
        <w:tc>
          <w:tcPr>
            <w:tcW w:w="4027"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817" w:type="dxa"/>
          </w:tcPr>
          <w:p>
            <w:pPr>
              <w:spacing w:line="288" w:lineRule="auto"/>
              <w:jc w:val="center"/>
              <w:rPr>
                <w:rFonts w:ascii="宋体" w:hAnsi="宋体" w:cs="宋体"/>
                <w:caps/>
                <w:sz w:val="22"/>
              </w:rPr>
            </w:pPr>
            <w:r>
              <w:rPr>
                <w:rFonts w:hint="eastAsia" w:ascii="宋体" w:hAnsi="宋体" w:cs="宋体"/>
                <w:caps/>
                <w:sz w:val="22"/>
              </w:rPr>
              <w:t>2</w:t>
            </w:r>
          </w:p>
        </w:tc>
        <w:tc>
          <w:tcPr>
            <w:tcW w:w="2268" w:type="dxa"/>
            <w:vAlign w:val="center"/>
          </w:tcPr>
          <w:p>
            <w:pPr>
              <w:spacing w:line="288" w:lineRule="auto"/>
              <w:jc w:val="center"/>
              <w:rPr>
                <w:rFonts w:asciiTheme="minorEastAsia" w:hAnsiTheme="minorEastAsia"/>
                <w:caps/>
                <w:sz w:val="22"/>
              </w:rPr>
            </w:pPr>
            <w:r>
              <w:rPr>
                <w:rFonts w:hint="eastAsia" w:ascii="宋体" w:hAnsi="宋体" w:cs="宋体"/>
                <w:caps/>
                <w:sz w:val="22"/>
              </w:rPr>
              <w:t>楼前停车场出口机房</w:t>
            </w:r>
          </w:p>
        </w:tc>
        <w:tc>
          <w:tcPr>
            <w:tcW w:w="4027" w:type="dxa"/>
            <w:vAlign w:val="center"/>
          </w:tcPr>
          <w:p>
            <w:pPr>
              <w:spacing w:line="288" w:lineRule="auto"/>
              <w:jc w:val="center"/>
              <w:rPr>
                <w:rFonts w:asciiTheme="minorEastAsia" w:hAnsiTheme="minorEastAsia"/>
                <w:caps/>
                <w:sz w:val="22"/>
              </w:rPr>
            </w:pPr>
            <w:r>
              <w:rPr>
                <w:rFonts w:hint="eastAsia" w:asciiTheme="minorEastAsia" w:hAnsiTheme="minorEastAsia"/>
                <w:caps/>
                <w:sz w:val="22"/>
              </w:rPr>
              <w:t>20</w:t>
            </w:r>
          </w:p>
        </w:tc>
      </w:tr>
    </w:tbl>
    <w:p/>
    <w:p>
      <w:pPr>
        <w:pStyle w:val="47"/>
        <w:spacing w:line="240" w:lineRule="auto"/>
        <w:ind w:firstLine="0"/>
        <w:jc w:val="left"/>
        <w:rPr>
          <w:rFonts w:ascii="宋体" w:hAnsi="宋体" w:cs="Arial"/>
          <w:sz w:val="22"/>
          <w:szCs w:val="22"/>
        </w:rPr>
      </w:pPr>
      <w:r>
        <w:rPr>
          <w:rFonts w:hint="eastAsia" w:ascii="宋体" w:hAnsi="宋体" w:cs="Arial"/>
          <w:sz w:val="22"/>
          <w:szCs w:val="22"/>
        </w:rPr>
        <w:t>2、投标方负责设备的采购、运输、安装、调试工作。</w:t>
      </w:r>
    </w:p>
    <w:p>
      <w:pPr>
        <w:pStyle w:val="5"/>
        <w:spacing w:before="160" w:after="160" w:line="360" w:lineRule="exact"/>
        <w:jc w:val="left"/>
      </w:pPr>
      <w:r>
        <w:t>五、技术服务和质保期服务要求</w:t>
      </w:r>
    </w:p>
    <w:p>
      <w:pPr>
        <w:widowControl/>
        <w:ind w:firstLine="555"/>
        <w:jc w:val="left"/>
        <w:rPr>
          <w:rFonts w:ascii="宋体" w:hAnsi="宋体" w:cs="Arial"/>
          <w:b/>
          <w:bCs/>
          <w:kern w:val="0"/>
          <w:sz w:val="22"/>
        </w:rPr>
      </w:pPr>
      <w:r>
        <w:rPr>
          <w:rFonts w:hint="eastAsia" w:ascii="宋体" w:hAnsi="宋体" w:cs="Arial"/>
          <w:kern w:val="0"/>
          <w:sz w:val="22"/>
        </w:rPr>
        <w:t>1.</w:t>
      </w:r>
      <w:r>
        <w:rPr>
          <w:rFonts w:hint="eastAsia" w:ascii="宋体" w:hAnsi="宋体" w:cs="Arial"/>
          <w:b/>
          <w:bCs/>
          <w:kern w:val="0"/>
          <w:sz w:val="22"/>
        </w:rPr>
        <w:t>本项目产品的质量保修期默认为自验收通过之日起，所投产品原厂（整机）免费上门保修，整体保修三年。</w:t>
      </w:r>
    </w:p>
    <w:p>
      <w:pPr>
        <w:widowControl/>
        <w:ind w:firstLine="555"/>
        <w:jc w:val="left"/>
        <w:rPr>
          <w:rFonts w:ascii="宋体" w:hAnsi="宋体" w:cs="Arial"/>
          <w:kern w:val="0"/>
          <w:sz w:val="22"/>
        </w:rPr>
      </w:pPr>
      <w:r>
        <w:rPr>
          <w:rFonts w:hint="eastAsia" w:ascii="宋体" w:hAnsi="宋体" w:cs="Arial"/>
          <w:kern w:val="0"/>
          <w:sz w:val="22"/>
        </w:rPr>
        <w:t xml:space="preserve">2.若中标人所供产品被查出全部或者部分是次品、旧品、水货、侵犯知识产权的产品的，则中标人应自发现之日起（或者故障报修之日起满三个月后）三个工作日内对产品进行更换，且更换的产品应为不低于原产品型号、质量、配置、性能和售后服务的产品，没收履约保证金。 </w:t>
      </w:r>
    </w:p>
    <w:p>
      <w:pPr>
        <w:widowControl/>
        <w:ind w:firstLine="555"/>
        <w:jc w:val="left"/>
        <w:rPr>
          <w:rFonts w:ascii="宋体" w:hAnsi="宋体" w:cs="Arial"/>
          <w:kern w:val="0"/>
          <w:sz w:val="22"/>
        </w:rPr>
      </w:pPr>
      <w:r>
        <w:rPr>
          <w:rFonts w:hint="eastAsia" w:ascii="宋体" w:hAnsi="宋体" w:cs="Arial"/>
          <w:kern w:val="0"/>
          <w:sz w:val="22"/>
        </w:rPr>
        <w:t>3.中标人提供的货物在质保期内因货物本身的质量问题发生故障，中标人应负责免费更换。对达不到技术要求者，招标人有权退还投标人所供货物，投标人应退还招标人支付的合同款，同时应承担该货物的直接费用（运输、保险、检验、货款利息及银行手续费等）以及由此给招标人造成的损失。</w:t>
      </w:r>
    </w:p>
    <w:p>
      <w:pPr>
        <w:widowControl/>
        <w:ind w:firstLine="555"/>
        <w:jc w:val="left"/>
        <w:rPr>
          <w:rFonts w:ascii="宋体" w:hAnsi="宋体" w:cs="Arial"/>
          <w:kern w:val="0"/>
          <w:sz w:val="22"/>
        </w:rPr>
      </w:pPr>
      <w:r>
        <w:rPr>
          <w:rFonts w:hint="eastAsia" w:ascii="宋体" w:hAnsi="宋体" w:cs="Arial"/>
          <w:kern w:val="0"/>
          <w:sz w:val="22"/>
        </w:rPr>
        <w:t>4.在质保期内，投标人应对货物出现的质量及安全问题负责处理解决并承担一切费用。</w:t>
      </w:r>
    </w:p>
    <w:p>
      <w:pPr>
        <w:sectPr>
          <w:pgSz w:w="12240" w:h="15840"/>
          <w:pgMar w:top="1500" w:right="1680" w:bottom="1120" w:left="1700" w:header="0" w:footer="921" w:gutter="0"/>
          <w:cols w:space="720" w:num="1"/>
        </w:sectPr>
      </w:pPr>
      <w:r>
        <w:rPr>
          <w:rFonts w:hint="eastAsia" w:ascii="宋体" w:hAnsi="宋体" w:cs="Arial"/>
          <w:kern w:val="0"/>
          <w:sz w:val="22"/>
        </w:rPr>
        <w:t>5</w:t>
      </w:r>
      <w:r>
        <w:rPr>
          <w:rFonts w:ascii="宋体" w:hAnsi="宋体" w:cs="Arial"/>
          <w:kern w:val="0"/>
          <w:sz w:val="22"/>
        </w:rPr>
        <w:t>.</w:t>
      </w:r>
      <w:r>
        <w:rPr>
          <w:rFonts w:hint="eastAsia" w:ascii="宋体" w:hAnsi="宋体" w:cs="Arial"/>
          <w:kern w:val="0"/>
          <w:sz w:val="22"/>
        </w:rPr>
        <w:t>产品故障报修的响应时间：应在接到产品故障报修后4小时内响应，1个工作日内到达现场，2个工作日内处理完毕。若故障检修2个工作日后仍无法排除的，中标人应在故障报修2个工作日后的一个工作日内提供不低于故障规格型号档次的替代产品供招标人使用。如对货物出现的质量及安全问题经处理仍不能解决的，则招标人有权退货或要求投标人更换货物。</w:t>
      </w:r>
      <w:r>
        <w:rPr>
          <w:rFonts w:hint="eastAsia" w:ascii="MS Mincho" w:hAnsi="MS Mincho" w:eastAsia="MS Mincho" w:cs="MS Mincho"/>
          <w:bCs/>
          <w:kern w:val="0"/>
          <w:sz w:val="24"/>
          <w:szCs w:val="24"/>
        </w:rPr>
        <w:t> </w:t>
      </w:r>
    </w:p>
    <w:p>
      <w:pPr>
        <w:pStyle w:val="2"/>
        <w:spacing w:line="564" w:lineRule="exact"/>
        <w:ind w:right="57"/>
        <w:jc w:val="center"/>
      </w:pPr>
      <w:bookmarkStart w:id="37" w:name="_Toc19698503"/>
      <w:r>
        <w:rPr>
          <w:rFonts w:hint="eastAsia"/>
        </w:rPr>
        <w:t>第六章投标文件格式</w:t>
      </w:r>
      <w:bookmarkEnd w:id="37"/>
    </w:p>
    <w:p>
      <w:pPr>
        <w:pStyle w:val="2"/>
        <w:spacing w:line="564" w:lineRule="exact"/>
        <w:ind w:right="57"/>
        <w:jc w:val="center"/>
        <w:sectPr>
          <w:headerReference r:id="rId9" w:type="default"/>
          <w:footerReference r:id="rId10"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480" w:firstLineChars="200"/>
        <w:jc w:val="left"/>
        <w:rPr>
          <w:rFonts w:ascii="微软雅黑" w:hAnsi="Times New Roman" w:cs="微软雅黑"/>
          <w:kern w:val="0"/>
          <w:sz w:val="24"/>
          <w:szCs w:val="28"/>
        </w:rPr>
      </w:pP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供停车场UPS不间断电源蓄电池</w:t>
      </w:r>
      <w:r>
        <w:rPr>
          <w:rFonts w:hint="eastAsia" w:ascii="宋体" w:hAnsi="宋体" w:cs="宋体"/>
          <w:caps/>
          <w:sz w:val="22"/>
        </w:rPr>
        <w:t>（不含回收费用），</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)回收旧蓄电池</w:t>
      </w:r>
      <w:r>
        <w:rPr>
          <w:rFonts w:hint="eastAsia" w:ascii="宋体" w:hAnsi="宋体" w:cs="宋体"/>
          <w:kern w:val="0"/>
          <w:sz w:val="22"/>
          <w:u w:val="single"/>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投标人</w:t>
      </w:r>
      <w:r>
        <w:rPr>
          <w:rFonts w:hint="eastAsia" w:ascii="微软雅黑" w:hAnsi="Times New Roman" w:cs="微软雅黑"/>
          <w:spacing w:val="-2"/>
          <w:kern w:val="0"/>
          <w:position w:val="-2"/>
          <w:sz w:val="22"/>
        </w:rPr>
        <w:t>：</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p>
    <w:p>
      <w:pPr>
        <w:tabs>
          <w:tab w:val="left" w:pos="620"/>
          <w:tab w:val="left" w:pos="1460"/>
          <w:tab w:val="left" w:pos="2300"/>
        </w:tabs>
        <w:autoSpaceDE w:val="0"/>
        <w:autoSpaceDN w:val="0"/>
        <w:adjustRightInd w:val="0"/>
        <w:spacing w:line="340" w:lineRule="exact"/>
        <w:ind w:right="842" w:firstLine="2682" w:firstLineChars="1219"/>
        <w:rPr>
          <w:rFonts w:ascii="微软雅黑" w:hAnsi="Times New Roman" w:cs="微软雅黑"/>
          <w:kern w:val="0"/>
          <w:sz w:val="22"/>
        </w:rPr>
      </w:pPr>
      <w:r>
        <w:rPr>
          <w:rFonts w:ascii="微软雅黑" w:hAnsi="Times New Roman" w:cs="微软雅黑"/>
          <w:kern w:val="0"/>
          <w:sz w:val="22"/>
          <w:u w:val="single"/>
        </w:rPr>
        <w:tab/>
      </w:r>
      <w:r>
        <w:rPr>
          <w:rFonts w:hint="eastAsia" w:ascii="微软雅黑" w:hAnsi="Times New Roman" w:cs="微软雅黑"/>
          <w:kern w:val="0"/>
          <w:sz w:val="22"/>
        </w:rPr>
        <w:t>年</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kern w:val="0"/>
          <w:sz w:val="24"/>
          <w:szCs w:val="24"/>
        </w:rPr>
      </w:pPr>
      <w:r>
        <w:rPr>
          <w:rFonts w:hint="eastAsia" w:ascii="微软雅黑" w:hAnsi="Times New Roman" w:cs="微软雅黑"/>
          <w:kern w:val="0"/>
          <w:sz w:val="24"/>
          <w:szCs w:val="24"/>
        </w:rPr>
        <w:t>年</w:t>
      </w:r>
      <w:r>
        <w:rPr>
          <w:rFonts w:hint="eastAsia" w:ascii="微软雅黑" w:hAnsi="Times New Roman" w:cs="微软雅黑"/>
          <w:spacing w:val="-2"/>
          <w:kern w:val="0"/>
          <w:sz w:val="24"/>
          <w:szCs w:val="24"/>
        </w:rPr>
        <w:t>月</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kern w:val="0"/>
          <w:sz w:val="24"/>
          <w:szCs w:val="24"/>
        </w:rPr>
      </w:pPr>
      <w:r>
        <w:rPr>
          <w:rFonts w:hint="eastAsia" w:ascii="微软雅黑" w:hAnsi="Times New Roman" w:cs="微软雅黑"/>
          <w:kern w:val="0"/>
          <w:sz w:val="24"/>
          <w:szCs w:val="24"/>
        </w:rPr>
        <w:t>年</w:t>
      </w:r>
      <w:r>
        <w:rPr>
          <w:rFonts w:hint="eastAsia" w:ascii="微软雅黑" w:hAnsi="Times New Roman" w:cs="微软雅黑"/>
          <w:spacing w:val="-2"/>
          <w:kern w:val="0"/>
          <w:sz w:val="24"/>
          <w:szCs w:val="24"/>
        </w:rPr>
        <w:t>月</w:t>
      </w:r>
      <w:r>
        <w:rPr>
          <w:rFonts w:hint="eastAsia" w:ascii="微软雅黑" w:hAnsi="Times New Roman" w:cs="微软雅黑"/>
          <w:kern w:val="0"/>
          <w:sz w:val="24"/>
          <w:szCs w:val="24"/>
        </w:rPr>
        <w:t>日</w:t>
      </w:r>
    </w:p>
    <w:p>
      <w:pPr>
        <w:tabs>
          <w:tab w:val="left" w:pos="4520"/>
          <w:tab w:val="left" w:pos="5480"/>
          <w:tab w:val="left" w:pos="6420"/>
        </w:tabs>
        <w:autoSpaceDE w:val="0"/>
        <w:autoSpaceDN w:val="0"/>
        <w:adjustRightInd w:val="0"/>
        <w:spacing w:line="360" w:lineRule="auto"/>
        <w:ind w:right="-2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9"/>
        </w:numPr>
        <w:snapToGrid w:val="0"/>
        <w:spacing w:beforeLines="50" w:line="360" w:lineRule="exact"/>
        <w:rPr>
          <w:rFonts w:hAnsi="宋体" w:cs="宋体"/>
          <w:b/>
          <w:sz w:val="22"/>
          <w:szCs w:val="22"/>
        </w:rPr>
      </w:pPr>
      <w:r>
        <w:rPr>
          <w:rFonts w:hint="eastAsia" w:hAnsi="宋体" w:cs="宋体"/>
          <w:b/>
          <w:sz w:val="22"/>
          <w:szCs w:val="22"/>
        </w:rPr>
        <w:t>总则</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40"/>
        </w:numPr>
        <w:snapToGrid w:val="0"/>
        <w:spacing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9"/>
        </w:numPr>
        <w:snapToGrid w:val="0"/>
        <w:spacing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38" w:name="_Toc137373399"/>
      <w:bookmarkStart w:id="39" w:name="_Toc133470544"/>
      <w:bookmarkStart w:id="40" w:name="_Toc133214310"/>
      <w:bookmarkStart w:id="41" w:name="_Toc133214103"/>
      <w:r>
        <w:rPr>
          <w:rFonts w:hint="eastAsia" w:ascii="宋体" w:hAnsi="宋体" w:cs="宋体"/>
          <w:sz w:val="22"/>
        </w:rPr>
        <w:t>[货币单位：人民币/元]</w:t>
      </w:r>
    </w:p>
    <w:tbl>
      <w:tblPr>
        <w:tblStyle w:val="89"/>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91"/>
        <w:gridCol w:w="1171"/>
        <w:gridCol w:w="681"/>
        <w:gridCol w:w="2862"/>
        <w:gridCol w:w="932"/>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货物</w:t>
            </w:r>
          </w:p>
          <w:p>
            <w:pPr>
              <w:spacing w:line="288" w:lineRule="auto"/>
              <w:jc w:val="center"/>
              <w:rPr>
                <w:rFonts w:ascii="宋体" w:hAnsi="宋体" w:cs="宋体"/>
                <w:sz w:val="22"/>
              </w:rPr>
            </w:pPr>
            <w:r>
              <w:rPr>
                <w:rFonts w:hint="eastAsia" w:ascii="宋体" w:hAnsi="宋体" w:cs="宋体"/>
                <w:caps/>
                <w:sz w:val="22"/>
              </w:rPr>
              <w:t>名称</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规格</w:t>
            </w:r>
          </w:p>
        </w:tc>
        <w:tc>
          <w:tcPr>
            <w:tcW w:w="1171" w:type="dxa"/>
            <w:vAlign w:val="center"/>
          </w:tcPr>
          <w:p>
            <w:pPr>
              <w:spacing w:line="288" w:lineRule="auto"/>
              <w:jc w:val="center"/>
              <w:rPr>
                <w:rFonts w:ascii="宋体" w:hAnsi="宋体" w:cs="宋体"/>
                <w:caps/>
                <w:sz w:val="22"/>
              </w:rPr>
            </w:pPr>
            <w:r>
              <w:rPr>
                <w:rFonts w:hint="eastAsia" w:ascii="宋体" w:hAnsi="宋体" w:cs="宋体"/>
                <w:caps/>
                <w:sz w:val="22"/>
              </w:rPr>
              <w:t>品牌</w:t>
            </w:r>
          </w:p>
        </w:tc>
        <w:tc>
          <w:tcPr>
            <w:tcW w:w="681" w:type="dxa"/>
            <w:vAlign w:val="center"/>
          </w:tcPr>
          <w:p>
            <w:pPr>
              <w:spacing w:line="288" w:lineRule="auto"/>
              <w:jc w:val="center"/>
              <w:rPr>
                <w:rFonts w:ascii="宋体" w:hAnsi="宋体" w:cs="宋体"/>
                <w:caps/>
                <w:sz w:val="22"/>
              </w:rPr>
            </w:pPr>
            <w:r>
              <w:rPr>
                <w:rFonts w:hint="eastAsia" w:ascii="宋体" w:hAnsi="宋体" w:cs="宋体"/>
                <w:caps/>
                <w:sz w:val="22"/>
              </w:rPr>
              <w:t>产地</w:t>
            </w:r>
          </w:p>
        </w:tc>
        <w:tc>
          <w:tcPr>
            <w:tcW w:w="2862" w:type="dxa"/>
            <w:vAlign w:val="center"/>
          </w:tcPr>
          <w:p>
            <w:pPr>
              <w:spacing w:line="288" w:lineRule="auto"/>
              <w:jc w:val="center"/>
              <w:rPr>
                <w:rFonts w:ascii="宋体" w:hAnsi="宋体" w:cs="宋体"/>
                <w:caps/>
                <w:sz w:val="22"/>
              </w:rPr>
            </w:pPr>
            <w:r>
              <w:rPr>
                <w:rFonts w:hint="eastAsia" w:ascii="宋体" w:hAnsi="宋体" w:cs="宋体"/>
                <w:caps/>
                <w:sz w:val="22"/>
              </w:rPr>
              <w:t>数量（节）</w:t>
            </w:r>
          </w:p>
        </w:tc>
        <w:tc>
          <w:tcPr>
            <w:tcW w:w="932" w:type="dxa"/>
            <w:vAlign w:val="center"/>
          </w:tcPr>
          <w:p>
            <w:pPr>
              <w:spacing w:line="288" w:lineRule="auto"/>
              <w:jc w:val="center"/>
              <w:rPr>
                <w:rFonts w:ascii="宋体" w:hAnsi="宋体" w:cs="宋体"/>
                <w:caps/>
                <w:sz w:val="22"/>
              </w:rPr>
            </w:pPr>
            <w:r>
              <w:rPr>
                <w:rFonts w:hint="eastAsia" w:ascii="宋体" w:hAnsi="宋体" w:cs="宋体"/>
                <w:caps/>
                <w:sz w:val="22"/>
              </w:rPr>
              <w:t>单价(元)</w:t>
            </w:r>
          </w:p>
          <w:p>
            <w:pPr>
              <w:spacing w:line="288" w:lineRule="auto"/>
              <w:jc w:val="center"/>
              <w:rPr>
                <w:rFonts w:ascii="宋体" w:hAnsi="宋体" w:cs="宋体"/>
                <w:caps/>
                <w:sz w:val="22"/>
              </w:rPr>
            </w:pPr>
            <w:r>
              <w:rPr>
                <w:rFonts w:hint="eastAsia" w:ascii="宋体" w:hAnsi="宋体" w:cs="宋体"/>
                <w:caps/>
                <w:sz w:val="22"/>
              </w:rPr>
              <w:t>不含税</w:t>
            </w:r>
          </w:p>
        </w:tc>
        <w:tc>
          <w:tcPr>
            <w:tcW w:w="1070" w:type="dxa"/>
            <w:vAlign w:val="center"/>
          </w:tcPr>
          <w:p>
            <w:pPr>
              <w:spacing w:line="288" w:lineRule="auto"/>
              <w:jc w:val="center"/>
              <w:rPr>
                <w:rFonts w:ascii="宋体" w:hAnsi="宋体" w:cs="宋体"/>
                <w:caps/>
                <w:sz w:val="22"/>
              </w:rPr>
            </w:pPr>
            <w:r>
              <w:rPr>
                <w:rFonts w:hint="eastAsia" w:ascii="宋体" w:hAnsi="宋体" w:cs="宋体"/>
                <w:caps/>
                <w:sz w:val="22"/>
              </w:rPr>
              <w:t>合价(元)</w:t>
            </w:r>
          </w:p>
          <w:p>
            <w:pPr>
              <w:spacing w:line="288" w:lineRule="auto"/>
              <w:jc w:val="center"/>
              <w:rPr>
                <w:rFonts w:ascii="宋体" w:hAnsi="宋体" w:cs="宋体"/>
                <w:caps/>
                <w:sz w:val="22"/>
              </w:rPr>
            </w:pPr>
            <w:r>
              <w:rPr>
                <w:rFonts w:hint="eastAsia" w:ascii="宋体" w:hAnsi="宋体" w:cs="宋体"/>
                <w:caps/>
                <w:sz w:val="22"/>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833" w:type="dxa"/>
            <w:vAlign w:val="center"/>
          </w:tcPr>
          <w:p>
            <w:pPr>
              <w:spacing w:line="288" w:lineRule="auto"/>
              <w:jc w:val="center"/>
              <w:rPr>
                <w:rFonts w:ascii="宋体" w:hAnsi="宋体" w:cs="宋体"/>
                <w:caps/>
                <w:sz w:val="22"/>
              </w:rPr>
            </w:pPr>
            <w:r>
              <w:rPr>
                <w:rFonts w:hint="eastAsia" w:ascii="宋体" w:hAnsi="宋体" w:cs="宋体"/>
                <w:caps/>
                <w:sz w:val="22"/>
              </w:rPr>
              <w:t>蓄电池</w:t>
            </w:r>
          </w:p>
        </w:tc>
        <w:tc>
          <w:tcPr>
            <w:tcW w:w="1791" w:type="dxa"/>
            <w:vAlign w:val="center"/>
          </w:tcPr>
          <w:p>
            <w:pPr>
              <w:spacing w:line="288" w:lineRule="auto"/>
              <w:jc w:val="center"/>
              <w:rPr>
                <w:rFonts w:ascii="宋体" w:hAnsi="宋体" w:cs="宋体"/>
                <w:caps/>
                <w:sz w:val="22"/>
              </w:rPr>
            </w:pPr>
            <w:r>
              <w:rPr>
                <w:rFonts w:hint="eastAsia" w:ascii="宋体" w:hAnsi="宋体" w:cs="宋体"/>
                <w:caps/>
                <w:sz w:val="22"/>
              </w:rPr>
              <w:t>12V100AH</w:t>
            </w:r>
          </w:p>
        </w:tc>
        <w:tc>
          <w:tcPr>
            <w:tcW w:w="1171" w:type="dxa"/>
            <w:vAlign w:val="center"/>
          </w:tcPr>
          <w:p>
            <w:pPr>
              <w:spacing w:line="288" w:lineRule="auto"/>
              <w:jc w:val="center"/>
              <w:rPr>
                <w:rFonts w:ascii="宋体" w:hAnsi="宋体" w:cs="宋体"/>
                <w:caps/>
                <w:sz w:val="22"/>
              </w:rPr>
            </w:pPr>
          </w:p>
        </w:tc>
        <w:tc>
          <w:tcPr>
            <w:tcW w:w="681" w:type="dxa"/>
            <w:vAlign w:val="center"/>
          </w:tcPr>
          <w:p>
            <w:pPr>
              <w:spacing w:line="288" w:lineRule="auto"/>
              <w:jc w:val="center"/>
              <w:rPr>
                <w:rFonts w:ascii="宋体" w:hAnsi="宋体" w:cs="宋体"/>
                <w:caps/>
                <w:sz w:val="22"/>
              </w:rPr>
            </w:pPr>
          </w:p>
        </w:tc>
        <w:tc>
          <w:tcPr>
            <w:tcW w:w="2862" w:type="dxa"/>
            <w:vAlign w:val="center"/>
          </w:tcPr>
          <w:p>
            <w:pPr>
              <w:spacing w:line="288" w:lineRule="auto"/>
              <w:jc w:val="center"/>
              <w:rPr>
                <w:rFonts w:ascii="宋体" w:hAnsi="宋体" w:cs="宋体"/>
                <w:caps/>
                <w:sz w:val="22"/>
              </w:rPr>
            </w:pPr>
          </w:p>
        </w:tc>
        <w:tc>
          <w:tcPr>
            <w:tcW w:w="932" w:type="dxa"/>
            <w:vAlign w:val="center"/>
          </w:tcPr>
          <w:p>
            <w:pPr>
              <w:spacing w:line="288" w:lineRule="auto"/>
              <w:jc w:val="center"/>
              <w:rPr>
                <w:rFonts w:ascii="宋体" w:hAnsi="宋体" w:cs="宋体"/>
                <w:caps/>
                <w:sz w:val="22"/>
              </w:rPr>
            </w:pP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合计（不含税）</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税率</w:t>
            </w:r>
          </w:p>
        </w:tc>
        <w:tc>
          <w:tcPr>
            <w:tcW w:w="1070" w:type="dxa"/>
            <w:vAlign w:val="center"/>
          </w:tcPr>
          <w:p>
            <w:pPr>
              <w:spacing w:line="288" w:lineRule="auto"/>
              <w:jc w:val="center"/>
              <w:rPr>
                <w:rFonts w:ascii="宋体" w:hAnsi="宋体" w:cs="宋体"/>
                <w:cap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270" w:type="dxa"/>
            <w:gridSpan w:val="6"/>
            <w:vAlign w:val="center"/>
          </w:tcPr>
          <w:p>
            <w:pPr>
              <w:spacing w:line="288" w:lineRule="auto"/>
              <w:jc w:val="center"/>
              <w:rPr>
                <w:rFonts w:ascii="宋体" w:hAnsi="宋体" w:cs="宋体"/>
                <w:caps/>
                <w:sz w:val="22"/>
              </w:rPr>
            </w:pPr>
            <w:r>
              <w:rPr>
                <w:rFonts w:hint="eastAsia" w:ascii="宋体" w:hAnsi="宋体" w:cs="宋体"/>
                <w:caps/>
                <w:sz w:val="22"/>
              </w:rPr>
              <w:t>合计（含税）</w:t>
            </w:r>
          </w:p>
        </w:tc>
        <w:tc>
          <w:tcPr>
            <w:tcW w:w="1070" w:type="dxa"/>
            <w:vAlign w:val="center"/>
          </w:tcPr>
          <w:p>
            <w:pPr>
              <w:spacing w:line="288" w:lineRule="auto"/>
              <w:jc w:val="center"/>
              <w:rPr>
                <w:rFonts w:ascii="宋体" w:hAnsi="宋体" w:cs="宋体"/>
                <w:caps/>
                <w:sz w:val="22"/>
              </w:rPr>
            </w:pPr>
          </w:p>
        </w:tc>
      </w:tr>
    </w:tbl>
    <w:p>
      <w:pPr>
        <w:spacing w:line="560" w:lineRule="exact"/>
        <w:ind w:firstLine="602"/>
        <w:rPr>
          <w:rFonts w:ascii="宋体" w:hAnsi="宋体" w:cs="宋体"/>
          <w:sz w:val="22"/>
        </w:rPr>
      </w:pPr>
      <w:r>
        <w:rPr>
          <w:rFonts w:hint="eastAsia" w:ascii="宋体" w:hAnsi="宋体" w:cs="宋体"/>
          <w:sz w:val="22"/>
        </w:rPr>
        <w:t>此表的“总计”系所有需招标人支付的投标金额总数即投标总价，投标总价中已包含投标人完成本招标项目的一切费用包括税费。</w:t>
      </w:r>
    </w:p>
    <w:p>
      <w:pPr>
        <w:spacing w:line="560" w:lineRule="exact"/>
        <w:ind w:firstLine="602"/>
        <w:rPr>
          <w:rFonts w:ascii="仿宋" w:hAnsi="仿宋" w:eastAsia="仿宋" w:cs="仿宋"/>
          <w:b/>
          <w:sz w:val="28"/>
          <w:szCs w:val="28"/>
        </w:rPr>
      </w:pPr>
      <w:r>
        <w:rPr>
          <w:rFonts w:hint="eastAsia" w:ascii="仿宋" w:hAnsi="仿宋" w:eastAsia="仿宋" w:cs="仿宋"/>
          <w:b/>
          <w:sz w:val="28"/>
          <w:szCs w:val="28"/>
        </w:rPr>
        <w:t>回收费用</w:t>
      </w:r>
    </w:p>
    <w:tbl>
      <w:tblPr>
        <w:tblStyle w:val="8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5" w:type="dxa"/>
            <w:shd w:val="clear" w:color="auto" w:fill="auto"/>
          </w:tcPr>
          <w:p>
            <w:pPr>
              <w:adjustRightInd w:val="0"/>
              <w:snapToGrid w:val="0"/>
              <w:spacing w:line="360" w:lineRule="exact"/>
              <w:jc w:val="left"/>
              <w:rPr>
                <w:rFonts w:ascii="宋体" w:hAnsi="宋体"/>
                <w:sz w:val="22"/>
              </w:rPr>
            </w:pPr>
            <w:r>
              <w:rPr>
                <w:rFonts w:hint="eastAsia" w:ascii="宋体" w:hAnsi="宋体"/>
                <w:sz w:val="22"/>
              </w:rPr>
              <w:t>回收费用</w:t>
            </w:r>
          </w:p>
        </w:tc>
        <w:tc>
          <w:tcPr>
            <w:tcW w:w="7703" w:type="dxa"/>
            <w:shd w:val="clear" w:color="auto" w:fill="auto"/>
          </w:tcPr>
          <w:p>
            <w:pPr>
              <w:adjustRightInd w:val="0"/>
              <w:snapToGrid w:val="0"/>
              <w:spacing w:line="360" w:lineRule="exact"/>
              <w:jc w:val="left"/>
              <w:rPr>
                <w:rFonts w:ascii="宋体" w:hAnsi="宋体"/>
                <w:b/>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注：回收费用：乙方负责处理回收旧电池40片，所付甲方费用由甲方开具增值税普通发票后在甲方支付乙方款项中扣除。</w:t>
      </w:r>
    </w:p>
    <w:p>
      <w:pPr>
        <w:adjustRightInd w:val="0"/>
        <w:snapToGrid w:val="0"/>
        <w:spacing w:line="360" w:lineRule="auto"/>
        <w:ind w:left="840"/>
        <w:jc w:val="left"/>
        <w:textAlignment w:val="baseline"/>
        <w:rPr>
          <w:rFonts w:ascii="宋体" w:hAnsi="宋体" w:cs="宋体"/>
          <w:sz w:val="22"/>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rPr>
          <w:rFonts w:ascii="宋体" w:hAnsi="宋体" w:cs="宋体"/>
          <w:sz w:val="22"/>
        </w:rPr>
      </w:pPr>
      <w:r>
        <w:rPr>
          <w:rFonts w:hint="eastAsia" w:ascii="宋体" w:hAnsi="宋体" w:cs="宋体"/>
          <w:sz w:val="22"/>
        </w:rPr>
        <w:t>日期： 年    月    日</w:t>
      </w:r>
    </w:p>
    <w:bookmarkEnd w:id="38"/>
    <w:bookmarkEnd w:id="39"/>
    <w:bookmarkEnd w:id="40"/>
    <w:bookmarkEnd w:id="41"/>
    <w:p>
      <w:pPr>
        <w:spacing w:line="360" w:lineRule="auto"/>
        <w:rPr>
          <w:rFonts w:ascii="宋体" w:hAnsi="宋体" w:cs="宋体"/>
          <w:sz w:val="22"/>
        </w:rPr>
      </w:pP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（一）营业执照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3" w:type="first"/>
          <w:headerReference r:id="rId11" w:type="default"/>
          <w:headerReference r:id="rId12"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（二）未被列为失信被执行人证明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（五）制造商资格声明</w:t>
      </w:r>
    </w:p>
    <w:p>
      <w:pPr>
        <w:numPr>
          <w:ilvl w:val="0"/>
          <w:numId w:val="41"/>
        </w:numPr>
        <w:adjustRightInd w:val="0"/>
        <w:spacing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p>
    <w:p>
      <w:pPr>
        <w:spacing w:line="360" w:lineRule="auto"/>
        <w:ind w:left="840" w:firstLine="220"/>
        <w:rPr>
          <w:rFonts w:ascii="宋体" w:hAnsi="宋体" w:cs="宋体"/>
          <w:sz w:val="22"/>
          <w:u w:val="single"/>
        </w:rPr>
      </w:pPr>
      <w:r>
        <w:rPr>
          <w:rFonts w:hint="eastAsia" w:ascii="宋体" w:hAnsi="宋体" w:cs="宋体"/>
          <w:sz w:val="22"/>
        </w:rPr>
        <w:t>电传/传真/电话号码：</w:t>
      </w:r>
    </w:p>
    <w:p>
      <w:pPr>
        <w:numPr>
          <w:ilvl w:val="0"/>
          <w:numId w:val="42"/>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近期资产负债表（到年月日止）</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净值：</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p>
    <w:p>
      <w:pPr>
        <w:numPr>
          <w:ilvl w:val="0"/>
          <w:numId w:val="44"/>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numPr>
          <w:ilvl w:val="1"/>
          <w:numId w:val="46"/>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p>
    <w:p>
      <w:pPr>
        <w:spacing w:line="360" w:lineRule="auto"/>
        <w:ind w:firstLine="220"/>
        <w:rPr>
          <w:rFonts w:ascii="宋体" w:hAnsi="宋体" w:cs="宋体"/>
          <w:sz w:val="22"/>
          <w:u w:val="single"/>
        </w:rPr>
      </w:pPr>
    </w:p>
    <w:p>
      <w:pPr>
        <w:numPr>
          <w:ilvl w:val="0"/>
          <w:numId w:val="47"/>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p>
    <w:p>
      <w:pPr>
        <w:numPr>
          <w:ilvl w:val="0"/>
          <w:numId w:val="48"/>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br w:type="textWrapping"/>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p>
    <w:p>
      <w:pPr>
        <w:spacing w:line="360" w:lineRule="auto"/>
        <w:ind w:firstLine="220"/>
        <w:rPr>
          <w:rFonts w:ascii="宋体" w:hAnsi="宋体" w:cs="宋体"/>
          <w:sz w:val="22"/>
        </w:rPr>
      </w:pP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p>
    <w:p>
      <w:pPr>
        <w:numPr>
          <w:ilvl w:val="0"/>
          <w:numId w:val="49"/>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Lines="50" w:line="360" w:lineRule="auto"/>
        <w:ind w:firstLine="220"/>
        <w:rPr>
          <w:rFonts w:ascii="宋体" w:hAnsi="宋体" w:cs="宋体"/>
          <w:sz w:val="22"/>
        </w:rPr>
      </w:pPr>
      <w:r>
        <w:rPr>
          <w:rFonts w:hint="eastAsia" w:ascii="宋体" w:hAnsi="宋体" w:cs="宋体"/>
          <w:sz w:val="22"/>
        </w:rPr>
        <w:t>制造商名称 （公章）</w:t>
      </w:r>
    </w:p>
    <w:p>
      <w:pPr>
        <w:spacing w:beforeLines="50" w:line="360" w:lineRule="auto"/>
        <w:ind w:firstLine="220"/>
        <w:rPr>
          <w:rFonts w:ascii="宋体" w:hAnsi="宋体" w:cs="宋体"/>
          <w:sz w:val="22"/>
          <w:u w:val="single"/>
        </w:rPr>
      </w:pPr>
      <w:r>
        <w:rPr>
          <w:rFonts w:hint="eastAsia" w:ascii="宋体" w:hAnsi="宋体" w:cs="宋体"/>
          <w:sz w:val="22"/>
        </w:rPr>
        <w:t>签字人姓名和职务</w:t>
      </w:r>
    </w:p>
    <w:p>
      <w:pPr>
        <w:spacing w:beforeLines="50" w:line="360" w:lineRule="auto"/>
        <w:ind w:firstLine="220"/>
        <w:rPr>
          <w:rFonts w:ascii="宋体" w:hAnsi="宋体" w:cs="宋体"/>
          <w:sz w:val="22"/>
          <w:u w:val="single"/>
        </w:rPr>
      </w:pPr>
      <w:r>
        <w:rPr>
          <w:rFonts w:hint="eastAsia" w:ascii="宋体" w:hAnsi="宋体" w:cs="宋体"/>
          <w:sz w:val="22"/>
        </w:rPr>
        <w:t>签字人签字</w:t>
      </w:r>
    </w:p>
    <w:p>
      <w:pPr>
        <w:spacing w:beforeLines="50" w:line="360" w:lineRule="auto"/>
        <w:ind w:firstLine="220"/>
        <w:rPr>
          <w:rFonts w:ascii="宋体" w:hAnsi="宋体" w:cs="宋体"/>
          <w:sz w:val="22"/>
          <w:u w:val="single"/>
        </w:rPr>
      </w:pPr>
      <w:r>
        <w:rPr>
          <w:rFonts w:hint="eastAsia" w:ascii="宋体" w:hAnsi="宋体" w:cs="宋体"/>
          <w:sz w:val="22"/>
        </w:rPr>
        <w:t>签字日期</w:t>
      </w:r>
    </w:p>
    <w:p>
      <w:pPr>
        <w:spacing w:beforeLines="50" w:line="360" w:lineRule="auto"/>
        <w:ind w:firstLine="220"/>
        <w:rPr>
          <w:rFonts w:ascii="宋体" w:hAnsi="宋体" w:cs="宋体"/>
          <w:sz w:val="22"/>
          <w:u w:val="single"/>
        </w:rPr>
      </w:pPr>
      <w:r>
        <w:rPr>
          <w:rFonts w:hint="eastAsia" w:ascii="宋体" w:hAnsi="宋体" w:cs="宋体"/>
          <w:sz w:val="22"/>
        </w:rPr>
        <w:t>传真</w:t>
      </w:r>
    </w:p>
    <w:p>
      <w:pPr>
        <w:spacing w:beforeLines="50" w:line="360" w:lineRule="auto"/>
        <w:ind w:firstLine="220"/>
        <w:rPr>
          <w:rFonts w:ascii="宋体" w:hAnsi="宋体" w:cs="宋体"/>
          <w:sz w:val="22"/>
          <w:u w:val="single"/>
        </w:rPr>
      </w:pPr>
      <w:r>
        <w:rPr>
          <w:rFonts w:hint="eastAsia" w:ascii="宋体" w:hAnsi="宋体" w:cs="宋体"/>
          <w:sz w:val="22"/>
        </w:rPr>
        <w:t>电话</w:t>
      </w:r>
    </w:p>
    <w:p>
      <w:pPr>
        <w:spacing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（六）设备制造商的授权书（代理商投标时提供）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rPr>
          <w:rFonts w:ascii="宋体" w:hAnsi="宋体" w:cs="宋体"/>
          <w:b/>
          <w:sz w:val="32"/>
          <w:szCs w:val="32"/>
        </w:rPr>
      </w:pP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napToGrid w:val="0"/>
        <w:spacing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鉴于我方愿成为杭州萧山国际机场有限公司（以下简称“机场公司”）的供应商或潜在供应商候选人，为机场公司提供【杭州萧山国际机场停车场 UPS不间断电源蓄电池采购】项目的服务。在上述业务来往过程中，机场公司可能向我方提供经营、业务、服务等有关的文件、资料、软件等信息，为维护机场公司的利益，我方就保密事宜做出如下承诺：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39"/>
        <w:jc w:val="cente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rPr>
        <w:lang w:val="zh-CN"/>
      </w:rP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28</w:t>
    </w:r>
    <w:r>
      <w:fldChar w:fldCharType="end"/>
    </w:r>
  </w:p>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6">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7">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8">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9">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0">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1">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2">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3">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4">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5">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8">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9">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1">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4">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5">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FBA48DA"/>
    <w:multiLevelType w:val="multilevel"/>
    <w:tmpl w:val="4FBA48DA"/>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7">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8">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59C4BD6E"/>
    <w:multiLevelType w:val="singleLevel"/>
    <w:tmpl w:val="59C4BD6E"/>
    <w:lvl w:ilvl="0" w:tentative="0">
      <w:start w:val="1"/>
      <w:numFmt w:val="decimal"/>
      <w:suff w:val="nothing"/>
      <w:lvlText w:val="（%1）"/>
      <w:lvlJc w:val="left"/>
    </w:lvl>
  </w:abstractNum>
  <w:abstractNum w:abstractNumId="30">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5E6B3D64"/>
    <w:multiLevelType w:val="singleLevel"/>
    <w:tmpl w:val="5E6B3D64"/>
    <w:lvl w:ilvl="0" w:tentative="0">
      <w:start w:val="3"/>
      <w:numFmt w:val="chineseCounting"/>
      <w:suff w:val="nothing"/>
      <w:lvlText w:val="%1、"/>
      <w:lvlJc w:val="left"/>
    </w:lvl>
  </w:abstractNum>
  <w:abstractNum w:abstractNumId="32">
    <w:nsid w:val="5EBB43AA"/>
    <w:multiLevelType w:val="singleLevel"/>
    <w:tmpl w:val="5EBB43AA"/>
    <w:lvl w:ilvl="0" w:tentative="0">
      <w:start w:val="1"/>
      <w:numFmt w:val="decimal"/>
      <w:pStyle w:val="17"/>
      <w:lvlText w:val="%1."/>
      <w:lvlJc w:val="left"/>
      <w:pPr>
        <w:tabs>
          <w:tab w:val="left" w:pos="780"/>
        </w:tabs>
        <w:ind w:left="780" w:hanging="360"/>
      </w:pPr>
    </w:lvl>
  </w:abstractNum>
  <w:abstractNum w:abstractNumId="33">
    <w:nsid w:val="5EBB43C0"/>
    <w:multiLevelType w:val="singleLevel"/>
    <w:tmpl w:val="5EBB43C0"/>
    <w:lvl w:ilvl="0" w:tentative="0">
      <w:start w:val="1"/>
      <w:numFmt w:val="decimal"/>
      <w:pStyle w:val="22"/>
      <w:lvlText w:val="%1."/>
      <w:lvlJc w:val="left"/>
      <w:pPr>
        <w:tabs>
          <w:tab w:val="left" w:pos="360"/>
        </w:tabs>
        <w:ind w:left="360" w:hanging="360"/>
      </w:pPr>
    </w:lvl>
  </w:abstractNum>
  <w:abstractNum w:abstractNumId="34">
    <w:nsid w:val="5EBB43CB"/>
    <w:multiLevelType w:val="singleLevel"/>
    <w:tmpl w:val="5EBB43CB"/>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5">
    <w:nsid w:val="5EBB43D6"/>
    <w:multiLevelType w:val="singleLevel"/>
    <w:tmpl w:val="5EBB43D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6">
    <w:nsid w:val="5EBB43EC"/>
    <w:multiLevelType w:val="singleLevel"/>
    <w:tmpl w:val="5EBB43EC"/>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7">
    <w:nsid w:val="5EBB43F7"/>
    <w:multiLevelType w:val="singleLevel"/>
    <w:tmpl w:val="5EBB43F7"/>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8">
    <w:nsid w:val="5EBB4402"/>
    <w:multiLevelType w:val="singleLevel"/>
    <w:tmpl w:val="5EBB4402"/>
    <w:lvl w:ilvl="0" w:tentative="0">
      <w:start w:val="1"/>
      <w:numFmt w:val="decimal"/>
      <w:pStyle w:val="43"/>
      <w:lvlText w:val="%1."/>
      <w:lvlJc w:val="left"/>
      <w:pPr>
        <w:tabs>
          <w:tab w:val="left" w:pos="1620"/>
        </w:tabs>
        <w:ind w:left="1620" w:hanging="360"/>
      </w:pPr>
    </w:lvl>
  </w:abstractNum>
  <w:abstractNum w:abstractNumId="39">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8244A30"/>
    <w:multiLevelType w:val="multilevel"/>
    <w:tmpl w:val="78244A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8">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2"/>
  </w:num>
  <w:num w:numId="2">
    <w:abstractNumId w:val="33"/>
  </w:num>
  <w:num w:numId="3">
    <w:abstractNumId w:val="34"/>
  </w:num>
  <w:num w:numId="4">
    <w:abstractNumId w:val="35"/>
  </w:num>
  <w:num w:numId="5">
    <w:abstractNumId w:val="36"/>
  </w:num>
  <w:num w:numId="6">
    <w:abstractNumId w:val="37"/>
  </w:num>
  <w:num w:numId="7">
    <w:abstractNumId w:val="38"/>
  </w:num>
  <w:num w:numId="8">
    <w:abstractNumId w:val="16"/>
  </w:num>
  <w:num w:numId="9">
    <w:abstractNumId w:val="44"/>
  </w:num>
  <w:num w:numId="10">
    <w:abstractNumId w:val="45"/>
  </w:num>
  <w:num w:numId="11">
    <w:abstractNumId w:val="1"/>
    <w:lvlOverride w:ilvl="0">
      <w:startOverride w:val="1"/>
    </w:lvlOverride>
  </w:num>
  <w:num w:numId="12">
    <w:abstractNumId w:val="0"/>
    <w:lvlOverride w:ilvl="0">
      <w:startOverride w:val="1"/>
    </w:lvlOverride>
  </w:num>
  <w:num w:numId="13">
    <w:abstractNumId w:val="21"/>
  </w:num>
  <w:num w:numId="14">
    <w:abstractNumId w:val="22"/>
  </w:num>
  <w:num w:numId="15">
    <w:abstractNumId w:val="27"/>
  </w:num>
  <w:num w:numId="16">
    <w:abstractNumId w:val="41"/>
  </w:num>
  <w:num w:numId="17">
    <w:abstractNumId w:val="42"/>
  </w:num>
  <w:num w:numId="18">
    <w:abstractNumId w:val="18"/>
  </w:num>
  <w:num w:numId="19">
    <w:abstractNumId w:val="17"/>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 w:numId="24">
    <w:abstractNumId w:val="4"/>
  </w:num>
  <w:num w:numId="25">
    <w:abstractNumId w:val="15"/>
  </w:num>
  <w:num w:numId="26">
    <w:abstractNumId w:val="25"/>
  </w:num>
  <w:num w:numId="27">
    <w:abstractNumId w:val="19"/>
  </w:num>
  <w:num w:numId="28">
    <w:abstractNumId w:val="30"/>
  </w:num>
  <w:num w:numId="29">
    <w:abstractNumId w:val="40"/>
  </w:num>
  <w:num w:numId="30">
    <w:abstractNumId w:val="28"/>
  </w:num>
  <w:num w:numId="31">
    <w:abstractNumId w:val="48"/>
  </w:num>
  <w:num w:numId="32">
    <w:abstractNumId w:val="23"/>
  </w:num>
  <w:num w:numId="33">
    <w:abstractNumId w:val="24"/>
  </w:num>
  <w:num w:numId="34">
    <w:abstractNumId w:val="39"/>
  </w:num>
  <w:num w:numId="35">
    <w:abstractNumId w:val="29"/>
  </w:num>
  <w:num w:numId="36">
    <w:abstractNumId w:val="26"/>
  </w:num>
  <w:num w:numId="37">
    <w:abstractNumId w:val="31"/>
  </w:num>
  <w:num w:numId="38">
    <w:abstractNumId w:val="43"/>
  </w:num>
  <w:num w:numId="39">
    <w:abstractNumId w:val="46"/>
  </w:num>
  <w:num w:numId="40">
    <w:abstractNumId w:val="47"/>
  </w:num>
  <w:num w:numId="41">
    <w:abstractNumId w:val="8"/>
  </w:num>
  <w:num w:numId="42">
    <w:abstractNumId w:val="10"/>
  </w:num>
  <w:num w:numId="43">
    <w:abstractNumId w:val="7"/>
  </w:num>
  <w:num w:numId="44">
    <w:abstractNumId w:val="2"/>
  </w:num>
  <w:num w:numId="45">
    <w:abstractNumId w:val="13"/>
  </w:num>
  <w:num w:numId="46">
    <w:abstractNumId w:val="3"/>
  </w:num>
  <w:num w:numId="47">
    <w:abstractNumId w:val="12"/>
  </w:num>
  <w:num w:numId="48">
    <w:abstractNumId w:val="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1DD3"/>
    <w:rsid w:val="001F2680"/>
    <w:rsid w:val="00224268"/>
    <w:rsid w:val="00233B55"/>
    <w:rsid w:val="002509FA"/>
    <w:rsid w:val="00324ACD"/>
    <w:rsid w:val="00395884"/>
    <w:rsid w:val="003F7BA4"/>
    <w:rsid w:val="00986E98"/>
    <w:rsid w:val="009E0ADD"/>
    <w:rsid w:val="00B91DD3"/>
    <w:rsid w:val="00BA5CA8"/>
    <w:rsid w:val="00C754C5"/>
    <w:rsid w:val="00D47610"/>
    <w:rsid w:val="00DC09D6"/>
    <w:rsid w:val="00E4178A"/>
    <w:rsid w:val="00F077D1"/>
    <w:rsid w:val="00F41D3F"/>
    <w:rsid w:val="00F61857"/>
    <w:rsid w:val="1DF926AF"/>
    <w:rsid w:val="3DFC5A6F"/>
    <w:rsid w:val="513943D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rFonts w:ascii="Calibri" w:hAnsi="Calibri" w:eastAsia="宋体" w:cs="Times New Roman"/>
      <w:sz w:val="18"/>
      <w:szCs w:val="18"/>
      <w:lang w:val="en-US" w:eastAsia="zh-CN" w:bidi="ar-SA"/>
    </w:rPr>
  </w:style>
  <w:style w:type="character" w:customStyle="1" w:styleId="94">
    <w:name w:val="页脚 Char3"/>
    <w:link w:val="50"/>
    <w:qFormat/>
    <w:uiPriority w:val="0"/>
    <w:rPr>
      <w:rFonts w:ascii="Calibri" w:hAnsi="Calibri" w:eastAsia="宋体" w:cs="Times New Roman"/>
      <w:sz w:val="18"/>
      <w:szCs w:val="18"/>
      <w:lang w:val="en-US" w:eastAsia="zh-CN" w:bidi="ar-SA"/>
    </w:rPr>
  </w:style>
  <w:style w:type="character" w:customStyle="1" w:styleId="95">
    <w:name w:val="标题 1 Char2"/>
    <w:link w:val="2"/>
    <w:qFormat/>
    <w:uiPriority w:val="0"/>
    <w:rPr>
      <w:rFonts w:ascii="Calibri" w:hAnsi="Calibri" w:eastAsia="宋体" w:cs="Times New Roman"/>
      <w:b/>
      <w:bCs/>
      <w:kern w:val="44"/>
      <w:sz w:val="44"/>
      <w:szCs w:val="44"/>
      <w:lang w:val="en-US" w:eastAsia="zh-CN" w:bidi="ar-SA"/>
    </w:rPr>
  </w:style>
  <w:style w:type="character" w:customStyle="1" w:styleId="96">
    <w:name w:val="标题 Char3"/>
    <w:link w:val="78"/>
    <w:qFormat/>
    <w:uiPriority w:val="0"/>
    <w:rPr>
      <w:rFonts w:ascii="Cambria" w:hAnsi="Cambria" w:eastAsia="宋体" w:cs="Times New Roman"/>
      <w:b/>
      <w:bCs/>
      <w:sz w:val="32"/>
      <w:szCs w:val="32"/>
      <w:lang w:val="en-US" w:eastAsia="zh-CN" w:bidi="ar-SA"/>
    </w:rPr>
  </w:style>
  <w:style w:type="character" w:customStyle="1" w:styleId="97">
    <w:name w:val="标题 2 Char2"/>
    <w:link w:val="3"/>
    <w:qFormat/>
    <w:uiPriority w:val="0"/>
    <w:rPr>
      <w:rFonts w:ascii="Arial" w:hAnsi="Arial" w:eastAsia="宋体" w:cs="Times New Roman"/>
      <w:b/>
      <w:bCs/>
      <w:sz w:val="24"/>
      <w:szCs w:val="32"/>
      <w:lang w:val="en-US" w:eastAsia="zh-CN" w:bidi="ar-SA"/>
    </w:rPr>
  </w:style>
  <w:style w:type="character" w:customStyle="1" w:styleId="98">
    <w:name w:val="标题 3 Char2"/>
    <w:link w:val="4"/>
    <w:qFormat/>
    <w:uiPriority w:val="0"/>
    <w:rPr>
      <w:rFonts w:ascii="Calibri" w:hAnsi="Calibri" w:eastAsia="宋体" w:cs="Times New Roman"/>
      <w:b/>
      <w:bCs/>
      <w:szCs w:val="32"/>
      <w:lang w:val="en-US" w:eastAsia="zh-CN" w:bidi="ar-SA"/>
    </w:rPr>
  </w:style>
  <w:style w:type="character" w:customStyle="1" w:styleId="99">
    <w:name w:val="标题 4 Char1"/>
    <w:link w:val="5"/>
    <w:qFormat/>
    <w:uiPriority w:val="0"/>
    <w:rPr>
      <w:rFonts w:ascii="Arial" w:hAnsi="Arial" w:eastAsia="黑体" w:cs="Times New Roman"/>
      <w:b/>
      <w:bCs/>
      <w:sz w:val="28"/>
      <w:szCs w:val="28"/>
      <w:lang w:val="en-US" w:eastAsia="zh-CN" w:bidi="ar-SA"/>
    </w:rPr>
  </w:style>
  <w:style w:type="character" w:customStyle="1" w:styleId="100">
    <w:name w:val="标题 5 Char2"/>
    <w:link w:val="6"/>
    <w:qFormat/>
    <w:uiPriority w:val="0"/>
    <w:rPr>
      <w:rFonts w:ascii="宋体" w:hAnsi="宋体" w:eastAsia="宋体" w:cs="Times New Roman"/>
      <w:b/>
      <w:kern w:val="0"/>
      <w:sz w:val="24"/>
      <w:szCs w:val="20"/>
      <w:lang w:val="en-US" w:eastAsia="zh-CN" w:bidi="ar-SA"/>
    </w:rPr>
  </w:style>
  <w:style w:type="character" w:customStyle="1" w:styleId="101">
    <w:name w:val="标题 6 Char2"/>
    <w:link w:val="7"/>
    <w:qFormat/>
    <w:uiPriority w:val="0"/>
    <w:rPr>
      <w:rFonts w:ascii="Arial" w:hAnsi="Arial" w:eastAsia="黑体" w:cs="Times New Roman"/>
      <w:b/>
      <w:bCs/>
      <w:kern w:val="0"/>
      <w:sz w:val="24"/>
      <w:lang w:val="en-US" w:eastAsia="zh-CN" w:bidi="ar-SA"/>
    </w:rPr>
  </w:style>
  <w:style w:type="character" w:customStyle="1" w:styleId="102">
    <w:name w:val="标题 7 Char2"/>
    <w:link w:val="8"/>
    <w:qFormat/>
    <w:uiPriority w:val="0"/>
    <w:rPr>
      <w:rFonts w:ascii="Calibri" w:hAnsi="Calibri" w:eastAsia="宋体" w:cs="Times New Roman"/>
      <w:b/>
      <w:bCs/>
      <w:kern w:val="0"/>
      <w:sz w:val="24"/>
      <w:lang w:val="en-US" w:eastAsia="zh-CN" w:bidi="ar-SA"/>
    </w:rPr>
  </w:style>
  <w:style w:type="character" w:customStyle="1" w:styleId="103">
    <w:name w:val="标题 8 Char2"/>
    <w:link w:val="9"/>
    <w:qFormat/>
    <w:uiPriority w:val="0"/>
    <w:rPr>
      <w:rFonts w:ascii="Arial" w:hAnsi="Arial" w:eastAsia="黑体" w:cs="Times New Roman"/>
      <w:kern w:val="0"/>
      <w:sz w:val="24"/>
      <w:lang w:val="en-US" w:eastAsia="zh-CN" w:bidi="ar-SA"/>
    </w:rPr>
  </w:style>
  <w:style w:type="character" w:customStyle="1" w:styleId="104">
    <w:name w:val="标题 9 Char2"/>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Char3"/>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Char3"/>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Char2"/>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Char3"/>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Char"/>
    <w:link w:val="16"/>
    <w:qFormat/>
    <w:uiPriority w:val="0"/>
    <w:rPr>
      <w:rFonts w:ascii="Calibri" w:hAnsi="Calibri" w:eastAsia="宋体" w:cs="Times New Roman"/>
      <w:szCs w:val="24"/>
      <w:lang w:val="en-US" w:eastAsia="zh-CN" w:bidi="ar-SA"/>
    </w:rPr>
  </w:style>
  <w:style w:type="character" w:customStyle="1" w:styleId="131">
    <w:name w:val="批注框文本 Char3"/>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Char"/>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Char4"/>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Char3"/>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Char2"/>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Char2"/>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Char3"/>
    <w:link w:val="41"/>
    <w:qFormat/>
    <w:uiPriority w:val="0"/>
    <w:rPr>
      <w:rFonts w:ascii="宋体" w:hAnsi="Courier New" w:eastAsia="宋体" w:cs="Courier New"/>
      <w:szCs w:val="21"/>
      <w:lang w:val="en-US" w:eastAsia="zh-CN" w:bidi="ar-SA"/>
    </w:rPr>
  </w:style>
  <w:style w:type="character" w:customStyle="1" w:styleId="194">
    <w:name w:val="正文文本缩进 Char3"/>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Char3"/>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qFormat/>
    <w:uiPriority w:val="0"/>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rPr>
      <w:rFonts w:ascii="Calibri" w:hAnsi="Calibri" w:eastAsia="宋体" w:cs="Times New Roman"/>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Char1"/>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b/>
      <w:bCs/>
      <w:kern w:val="2"/>
      <w:sz w:val="32"/>
      <w:szCs w:val="32"/>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Char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Char1"/>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kern w:val="2"/>
      <w:sz w:val="30"/>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Arial" w:eastAsia="宋体" w:cs="Times New Roman"/>
      <w:b/>
      <w:kern w:val="2"/>
      <w:sz w:val="24"/>
      <w:szCs w:val="24"/>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Char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paragraph" w:customStyle="1" w:styleId="185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5919</Words>
  <Characters>33740</Characters>
  <Lines>281</Lines>
  <Paragraphs>79</Paragraphs>
  <TotalTime>0</TotalTime>
  <ScaleCrop>false</ScaleCrop>
  <LinksUpToDate>false</LinksUpToDate>
  <CharactersWithSpaces>39580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2020-05-21T10:34:32Z</dcterms:modified>
  <dc:title>杭州萧山国际机场货物类采购项目招标文件</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