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u w:val="single"/>
        </w:rPr>
        <w:t xml:space="preserve">  35KV变电站伸缩门 </w:t>
      </w:r>
      <w:r>
        <w:rPr>
          <w:rFonts w:hint="eastAsia" w:ascii="黑体" w:hAnsi="黑体" w:eastAsia="黑体"/>
          <w:b/>
          <w:bCs/>
          <w:sz w:val="52"/>
          <w:szCs w:val="52"/>
        </w:rPr>
        <w:t>采购项目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 xml:space="preserve">二Ο二Ο年 </w:t>
      </w:r>
      <w:r>
        <w:rPr>
          <w:rFonts w:hint="eastAsia" w:ascii="宋体" w:hAnsi="宋体"/>
          <w:b/>
          <w:sz w:val="44"/>
          <w:szCs w:val="44"/>
          <w:lang w:eastAsia="zh-CN"/>
        </w:rPr>
        <w:t>六</w:t>
      </w:r>
      <w:bookmarkStart w:id="125" w:name="_GoBack"/>
      <w:bookmarkEnd w:id="125"/>
      <w:r>
        <w:rPr>
          <w:rFonts w:hint="eastAsia" w:ascii="宋体" w:hAnsi="宋体"/>
          <w:b/>
          <w:sz w:val="44"/>
          <w:szCs w:val="44"/>
        </w:rPr>
        <w:t xml:space="preserve"> 月</w:t>
      </w:r>
    </w:p>
    <w:p>
      <w:pPr>
        <w:spacing w:line="936" w:lineRule="exact"/>
        <w:jc w:val="center"/>
        <w:rPr>
          <w:rFonts w:ascii="Meiryo" w:hAnsi="Meiryo" w:eastAsia="Meiryo" w:cs="Meiryo"/>
          <w:sz w:val="52"/>
          <w:szCs w:val="52"/>
        </w:rPr>
        <w:sectPr>
          <w:pgSz w:w="12240" w:h="15840"/>
          <w:pgMar w:top="1500" w:right="1720" w:bottom="280" w:left="1700" w:header="720" w:footer="720" w:gutter="0"/>
          <w:cols w:space="720" w:num="1"/>
        </w:sectPr>
      </w:pPr>
    </w:p>
    <w:p>
      <w:pPr>
        <w:autoSpaceDE w:val="0"/>
        <w:autoSpaceDN w:val="0"/>
        <w:adjustRightInd w:val="0"/>
        <w:spacing w:line="587" w:lineRule="exact"/>
        <w:ind w:right="43"/>
        <w:jc w:val="center"/>
        <w:rPr>
          <w:rStyle w:val="17"/>
        </w:rPr>
      </w:pPr>
    </w:p>
    <w:p>
      <w:pPr>
        <w:autoSpaceDE w:val="0"/>
        <w:autoSpaceDN w:val="0"/>
        <w:adjustRightInd w:val="0"/>
        <w:spacing w:line="587" w:lineRule="exact"/>
        <w:ind w:right="43"/>
        <w:jc w:val="center"/>
        <w:rPr>
          <w:rStyle w:val="17"/>
        </w:rPr>
      </w:pPr>
      <w:bookmarkStart w:id="1" w:name="_Toc525132432"/>
      <w:bookmarkStart w:id="2" w:name="_Toc525202077"/>
      <w:bookmarkStart w:id="3" w:name="_Toc32707"/>
      <w:bookmarkStart w:id="4" w:name="_Toc27739"/>
      <w:r>
        <w:rPr>
          <w:rStyle w:val="17"/>
          <w:rFonts w:hint="eastAsia"/>
        </w:rPr>
        <w:t>目</w:t>
      </w:r>
      <w:r>
        <w:rPr>
          <w:rStyle w:val="17"/>
        </w:rPr>
        <w:t xml:space="preserve"> </w:t>
      </w:r>
      <w:r>
        <w:rPr>
          <w:rStyle w:val="17"/>
          <w:rFonts w:hint="eastAsia"/>
        </w:rPr>
        <w:t>录</w:t>
      </w:r>
      <w:bookmarkEnd w:id="0"/>
      <w:bookmarkEnd w:id="1"/>
      <w:bookmarkEnd w:id="2"/>
    </w:p>
    <w:bookmarkEnd w:id="3"/>
    <w:bookmarkEnd w:id="4"/>
    <w:p>
      <w:pPr>
        <w:pStyle w:val="11"/>
        <w:tabs>
          <w:tab w:val="right" w:leader="dot" w:pos="9457"/>
        </w:tabs>
        <w:rPr>
          <w:rFonts w:ascii="微软雅黑" w:cs="微软雅黑"/>
          <w:b/>
          <w:spacing w:val="2"/>
          <w:w w:val="99"/>
          <w:kern w:val="0"/>
          <w:sz w:val="36"/>
          <w:szCs w:val="36"/>
        </w:rPr>
      </w:pPr>
    </w:p>
    <w:p>
      <w:pPr>
        <w:pStyle w:val="11"/>
        <w:tabs>
          <w:tab w:val="right" w:leader="dot" w:pos="8900"/>
        </w:tabs>
      </w:pPr>
      <w:bookmarkStart w:id="5" w:name="_Toc20710"/>
      <w:r>
        <w:fldChar w:fldCharType="begin"/>
      </w:r>
      <w:r>
        <w:instrText xml:space="preserve">TOC \o "1-3" \h \u </w:instrText>
      </w:r>
      <w:r>
        <w:fldChar w:fldCharType="separate"/>
      </w:r>
      <w:r>
        <w:fldChar w:fldCharType="begin"/>
      </w:r>
      <w:r>
        <w:instrText xml:space="preserve"> HYPERLINK \l "_Toc32707" </w:instrText>
      </w:r>
      <w:r>
        <w:fldChar w:fldCharType="separate"/>
      </w:r>
      <w:r>
        <w:rPr>
          <w:rFonts w:hint="eastAsia"/>
        </w:rPr>
        <w:t>目</w:t>
      </w:r>
      <w:r>
        <w:t xml:space="preserve"> </w:t>
      </w:r>
      <w:r>
        <w:rPr>
          <w:rFonts w:hint="eastAsia"/>
        </w:rPr>
        <w:t>录</w:t>
      </w:r>
      <w:r>
        <w:tab/>
      </w:r>
      <w:r>
        <w:fldChar w:fldCharType="begin"/>
      </w:r>
      <w:r>
        <w:instrText xml:space="preserve"> PAGEREF _Toc32707 </w:instrText>
      </w:r>
      <w:r>
        <w:fldChar w:fldCharType="separate"/>
      </w:r>
      <w:r>
        <w:t>2</w:t>
      </w:r>
      <w:r>
        <w:fldChar w:fldCharType="end"/>
      </w:r>
      <w:r>
        <w:fldChar w:fldCharType="end"/>
      </w:r>
    </w:p>
    <w:p>
      <w:pPr>
        <w:pStyle w:val="11"/>
        <w:tabs>
          <w:tab w:val="right" w:leader="dot" w:pos="8900"/>
        </w:tabs>
      </w:pPr>
      <w:r>
        <w:fldChar w:fldCharType="begin"/>
      </w:r>
      <w:r>
        <w:instrText xml:space="preserve"> HYPERLINK \l "_Toc6636" </w:instrText>
      </w:r>
      <w:r>
        <w:fldChar w:fldCharType="separate"/>
      </w:r>
      <w:r>
        <w:t>第一章</w:t>
      </w:r>
      <w:r>
        <w:rPr>
          <w:rFonts w:hint="eastAsia"/>
        </w:rPr>
        <w:t xml:space="preserve">  </w:t>
      </w:r>
      <w:r>
        <w:t>招标公告</w:t>
      </w:r>
      <w:r>
        <w:tab/>
      </w:r>
      <w:r>
        <w:fldChar w:fldCharType="begin"/>
      </w:r>
      <w:r>
        <w:instrText xml:space="preserve"> PAGEREF _Toc6636 </w:instrText>
      </w:r>
      <w:r>
        <w:fldChar w:fldCharType="separate"/>
      </w:r>
      <w:r>
        <w:t>3</w:t>
      </w:r>
      <w:r>
        <w:fldChar w:fldCharType="end"/>
      </w:r>
      <w:r>
        <w:fldChar w:fldCharType="end"/>
      </w:r>
    </w:p>
    <w:p>
      <w:pPr>
        <w:pStyle w:val="11"/>
        <w:tabs>
          <w:tab w:val="right" w:leader="dot" w:pos="8900"/>
        </w:tabs>
      </w:pPr>
      <w:r>
        <w:fldChar w:fldCharType="begin"/>
      </w:r>
      <w:r>
        <w:instrText xml:space="preserve"> HYPERLINK \l "_Toc1296" </w:instrText>
      </w:r>
      <w:r>
        <w:fldChar w:fldCharType="separate"/>
      </w:r>
      <w:r>
        <w:t>第</w:t>
      </w:r>
      <w:r>
        <w:rPr>
          <w:rFonts w:hint="eastAsia"/>
        </w:rPr>
        <w:t>二</w:t>
      </w:r>
      <w:r>
        <w:t>章</w:t>
      </w:r>
      <w:r>
        <w:rPr>
          <w:rFonts w:hint="eastAsia"/>
        </w:rPr>
        <w:t xml:space="preserve">  </w:t>
      </w:r>
      <w:r>
        <w:t>投标人须知</w:t>
      </w:r>
      <w:r>
        <w:tab/>
      </w:r>
      <w:r>
        <w:fldChar w:fldCharType="begin"/>
      </w:r>
      <w:r>
        <w:instrText xml:space="preserve"> PAGEREF _Toc1296 </w:instrText>
      </w:r>
      <w:r>
        <w:fldChar w:fldCharType="separate"/>
      </w:r>
      <w:r>
        <w:t>6 -</w:t>
      </w:r>
      <w:r>
        <w:fldChar w:fldCharType="end"/>
      </w:r>
      <w:r>
        <w:fldChar w:fldCharType="end"/>
      </w:r>
    </w:p>
    <w:p>
      <w:pPr>
        <w:pStyle w:val="11"/>
        <w:tabs>
          <w:tab w:val="right" w:leader="dot" w:pos="8900"/>
        </w:tabs>
      </w:pPr>
      <w:r>
        <w:fldChar w:fldCharType="begin"/>
      </w:r>
      <w:r>
        <w:instrText xml:space="preserve"> HYPERLINK \l "_Toc19243" </w:instrText>
      </w:r>
      <w:r>
        <w:fldChar w:fldCharType="separate"/>
      </w:r>
      <w:r>
        <w:rPr>
          <w:rFonts w:hint="eastAsia"/>
        </w:rPr>
        <w:t>第三章</w:t>
      </w:r>
      <w:r>
        <w:t xml:space="preserve">  </w:t>
      </w:r>
      <w:r>
        <w:rPr>
          <w:rFonts w:hint="eastAsia"/>
        </w:rPr>
        <w:t>评标办法</w:t>
      </w:r>
      <w:r>
        <w:tab/>
      </w:r>
      <w:r>
        <w:fldChar w:fldCharType="begin"/>
      </w:r>
      <w:r>
        <w:instrText xml:space="preserve"> PAGEREF _Toc19243 </w:instrText>
      </w:r>
      <w:r>
        <w:fldChar w:fldCharType="separate"/>
      </w:r>
      <w:r>
        <w:t>27</w:t>
      </w:r>
      <w:r>
        <w:fldChar w:fldCharType="end"/>
      </w:r>
      <w:r>
        <w:fldChar w:fldCharType="end"/>
      </w:r>
    </w:p>
    <w:p>
      <w:pPr>
        <w:pStyle w:val="11"/>
        <w:tabs>
          <w:tab w:val="right" w:leader="dot" w:pos="8900"/>
        </w:tabs>
      </w:pPr>
      <w:r>
        <w:fldChar w:fldCharType="begin"/>
      </w:r>
      <w:r>
        <w:instrText xml:space="preserve"> HYPERLINK \l "_Toc24621" </w:instrText>
      </w:r>
      <w:r>
        <w:fldChar w:fldCharType="separate"/>
      </w:r>
      <w:r>
        <w:rPr>
          <w:rFonts w:hint="eastAsia"/>
        </w:rPr>
        <w:t>第四章</w:t>
      </w:r>
      <w:r>
        <w:t xml:space="preserve">  </w:t>
      </w:r>
      <w:r>
        <w:rPr>
          <w:rFonts w:hint="eastAsia"/>
        </w:rPr>
        <w:t>合同条款及格式</w:t>
      </w:r>
      <w:r>
        <w:tab/>
      </w:r>
      <w:r>
        <w:fldChar w:fldCharType="begin"/>
      </w:r>
      <w:r>
        <w:instrText xml:space="preserve"> PAGEREF _Toc24621 </w:instrText>
      </w:r>
      <w:r>
        <w:fldChar w:fldCharType="separate"/>
      </w:r>
      <w:r>
        <w:t>33</w:t>
      </w:r>
      <w:r>
        <w:fldChar w:fldCharType="end"/>
      </w:r>
      <w:r>
        <w:fldChar w:fldCharType="end"/>
      </w:r>
    </w:p>
    <w:p>
      <w:pPr>
        <w:pStyle w:val="11"/>
        <w:tabs>
          <w:tab w:val="right" w:leader="dot" w:pos="8900"/>
        </w:tabs>
      </w:pPr>
      <w:r>
        <w:fldChar w:fldCharType="begin"/>
      </w:r>
      <w:r>
        <w:instrText xml:space="preserve"> HYPERLINK \l "_Toc17497" </w:instrText>
      </w:r>
      <w:r>
        <w:fldChar w:fldCharType="separate"/>
      </w:r>
      <w:r>
        <w:rPr>
          <w:rFonts w:hint="eastAsia"/>
        </w:rPr>
        <w:t>第五章</w:t>
      </w:r>
      <w:r>
        <w:t xml:space="preserve">  </w:t>
      </w:r>
      <w:r>
        <w:rPr>
          <w:rFonts w:hint="eastAsia"/>
        </w:rPr>
        <w:t>用户需求书</w:t>
      </w:r>
      <w:r>
        <w:tab/>
      </w:r>
      <w:r>
        <w:fldChar w:fldCharType="begin"/>
      </w:r>
      <w:r>
        <w:instrText xml:space="preserve"> PAGEREF _Toc17497 </w:instrText>
      </w:r>
      <w:r>
        <w:fldChar w:fldCharType="separate"/>
      </w:r>
      <w:r>
        <w:t>- 42 -</w:t>
      </w:r>
      <w:r>
        <w:fldChar w:fldCharType="end"/>
      </w:r>
      <w:r>
        <w:fldChar w:fldCharType="end"/>
      </w:r>
    </w:p>
    <w:p>
      <w:pPr>
        <w:pStyle w:val="11"/>
        <w:tabs>
          <w:tab w:val="right" w:leader="dot" w:pos="8900"/>
        </w:tabs>
      </w:pPr>
      <w:r>
        <w:fldChar w:fldCharType="begin"/>
      </w:r>
      <w:r>
        <w:instrText xml:space="preserve"> HYPERLINK \l "_Toc7430" </w:instrText>
      </w:r>
      <w:r>
        <w:fldChar w:fldCharType="separate"/>
      </w:r>
      <w:r>
        <w:rPr>
          <w:rFonts w:hint="eastAsia"/>
        </w:rPr>
        <w:t>第六章  投标文件格式</w:t>
      </w:r>
      <w:r>
        <w:tab/>
      </w:r>
      <w:r>
        <w:fldChar w:fldCharType="begin"/>
      </w:r>
      <w:r>
        <w:instrText xml:space="preserve"> PAGEREF _Toc7430 </w:instrText>
      </w:r>
      <w:r>
        <w:fldChar w:fldCharType="separate"/>
      </w:r>
      <w:r>
        <w:t>- 44 -</w:t>
      </w:r>
      <w:r>
        <w:fldChar w:fldCharType="end"/>
      </w:r>
      <w:r>
        <w:fldChar w:fldCharType="end"/>
      </w:r>
    </w:p>
    <w:p>
      <w:r>
        <w:fldChar w:fldCharType="end"/>
      </w:r>
    </w:p>
    <w:p>
      <w:pPr>
        <w:pStyle w:val="2"/>
        <w:spacing w:line="564" w:lineRule="exact"/>
        <w:ind w:right="57"/>
        <w:jc w:val="center"/>
        <w:rPr>
          <w:b w:val="0"/>
          <w:bCs w:val="0"/>
        </w:rPr>
      </w:pPr>
      <w:r>
        <w:rPr>
          <w:rFonts w:ascii="微软雅黑" w:cs="微软雅黑"/>
          <w:spacing w:val="2"/>
          <w:w w:val="99"/>
          <w:kern w:val="0"/>
          <w:sz w:val="36"/>
          <w:szCs w:val="36"/>
        </w:rPr>
        <w:br w:type="page"/>
      </w:r>
      <w:bookmarkStart w:id="6" w:name="_Toc6636"/>
      <w:r>
        <w:t>第一章</w:t>
      </w:r>
      <w:r>
        <w:rPr>
          <w:rFonts w:hint="eastAsia"/>
        </w:rPr>
        <w:t xml:space="preserve">  </w:t>
      </w:r>
      <w:r>
        <w:t>招标公告</w:t>
      </w:r>
      <w:bookmarkEnd w:id="5"/>
      <w:bookmarkEnd w:id="6"/>
    </w:p>
    <w:p>
      <w:pPr>
        <w:rPr>
          <w:rFonts w:ascii="宋体" w:hAnsi="宋体" w:cs="宋体"/>
          <w:sz w:val="20"/>
          <w:szCs w:val="20"/>
        </w:rPr>
      </w:pPr>
    </w:p>
    <w:p>
      <w:pPr>
        <w:pStyle w:val="3"/>
        <w:spacing w:before="70"/>
        <w:ind w:right="157" w:firstLine="422"/>
        <w:rPr>
          <w:rFonts w:ascii="黑体" w:hAnsi="黑体" w:eastAsia="黑体"/>
          <w:b w:val="0"/>
          <w:bCs w:val="0"/>
        </w:rPr>
      </w:pPr>
      <w:bookmarkStart w:id="7" w:name="_bookmark2"/>
      <w:bookmarkEnd w:id="7"/>
      <w:bookmarkStart w:id="8" w:name="_Toc6657"/>
      <w:bookmarkStart w:id="9" w:name="_Toc14499"/>
      <w:r>
        <w:rPr>
          <w:rFonts w:ascii="黑体" w:hAnsi="黑体" w:eastAsia="黑体"/>
        </w:rPr>
        <w:t>1.招标条件</w:t>
      </w:r>
      <w:bookmarkEnd w:id="8"/>
      <w:bookmarkEnd w:id="9"/>
    </w:p>
    <w:p>
      <w:pPr>
        <w:pStyle w:val="7"/>
        <w:tabs>
          <w:tab w:val="left" w:pos="2388"/>
          <w:tab w:val="left" w:pos="2832"/>
          <w:tab w:val="left" w:pos="3472"/>
          <w:tab w:val="left" w:pos="6667"/>
          <w:tab w:val="left" w:pos="7270"/>
        </w:tabs>
        <w:spacing w:line="348" w:lineRule="auto"/>
        <w:ind w:right="153" w:firstLine="419"/>
      </w:pPr>
      <w:r>
        <w:rPr>
          <w:rStyle w:val="18"/>
          <w:rFonts w:hint="eastAsia" w:cs="宋体" w:asciiTheme="minorEastAsia" w:hAnsiTheme="minorEastAsia"/>
          <w:sz w:val="22"/>
          <w:u w:val="single"/>
        </w:rPr>
        <w:t>杭州萧山国际机场35KV变电站伸缩门采购项目</w:t>
      </w:r>
      <w:r>
        <w:rPr>
          <w:spacing w:val="-1"/>
        </w:rPr>
        <w:t>（项目名称）招标人为</w:t>
      </w:r>
      <w:r>
        <w:rPr>
          <w:rFonts w:hint="eastAsia" w:ascii="Times New Roman" w:hAnsi="Times New Roman" w:eastAsiaTheme="minorEastAsia"/>
          <w:spacing w:val="-1"/>
          <w:u w:val="single" w:color="000000"/>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u w:val="single" w:color="000000"/>
        </w:rPr>
        <w:t>本项目</w:t>
      </w:r>
      <w:r>
        <w:rPr>
          <w:spacing w:val="-2"/>
        </w:rPr>
        <w:t>进行公开招标。</w:t>
      </w:r>
    </w:p>
    <w:p>
      <w:pPr>
        <w:spacing w:before="7"/>
        <w:rPr>
          <w:rFonts w:ascii="宋体" w:hAnsi="宋体" w:cs="宋体"/>
          <w:sz w:val="12"/>
          <w:szCs w:val="12"/>
        </w:rPr>
      </w:pPr>
    </w:p>
    <w:p>
      <w:pPr>
        <w:pStyle w:val="3"/>
        <w:spacing w:before="70"/>
        <w:ind w:right="157" w:firstLine="422"/>
        <w:rPr>
          <w:rFonts w:ascii="黑体" w:hAnsi="黑体" w:eastAsia="黑体"/>
        </w:rPr>
      </w:pPr>
      <w:bookmarkStart w:id="10" w:name="_bookmark3"/>
      <w:bookmarkEnd w:id="10"/>
      <w:bookmarkStart w:id="11" w:name="_Toc16664"/>
      <w:bookmarkStart w:id="12" w:name="_Toc13082"/>
      <w:r>
        <w:rPr>
          <w:rFonts w:ascii="黑体" w:hAnsi="黑体" w:eastAsia="黑体"/>
        </w:rPr>
        <w:t>2.项目概况与招标范围</w:t>
      </w:r>
      <w:bookmarkEnd w:id="11"/>
      <w:bookmarkEnd w:id="12"/>
    </w:p>
    <w:p>
      <w:pPr>
        <w:pStyle w:val="7"/>
        <w:tabs>
          <w:tab w:val="left" w:pos="2388"/>
          <w:tab w:val="left" w:pos="2832"/>
          <w:tab w:val="left" w:pos="3472"/>
          <w:tab w:val="left" w:pos="6667"/>
          <w:tab w:val="left" w:pos="7270"/>
        </w:tabs>
        <w:spacing w:before="120" w:beforeLines="50" w:line="348" w:lineRule="auto"/>
        <w:ind w:left="102" w:right="153" w:firstLine="420"/>
      </w:pPr>
      <w:r>
        <w:rPr>
          <w:rFonts w:hint="eastAsia"/>
        </w:rPr>
        <w:t>招标货物名称、数量及主要技术规格</w:t>
      </w:r>
    </w:p>
    <w:tbl>
      <w:tblPr>
        <w:tblStyle w:val="13"/>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078"/>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24" w:type="dxa"/>
            <w:vAlign w:val="center"/>
          </w:tcPr>
          <w:p>
            <w:pPr>
              <w:adjustRightInd w:val="0"/>
              <w:snapToGrid w:val="0"/>
              <w:jc w:val="center"/>
              <w:rPr>
                <w:rFonts w:ascii="宋体" w:hAnsi="宋体"/>
                <w:szCs w:val="21"/>
              </w:rPr>
            </w:pPr>
            <w:r>
              <w:rPr>
                <w:rFonts w:ascii="宋体" w:hAnsi="宋体"/>
                <w:szCs w:val="21"/>
              </w:rPr>
              <w:t>货物名称</w:t>
            </w:r>
          </w:p>
        </w:tc>
        <w:tc>
          <w:tcPr>
            <w:tcW w:w="1078" w:type="dxa"/>
            <w:vAlign w:val="center"/>
          </w:tcPr>
          <w:p>
            <w:pPr>
              <w:adjustRightInd w:val="0"/>
              <w:snapToGrid w:val="0"/>
              <w:jc w:val="center"/>
              <w:rPr>
                <w:rFonts w:ascii="宋体" w:hAnsi="宋体"/>
                <w:szCs w:val="21"/>
              </w:rPr>
            </w:pPr>
            <w:r>
              <w:rPr>
                <w:rFonts w:ascii="宋体" w:hAnsi="宋体"/>
                <w:szCs w:val="21"/>
              </w:rPr>
              <w:t>数 量</w:t>
            </w:r>
          </w:p>
        </w:tc>
        <w:tc>
          <w:tcPr>
            <w:tcW w:w="1701" w:type="dxa"/>
            <w:vAlign w:val="center"/>
          </w:tcPr>
          <w:p>
            <w:pPr>
              <w:adjustRightInd w:val="0"/>
              <w:snapToGrid w:val="0"/>
              <w:jc w:val="center"/>
              <w:rPr>
                <w:rFonts w:ascii="宋体" w:hAnsi="宋体"/>
                <w:szCs w:val="21"/>
              </w:rPr>
            </w:pPr>
            <w:r>
              <w:rPr>
                <w:rFonts w:ascii="宋体" w:hAnsi="宋体"/>
                <w:szCs w:val="21"/>
              </w:rPr>
              <w:t>主要技术规格</w:t>
            </w:r>
          </w:p>
        </w:tc>
        <w:tc>
          <w:tcPr>
            <w:tcW w:w="2835" w:type="dxa"/>
            <w:vAlign w:val="center"/>
          </w:tcPr>
          <w:p>
            <w:pPr>
              <w:adjustRightInd w:val="0"/>
              <w:snapToGrid w:val="0"/>
              <w:jc w:val="center"/>
              <w:rPr>
                <w:rFonts w:ascii="宋体" w:hAnsi="宋体"/>
                <w:szCs w:val="21"/>
              </w:rPr>
            </w:pPr>
            <w:r>
              <w:rPr>
                <w:rFonts w:ascii="宋体" w:hAnsi="宋体"/>
                <w:szCs w:val="21"/>
              </w:rPr>
              <w:t>供货期</w:t>
            </w:r>
          </w:p>
        </w:tc>
        <w:tc>
          <w:tcPr>
            <w:tcW w:w="1908" w:type="dxa"/>
            <w:vAlign w:val="center"/>
          </w:tcPr>
          <w:p>
            <w:pPr>
              <w:adjustRightInd w:val="0"/>
              <w:snapToGrid w:val="0"/>
              <w:jc w:val="center"/>
              <w:rPr>
                <w:rFonts w:ascii="宋体" w:hAnsi="宋体"/>
                <w:szCs w:val="21"/>
              </w:rPr>
            </w:pPr>
            <w:r>
              <w:rPr>
                <w:rFonts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szCs w:val="21"/>
              </w:rPr>
            </w:pPr>
            <w:r>
              <w:rPr>
                <w:rFonts w:hint="eastAsia" w:ascii="宋体"/>
                <w:color w:val="000000"/>
                <w:sz w:val="22"/>
              </w:rPr>
              <w:t>有轨不锈钢电动伸缩门</w:t>
            </w:r>
          </w:p>
        </w:tc>
        <w:tc>
          <w:tcPr>
            <w:tcW w:w="1078" w:type="dxa"/>
            <w:vAlign w:val="center"/>
          </w:tcPr>
          <w:p>
            <w:pPr>
              <w:snapToGrid w:val="0"/>
              <w:ind w:firstLine="240"/>
              <w:jc w:val="center"/>
              <w:rPr>
                <w:rFonts w:ascii="宋体" w:hAnsi="宋体"/>
                <w:szCs w:val="21"/>
              </w:rPr>
            </w:pPr>
            <w:r>
              <w:rPr>
                <w:rFonts w:hint="eastAsia" w:ascii="宋体" w:hAnsi="宋体"/>
                <w:szCs w:val="21"/>
              </w:rPr>
              <w:t>1</w:t>
            </w:r>
          </w:p>
        </w:tc>
        <w:tc>
          <w:tcPr>
            <w:tcW w:w="1701" w:type="dxa"/>
            <w:vAlign w:val="center"/>
          </w:tcPr>
          <w:p>
            <w:pPr>
              <w:pStyle w:val="5"/>
              <w:snapToGrid w:val="0"/>
              <w:jc w:val="center"/>
              <w:rPr>
                <w:rFonts w:ascii="宋体" w:hAnsi="宋体"/>
                <w:kern w:val="0"/>
                <w:szCs w:val="21"/>
              </w:rPr>
            </w:pPr>
            <w:r>
              <w:rPr>
                <w:rFonts w:hint="eastAsia" w:ascii="宋体" w:hAnsi="宋体"/>
                <w:kern w:val="0"/>
                <w:szCs w:val="21"/>
              </w:rPr>
              <w:t>详见第五章</w:t>
            </w:r>
          </w:p>
        </w:tc>
        <w:tc>
          <w:tcPr>
            <w:tcW w:w="2835" w:type="dxa"/>
            <w:vAlign w:val="center"/>
          </w:tcPr>
          <w:p>
            <w:pPr>
              <w:adjustRightInd w:val="0"/>
              <w:snapToGrid w:val="0"/>
              <w:jc w:val="center"/>
              <w:rPr>
                <w:rFonts w:ascii="宋体" w:hAnsi="宋体"/>
                <w:szCs w:val="21"/>
              </w:rPr>
            </w:pPr>
            <w:r>
              <w:rPr>
                <w:rFonts w:hint="eastAsia" w:ascii="宋体" w:hAnsi="宋体"/>
                <w:szCs w:val="21"/>
              </w:rPr>
              <w:t>合同签订后</w:t>
            </w:r>
            <w:r>
              <w:rPr>
                <w:rFonts w:ascii="宋体" w:hAnsi="宋体"/>
                <w:szCs w:val="21"/>
                <w:u w:val="single"/>
              </w:rPr>
              <w:t>30</w:t>
            </w:r>
            <w:r>
              <w:rPr>
                <w:rFonts w:hint="eastAsia" w:ascii="宋体" w:hAnsi="宋体"/>
                <w:szCs w:val="21"/>
              </w:rPr>
              <w:t>日历天内</w:t>
            </w:r>
          </w:p>
        </w:tc>
        <w:tc>
          <w:tcPr>
            <w:tcW w:w="1908" w:type="dxa"/>
            <w:vAlign w:val="center"/>
          </w:tcPr>
          <w:p>
            <w:pPr>
              <w:adjustRightInd w:val="0"/>
              <w:snapToGrid w:val="0"/>
              <w:jc w:val="center"/>
              <w:rPr>
                <w:rFonts w:ascii="宋体" w:hAnsi="宋体"/>
                <w:szCs w:val="21"/>
              </w:rPr>
            </w:pPr>
            <w:r>
              <w:rPr>
                <w:rFonts w:ascii="宋体" w:hAnsi="宋体"/>
                <w:szCs w:val="21"/>
              </w:rPr>
              <w:t>杭州萧山国际机场</w:t>
            </w:r>
          </w:p>
        </w:tc>
      </w:tr>
    </w:tbl>
    <w:p>
      <w:pPr>
        <w:pStyle w:val="7"/>
        <w:tabs>
          <w:tab w:val="left" w:pos="2388"/>
          <w:tab w:val="left" w:pos="2832"/>
          <w:tab w:val="left" w:pos="3472"/>
          <w:tab w:val="left" w:pos="6667"/>
          <w:tab w:val="left" w:pos="7270"/>
        </w:tabs>
        <w:spacing w:line="348" w:lineRule="auto"/>
        <w:ind w:right="153" w:firstLine="419"/>
      </w:pPr>
      <w:r>
        <w:rPr>
          <w:rFonts w:hint="eastAsia"/>
        </w:rPr>
        <w:t>注：其他具体招标内容详见第五章</w:t>
      </w:r>
    </w:p>
    <w:p>
      <w:pPr>
        <w:pStyle w:val="3"/>
        <w:spacing w:before="70"/>
        <w:ind w:right="157" w:firstLine="422"/>
        <w:rPr>
          <w:rFonts w:ascii="黑体" w:hAnsi="黑体" w:eastAsia="黑体"/>
        </w:rPr>
      </w:pPr>
      <w:bookmarkStart w:id="13" w:name="_bookmark4"/>
      <w:bookmarkEnd w:id="13"/>
      <w:bookmarkStart w:id="14" w:name="_Toc15721"/>
      <w:bookmarkStart w:id="15" w:name="_Toc9555"/>
      <w:r>
        <w:rPr>
          <w:rFonts w:ascii="黑体" w:hAnsi="黑体" w:eastAsia="黑体"/>
        </w:rPr>
        <w:t>3.投标人资格要求</w:t>
      </w:r>
      <w:bookmarkEnd w:id="14"/>
      <w:bookmarkEnd w:id="15"/>
    </w:p>
    <w:p>
      <w:pPr>
        <w:pStyle w:val="7"/>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7"/>
        <w:tabs>
          <w:tab w:val="left" w:pos="4394"/>
          <w:tab w:val="left" w:pos="5990"/>
        </w:tabs>
        <w:spacing w:line="331" w:lineRule="auto"/>
        <w:ind w:right="157" w:firstLine="419"/>
        <w:rPr>
          <w:rFonts w:cs="宋体"/>
        </w:rPr>
      </w:pPr>
      <w:r>
        <w:rPr>
          <w:rFonts w:hint="eastAsia" w:cs="宋体"/>
        </w:rPr>
        <w:t>① 具有独立法人资格的制造商或代理商，制造商注册资金不少于人民币</w:t>
      </w:r>
      <w:r>
        <w:rPr>
          <w:rFonts w:hint="eastAsia" w:ascii="Times New Roman" w:hAnsi="Times New Roman" w:eastAsia="Times New Roman"/>
          <w:u w:val="single"/>
        </w:rPr>
        <w:t xml:space="preserve"> </w:t>
      </w:r>
      <w:r>
        <w:rPr>
          <w:rFonts w:ascii="Times New Roman" w:hAnsi="Times New Roman" w:eastAsia="Times New Roman"/>
          <w:u w:val="single"/>
        </w:rPr>
        <w:t>100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bookmarkStart w:id="16" w:name="EBce7a64c612554a0c9f00fd85054c3138"/>
      <w:r>
        <w:rPr>
          <w:rFonts w:hint="eastAsia" w:cs="宋体"/>
        </w:rPr>
        <w:t>按投标截止日当天中国银行公布的外汇牌价的中间价换算</w:t>
      </w:r>
      <w:bookmarkEnd w:id="16"/>
      <w:r>
        <w:rPr>
          <w:rFonts w:hint="eastAsia" w:ascii="Times New Roman" w:hAnsi="Times New Roman" w:eastAsia="Times New Roman"/>
        </w:rPr>
        <w:t>)</w:t>
      </w:r>
      <w:r>
        <w:rPr>
          <w:rFonts w:hint="eastAsia" w:cs="宋体"/>
        </w:rPr>
        <w:t>，代理商注册资金不少于人民币</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r>
        <w:rPr>
          <w:rFonts w:hint="eastAsia" w:cs="宋体"/>
        </w:rPr>
        <w:t>按投标截止日当天中国银行公布的外汇牌价的中间价换算</w:t>
      </w:r>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eastAsiaTheme="minorEastAsia"/>
          <w:u w:val="single"/>
        </w:rPr>
        <w:t xml:space="preserve"> </w:t>
      </w:r>
      <w:r>
        <w:rPr>
          <w:rFonts w:ascii="Times New Roman" w:hAnsi="Times New Roman" w:eastAsiaTheme="minorEastAsia"/>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pPr>
        <w:pStyle w:val="7"/>
        <w:tabs>
          <w:tab w:val="left" w:pos="4394"/>
          <w:tab w:val="left" w:pos="5990"/>
        </w:tabs>
        <w:spacing w:line="331" w:lineRule="auto"/>
        <w:ind w:right="157" w:firstLine="419"/>
        <w:rPr>
          <w:rFonts w:ascii="Times New Roman" w:hAnsi="Times New Roman" w:eastAsia="Times New Roman"/>
        </w:rPr>
      </w:pPr>
      <w:sdt>
        <w:sdtPr>
          <w:rPr>
            <w:rFonts w:hint="eastAsia"/>
            <w:sz w:val="24"/>
          </w:rPr>
          <w:id w:val="-981530346"/>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cs="宋体"/>
        </w:rPr>
        <w:t>⑤ 代理商需具有招标设备制造商的授权书（需提供授权书复印件并加盖投标人公章作为证明材料，原件备查）。</w:t>
      </w:r>
    </w:p>
    <w:p>
      <w:pPr>
        <w:pStyle w:val="7"/>
        <w:tabs>
          <w:tab w:val="left" w:pos="4394"/>
          <w:tab w:val="left" w:pos="5990"/>
        </w:tabs>
        <w:spacing w:line="331" w:lineRule="auto"/>
        <w:ind w:right="157" w:firstLine="419"/>
        <w:rPr>
          <w:rFonts w:ascii="Times New Roman" w:hAnsi="Times New Roman" w:eastAsia="Times New Roman"/>
          <w:u w:val="single" w:color="000000"/>
        </w:rPr>
      </w:pPr>
      <w:sdt>
        <w:sdtPr>
          <w:rPr>
            <w:rFonts w:hint="eastAsia"/>
            <w:sz w:val="24"/>
          </w:rPr>
          <w:id w:val="1172147816"/>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cs="宋体"/>
        </w:rPr>
        <w:t>⑥ 近年（合同</w:t>
      </w:r>
      <w:r>
        <w:rPr>
          <w:rFonts w:cs="宋体"/>
        </w:rPr>
        <w:t>签订时间或部分供货期在</w:t>
      </w:r>
      <w:r>
        <w:rPr>
          <w:rFonts w:ascii="Times New Roman" w:hAnsi="Times New Roman" w:eastAsia="Times New Roman"/>
        </w:rPr>
        <w:t>20</w:t>
      </w:r>
      <w:r>
        <w:rPr>
          <w:rFonts w:hint="eastAsia" w:ascii="Times New Roman" w:hAnsi="Times New Roman"/>
        </w:rPr>
        <w:t>17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w:t>
      </w:r>
      <w:r>
        <w:rPr>
          <w:rFonts w:cs="宋体"/>
        </w:rPr>
        <w:t>期间</w:t>
      </w:r>
      <w:r>
        <w:rPr>
          <w:rFonts w:hint="eastAsia" w:cs="宋体"/>
        </w:rPr>
        <w:t>）具有投标产品的供货业绩，需提供中标通知书或合同复印件并加盖投标人公章作为证明材料，原件备查。</w:t>
      </w:r>
    </w:p>
    <w:p>
      <w:pPr>
        <w:pStyle w:val="7"/>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spacing w:val="7"/>
          <w:u w:val="single"/>
        </w:rPr>
        <w:t>不接受</w:t>
      </w:r>
      <w:r>
        <w:rPr>
          <w:spacing w:val="6"/>
        </w:rPr>
        <w:t>（接受或不接受）联合体投标。联合体投标的，应满足下列要</w:t>
      </w:r>
      <w:r>
        <w:t xml:space="preserve"> </w:t>
      </w:r>
      <w:r>
        <w:rPr>
          <w:spacing w:val="-1"/>
        </w:rPr>
        <w:t>求：</w:t>
      </w:r>
      <w:r>
        <w:rPr>
          <w:rFonts w:hint="eastAsia" w:ascii="Times New Roman" w:hAnsi="Times New Roman"/>
          <w:spacing w:val="-1"/>
          <w:u w:val="single" w:color="000000"/>
        </w:rPr>
        <w:t>/</w:t>
      </w:r>
      <w:r>
        <w:t>。</w:t>
      </w:r>
    </w:p>
    <w:p>
      <w:pPr>
        <w:pStyle w:val="7"/>
        <w:tabs>
          <w:tab w:val="left" w:pos="4394"/>
          <w:tab w:val="left" w:pos="5990"/>
        </w:tabs>
        <w:spacing w:line="331" w:lineRule="auto"/>
        <w:ind w:right="157" w:firstLine="419"/>
        <w:rPr>
          <w:rFonts w:ascii="宋体" w:hAnsi="宋体" w:cs="宋体"/>
        </w:rPr>
      </w:pPr>
      <w:sdt>
        <w:sdtPr>
          <w:rPr>
            <w:rFonts w:hint="eastAsia"/>
            <w:sz w:val="24"/>
          </w:rPr>
          <w:id w:val="191743196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ascii="Times New Roman" w:hAnsi="Times New Roman" w:eastAsia="Times New Roman"/>
        </w:rPr>
        <w:t xml:space="preserve">3.3 </w:t>
      </w:r>
      <w:r>
        <w:rPr>
          <w:rFonts w:hint="eastAsia" w:ascii="宋体" w:hAnsi="宋体" w:cs="宋体"/>
        </w:rPr>
        <w:t>一个制造商对同一品牌同一型号的设备，仅能委托一个代理商参加投标，且制造商与代理商不能同时参加投标。</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3.4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3"/>
        <w:spacing w:before="70"/>
        <w:ind w:right="157" w:firstLine="422"/>
        <w:rPr>
          <w:rFonts w:ascii="黑体" w:hAnsi="黑体" w:eastAsia="黑体"/>
        </w:rPr>
      </w:pPr>
      <w:bookmarkStart w:id="17" w:name="_bookmark5"/>
      <w:bookmarkEnd w:id="17"/>
      <w:bookmarkStart w:id="18" w:name="_Toc8677"/>
      <w:bookmarkStart w:id="19" w:name="_Toc14712"/>
      <w:r>
        <w:rPr>
          <w:rFonts w:ascii="黑体" w:hAnsi="黑体" w:eastAsia="黑体"/>
        </w:rPr>
        <w:t>4.招标文件的获取</w:t>
      </w:r>
      <w:bookmarkEnd w:id="18"/>
      <w:bookmarkEnd w:id="19"/>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16"/>
        </w:rPr>
        <w:t>http://www.hzairport.com/tender/index.html</w:t>
      </w:r>
      <w:r>
        <w:rPr>
          <w:rStyle w:val="16"/>
        </w:rPr>
        <w:fldChar w:fldCharType="end"/>
      </w:r>
      <w:r>
        <w:t xml:space="preserve"> </w:t>
      </w:r>
      <w:r>
        <w:rPr>
          <w:rFonts w:hint="eastAsia" w:cs="宋体"/>
        </w:rPr>
        <w:t>自行下载招标文件。</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3"/>
        <w:spacing w:before="70"/>
        <w:ind w:right="157" w:firstLine="422"/>
        <w:rPr>
          <w:rFonts w:ascii="黑体" w:hAnsi="黑体" w:eastAsia="黑体"/>
        </w:rPr>
      </w:pPr>
      <w:bookmarkStart w:id="20" w:name="_bookmark6"/>
      <w:bookmarkEnd w:id="20"/>
      <w:bookmarkStart w:id="21" w:name="_Toc7574"/>
      <w:bookmarkStart w:id="22" w:name="_Toc19852"/>
      <w:r>
        <w:rPr>
          <w:rFonts w:ascii="黑体" w:hAnsi="黑体" w:eastAsia="黑体"/>
        </w:rPr>
        <w:t>5.投标文件的递交</w:t>
      </w:r>
      <w:bookmarkEnd w:id="21"/>
      <w:bookmarkEnd w:id="22"/>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06</w:t>
      </w:r>
      <w:r>
        <w:rPr>
          <w:rFonts w:hint="eastAsia" w:cs="宋体"/>
        </w:rPr>
        <w:t>月</w:t>
      </w:r>
      <w:r>
        <w:rPr>
          <w:rFonts w:hint="eastAsia" w:cs="宋体"/>
          <w:lang w:val="en-US" w:eastAsia="zh-CN"/>
        </w:rPr>
        <w:t>19</w:t>
      </w:r>
      <w:r>
        <w:rPr>
          <w:rFonts w:hint="eastAsia" w:cs="宋体"/>
        </w:rPr>
        <w:t>日</w:t>
      </w:r>
      <w:r>
        <w:rPr>
          <w:rFonts w:hint="eastAsia" w:cs="宋体"/>
          <w:lang w:val="en-US" w:eastAsia="zh-CN"/>
        </w:rPr>
        <w:t>09</w:t>
      </w:r>
      <w:r>
        <w:rPr>
          <w:rFonts w:hint="eastAsia" w:cs="宋体"/>
        </w:rPr>
        <w:t>时</w:t>
      </w:r>
      <w:r>
        <w:rPr>
          <w:rFonts w:hint="eastAsia" w:cs="宋体"/>
          <w:lang w:val="en-US" w:eastAsia="zh-CN"/>
        </w:rPr>
        <w:t>00</w:t>
      </w:r>
      <w:r>
        <w:rPr>
          <w:rFonts w:hint="eastAsia" w:cs="宋体"/>
        </w:rPr>
        <w:t>分，投标文件在封口处加盖公章，派专人于</w:t>
      </w:r>
      <w:r>
        <w:rPr>
          <w:rFonts w:hint="eastAsia" w:ascii="Times New Roman" w:hAnsi="Times New Roman" w:eastAsia="Times New Roman"/>
        </w:rPr>
        <w:t>20</w:t>
      </w:r>
      <w:r>
        <w:rPr>
          <w:rFonts w:ascii="Times New Roman" w:hAnsi="Times New Roman" w:eastAsia="Times New Roman"/>
        </w:rPr>
        <w:t>20</w:t>
      </w:r>
      <w:r>
        <w:rPr>
          <w:rFonts w:hint="eastAsia" w:cs="宋体"/>
        </w:rPr>
        <w:t>年</w:t>
      </w:r>
      <w:r>
        <w:rPr>
          <w:rFonts w:hint="eastAsia" w:ascii="Times New Roman" w:hAnsi="Times New Roman"/>
          <w:lang w:val="en-US" w:eastAsia="zh-CN"/>
        </w:rPr>
        <w:t>06</w:t>
      </w:r>
      <w:r>
        <w:rPr>
          <w:rFonts w:hint="eastAsia" w:cs="宋体"/>
        </w:rPr>
        <w:t>月</w:t>
      </w:r>
      <w:r>
        <w:rPr>
          <w:rFonts w:hint="eastAsia" w:ascii="Times New Roman" w:hAnsi="Times New Roman"/>
          <w:lang w:val="en-US" w:eastAsia="zh-CN"/>
        </w:rPr>
        <w:t>19</w:t>
      </w:r>
      <w:r>
        <w:rPr>
          <w:rFonts w:hint="eastAsia" w:cs="宋体"/>
        </w:rPr>
        <w:t>日上午</w:t>
      </w:r>
      <w:r>
        <w:rPr>
          <w:rFonts w:hint="eastAsia" w:ascii="Times New Roman" w:hAnsi="Times New Roman" w:eastAsia="Times New Roman"/>
        </w:rPr>
        <w:t>9</w:t>
      </w:r>
      <w:r>
        <w:rPr>
          <w:rFonts w:hint="eastAsia" w:cs="宋体"/>
        </w:rPr>
        <w:t>时</w:t>
      </w:r>
      <w:r>
        <w:rPr>
          <w:rFonts w:hint="eastAsia" w:ascii="Times New Roman" w:hAnsi="Times New Roman" w:eastAsia="Times New Roman"/>
        </w:rPr>
        <w:t>00</w:t>
      </w:r>
      <w:r>
        <w:rPr>
          <w:rFonts w:hint="eastAsia" w:cs="宋体"/>
        </w:rPr>
        <w:t>分（北京时间）前送至杭州萧山国际机场翔越路综合服务楼园区招标中心，逾期无效；</w:t>
      </w:r>
      <w:r>
        <w:rPr>
          <w:rFonts w:ascii="宋体" w:hAnsi="宋体" w:cs="宋体"/>
          <w:b/>
          <w:sz w:val="22"/>
        </w:rPr>
        <w:t>特别说明：因疫情防控工作需要，建议各投标人优先采用投递（邮寄）方式递交投标文件。</w:t>
      </w:r>
      <w:r>
        <w:rPr>
          <w:rFonts w:hint="eastAsia" w:cs="宋体"/>
        </w:rPr>
        <w:t>若采用投递（邮寄）方式的，请于</w:t>
      </w:r>
      <w:r>
        <w:rPr>
          <w:rFonts w:hint="eastAsia" w:ascii="Times New Roman" w:hAnsi="Times New Roman" w:eastAsia="Times New Roman"/>
        </w:rPr>
        <w:t>20</w:t>
      </w:r>
      <w:r>
        <w:rPr>
          <w:rFonts w:ascii="Times New Roman" w:hAnsi="Times New Roman" w:eastAsia="Times New Roman"/>
        </w:rPr>
        <w:t>20</w:t>
      </w:r>
      <w:r>
        <w:rPr>
          <w:rFonts w:hint="eastAsia" w:cs="宋体"/>
        </w:rPr>
        <w:t>年</w:t>
      </w:r>
      <w:r>
        <w:rPr>
          <w:rFonts w:hint="eastAsia" w:ascii="Times New Roman" w:hAnsi="Times New Roman"/>
          <w:lang w:val="en-US" w:eastAsia="zh-CN"/>
        </w:rPr>
        <w:t>06</w:t>
      </w:r>
      <w:r>
        <w:rPr>
          <w:rFonts w:hint="eastAsia" w:cs="宋体"/>
        </w:rPr>
        <w:t>月</w:t>
      </w:r>
      <w:r>
        <w:rPr>
          <w:rFonts w:hint="eastAsia" w:ascii="Times New Roman" w:hAnsi="Times New Roman"/>
          <w:lang w:val="en-US" w:eastAsia="zh-CN"/>
        </w:rPr>
        <w:t>19</w:t>
      </w:r>
      <w:r>
        <w:rPr>
          <w:rFonts w:hint="eastAsia" w:cs="宋体"/>
        </w:rPr>
        <w:t>日</w:t>
      </w:r>
      <w:r>
        <w:rPr>
          <w:rFonts w:hint="eastAsia" w:cs="宋体"/>
          <w:lang w:val="en-US" w:eastAsia="zh-CN"/>
        </w:rPr>
        <w:t>09</w:t>
      </w:r>
      <w:r>
        <w:rPr>
          <w:rFonts w:hint="eastAsia" w:cs="宋体"/>
        </w:rPr>
        <w:t>时</w:t>
      </w:r>
      <w:r>
        <w:rPr>
          <w:rFonts w:hint="eastAsia" w:ascii="Times New Roman" w:hAnsi="Times New Roman"/>
          <w:lang w:val="en-US" w:eastAsia="zh-CN"/>
        </w:rPr>
        <w:t>00</w:t>
      </w:r>
      <w:r>
        <w:rPr>
          <w:rFonts w:hint="eastAsia" w:cs="宋体"/>
        </w:rPr>
        <w:t>分（北京时间）</w:t>
      </w:r>
      <w:r>
        <w:rPr>
          <w:rFonts w:ascii="宋体" w:hAnsi="宋体" w:cs="宋体"/>
          <w:sz w:val="22"/>
        </w:rPr>
        <w:t>前投递至杭州萧山国际机场物业维修中心</w:t>
      </w:r>
      <w:r>
        <w:rPr>
          <w:rFonts w:hint="eastAsia" w:ascii="宋体" w:hAnsi="宋体" w:cs="宋体"/>
          <w:sz w:val="22"/>
        </w:rPr>
        <w:t>戴</w:t>
      </w:r>
      <w:r>
        <w:rPr>
          <w:rFonts w:ascii="宋体" w:hAnsi="宋体" w:cs="宋体"/>
          <w:sz w:val="22"/>
        </w:rPr>
        <w:t>工收86662369，逾期无效。</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3"/>
        <w:spacing w:before="70"/>
        <w:ind w:right="157" w:firstLine="422"/>
        <w:rPr>
          <w:rFonts w:ascii="黑体" w:hAnsi="黑体" w:eastAsia="黑体"/>
        </w:rPr>
      </w:pPr>
      <w:bookmarkStart w:id="23" w:name="_bookmark7"/>
      <w:bookmarkEnd w:id="23"/>
      <w:bookmarkStart w:id="24" w:name="_Toc20167"/>
      <w:bookmarkStart w:id="25" w:name="_Toc11513"/>
      <w:r>
        <w:rPr>
          <w:rFonts w:ascii="黑体" w:hAnsi="黑体" w:eastAsia="黑体"/>
        </w:rPr>
        <w:t>6.发布公告的媒介</w:t>
      </w:r>
      <w:bookmarkEnd w:id="24"/>
      <w:bookmarkEnd w:id="25"/>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本次招标公告在中国采购与招标网和杭州萧山机场有限公司主页上发布</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cs="宋体"/>
        </w:rPr>
        <w:t>中国采购与招标网：</w:t>
      </w:r>
      <w:r>
        <w:rPr>
          <w:rFonts w:hint="eastAsia" w:ascii="Times New Roman" w:hAnsi="Times New Roman" w:eastAsia="Times New Roman"/>
        </w:rPr>
        <w:t>http://www.chinabidding.com.cn</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3"/>
        <w:spacing w:before="70"/>
        <w:ind w:right="157" w:firstLine="422"/>
        <w:rPr>
          <w:rFonts w:ascii="黑体" w:hAnsi="黑体" w:eastAsia="黑体"/>
        </w:rPr>
      </w:pPr>
      <w:bookmarkStart w:id="26" w:name="_bookmark8"/>
      <w:bookmarkEnd w:id="26"/>
      <w:bookmarkStart w:id="27" w:name="_Toc12122"/>
      <w:bookmarkStart w:id="28" w:name="_Toc21537"/>
      <w:r>
        <w:rPr>
          <w:rFonts w:ascii="黑体" w:hAnsi="黑体" w:eastAsia="黑体"/>
        </w:rPr>
        <w:t>7.联系方式</w:t>
      </w:r>
      <w:bookmarkEnd w:id="27"/>
      <w:bookmarkEnd w:id="28"/>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投标联系人：戴健忠</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0571-86662369</w:t>
      </w:r>
    </w:p>
    <w:p>
      <w:pPr>
        <w:pStyle w:val="7"/>
        <w:tabs>
          <w:tab w:val="left" w:pos="4394"/>
          <w:tab w:val="left" w:pos="5990"/>
        </w:tabs>
        <w:spacing w:line="331" w:lineRule="auto"/>
        <w:ind w:right="157" w:firstLine="419"/>
        <w:rPr>
          <w:color w:val="0000FF"/>
          <w:highlight w:val="yellow"/>
        </w:rPr>
        <w:sectPr>
          <w:pgSz w:w="12240" w:h="15840"/>
          <w:pgMar w:top="1400" w:right="1640" w:bottom="1120" w:left="1700" w:header="0" w:footer="901" w:gutter="0"/>
          <w:cols w:space="720" w:num="1"/>
        </w:sectPr>
      </w:pPr>
      <w:r>
        <w:rPr>
          <w:rFonts w:hint="eastAsia" w:cs="宋体"/>
        </w:rPr>
        <w:t>招标监督人：杜鑫琴</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w:t>
      </w:r>
      <w:r>
        <w:rPr>
          <w:rFonts w:cs="宋体"/>
        </w:rPr>
        <w:t>571-866623</w:t>
      </w:r>
      <w:bookmarkStart w:id="29" w:name="_bookmark17"/>
      <w:bookmarkEnd w:id="29"/>
      <w:bookmarkStart w:id="30" w:name="_bookmark9"/>
      <w:bookmarkEnd w:id="30"/>
      <w:r>
        <w:rPr>
          <w:rFonts w:cs="宋体"/>
        </w:rPr>
        <w:t>61</w:t>
      </w:r>
    </w:p>
    <w:p>
      <w:pPr>
        <w:spacing w:before="7"/>
        <w:rPr>
          <w:rFonts w:ascii="宋体" w:hAnsi="宋体" w:cs="宋体"/>
          <w:sz w:val="18"/>
          <w:szCs w:val="18"/>
        </w:rPr>
      </w:pPr>
    </w:p>
    <w:p>
      <w:pPr>
        <w:pStyle w:val="2"/>
        <w:spacing w:line="564" w:lineRule="exact"/>
        <w:ind w:right="57"/>
        <w:jc w:val="center"/>
      </w:pPr>
      <w:bookmarkStart w:id="31" w:name="_bookmark18"/>
      <w:bookmarkEnd w:id="31"/>
      <w:bookmarkStart w:id="32" w:name="_Toc28318"/>
      <w:bookmarkStart w:id="33" w:name="_Toc1296"/>
      <w:r>
        <w:t>第</w:t>
      </w:r>
      <w:r>
        <w:rPr>
          <w:rFonts w:hint="eastAsia"/>
        </w:rPr>
        <w:t>二</w:t>
      </w:r>
      <w:r>
        <w:t>章</w:t>
      </w:r>
      <w:r>
        <w:rPr>
          <w:rFonts w:hint="eastAsia"/>
        </w:rPr>
        <w:t xml:space="preserve">  </w:t>
      </w:r>
      <w:r>
        <w:t>投标人须知</w:t>
      </w:r>
      <w:bookmarkEnd w:id="32"/>
      <w:bookmarkEnd w:id="33"/>
    </w:p>
    <w:p>
      <w:pPr>
        <w:pStyle w:val="3"/>
        <w:ind w:firstLine="264" w:firstLineChars="94"/>
        <w:jc w:val="center"/>
        <w:rPr>
          <w:sz w:val="28"/>
          <w:szCs w:val="28"/>
        </w:rPr>
      </w:pPr>
      <w:bookmarkStart w:id="34" w:name="_bookmark19"/>
      <w:bookmarkEnd w:id="34"/>
      <w:bookmarkStart w:id="35" w:name="_Toc6015"/>
      <w:bookmarkStart w:id="36" w:name="_Toc23295"/>
      <w:r>
        <w:rPr>
          <w:sz w:val="28"/>
          <w:szCs w:val="28"/>
        </w:rPr>
        <w:t>投标人须知前附表</w:t>
      </w:r>
      <w:bookmarkEnd w:id="35"/>
      <w:bookmarkEnd w:id="36"/>
    </w:p>
    <w:tbl>
      <w:tblPr>
        <w:tblStyle w:val="13"/>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联系人：戴健忠</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86662369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Style w:val="18"/>
                <w:rFonts w:hint="eastAsia" w:cs="宋体" w:asciiTheme="minorEastAsia" w:hAnsiTheme="minorEastAsia"/>
                <w:sz w:val="22"/>
                <w:u w:val="single"/>
              </w:rPr>
              <w:t>杭州萧山国际机场35KV变电站伸缩门采购</w:t>
            </w:r>
            <w:r>
              <w:rPr>
                <w:rFonts w:hint="eastAsia" w:ascii="宋体" w:hAnsi="宋体" w:cs="宋体"/>
                <w:u w:val="single"/>
              </w:rPr>
              <w:t xml:space="preserve">  </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u w:val="single"/>
              </w:rPr>
              <w:t xml:space="preserve"> </w:t>
            </w:r>
            <w:r>
              <w:rPr>
                <w:rFonts w:ascii="宋体" w:hAnsi="宋体" w:cs="宋体"/>
                <w:u w:val="single"/>
              </w:rPr>
              <w:t>30</w:t>
            </w:r>
            <w:r>
              <w:rPr>
                <w:rFonts w:hint="eastAsia" w:ascii="宋体" w:hAnsi="宋体" w:cs="宋体"/>
                <w:u w:val="single"/>
              </w:rPr>
              <w:t xml:space="preserve"> </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（5）供货期不满足招标文件要求的；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16"/>
                <w:rFonts w:ascii="宋体" w:hAnsi="宋体"/>
              </w:rPr>
              <w:t>zbzx@hzairport.com</w:t>
            </w:r>
            <w:r>
              <w:rPr>
                <w:rStyle w:val="1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16"/>
              </w:rPr>
              <w:t>http://www.hzairport.com/tender/index.html</w:t>
            </w:r>
            <w:r>
              <w:rPr>
                <w:rStyle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16"/>
              </w:rPr>
              <w:t>http://www.hzairport.com/tender/index.html</w:t>
            </w:r>
            <w:r>
              <w:rPr>
                <w:rStyle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37"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37"/>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38" w:name="EB191aa127b49d4a8b95623a875e1177a4"/>
            <w:r>
              <w:rPr>
                <w:rFonts w:ascii="宋体" w:hAnsi="宋体"/>
                <w:u w:val="single"/>
              </w:rPr>
              <w:t>12</w:t>
            </w:r>
            <w:r>
              <w:rPr>
                <w:rFonts w:hint="eastAsia" w:ascii="宋体" w:hAnsi="宋体"/>
                <w:u w:val="single"/>
              </w:rPr>
              <w:t>0</w:t>
            </w:r>
            <w:bookmarkEnd w:id="38"/>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7"/>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7"/>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7"/>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7"/>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8"/>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8"/>
              <w:rPr>
                <w:rFonts w:hAnsi="宋体" w:cs="宋体"/>
                <w:sz w:val="22"/>
                <w:szCs w:val="22"/>
              </w:rPr>
            </w:pPr>
            <w:r>
              <w:rPr>
                <w:rFonts w:hAnsi="宋体" w:cs="宋体"/>
                <w:sz w:val="22"/>
                <w:szCs w:val="22"/>
              </w:rPr>
              <w:t>1、企业法人营业执照；</w:t>
            </w:r>
          </w:p>
          <w:p>
            <w:pPr>
              <w:pStyle w:val="8"/>
              <w:rPr>
                <w:rFonts w:hAnsi="宋体" w:cs="宋体"/>
                <w:sz w:val="22"/>
                <w:szCs w:val="22"/>
              </w:rPr>
            </w:pPr>
            <w:r>
              <w:rPr>
                <w:rFonts w:hAnsi="宋体" w:cs="宋体"/>
                <w:sz w:val="22"/>
                <w:szCs w:val="22"/>
              </w:rPr>
              <w:t>2、法定代表人授权委托书(投标文件委托代理人签字的提供)；</w:t>
            </w:r>
          </w:p>
          <w:p>
            <w:pPr>
              <w:pStyle w:val="8"/>
              <w:rPr>
                <w:rFonts w:hAnsi="宋体" w:cs="宋体"/>
                <w:sz w:val="22"/>
                <w:szCs w:val="22"/>
              </w:rPr>
            </w:pPr>
            <w:sdt>
              <w:sdtPr>
                <w:rPr>
                  <w:rFonts w:hint="eastAsia"/>
                  <w:sz w:val="24"/>
                </w:rPr>
                <w:id w:val="-23046618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39"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39"/>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 xml:space="preserve"> 20</w:t>
            </w:r>
            <w:r>
              <w:rPr>
                <w:rFonts w:ascii="宋体" w:hAnsi="宋体" w:cs="宋体"/>
              </w:rPr>
              <w:t>17</w:t>
            </w:r>
            <w:r>
              <w:rPr>
                <w:rFonts w:hint="eastAsia" w:ascii="宋体" w:hAnsi="宋体" w:cs="宋体"/>
              </w:rPr>
              <w:t>年至2</w:t>
            </w:r>
            <w:r>
              <w:rPr>
                <w:rFonts w:ascii="宋体" w:hAnsi="宋体" w:cs="宋体"/>
              </w:rPr>
              <w:t>019</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ascii="宋体" w:hAnsi="宋体" w:cs="宋体"/>
              </w:rPr>
              <w:t xml:space="preserve"> 2017</w:t>
            </w:r>
            <w:r>
              <w:rPr>
                <w:rFonts w:hint="eastAsia" w:ascii="宋体" w:hAnsi="宋体" w:cs="宋体"/>
              </w:rPr>
              <w:t>年</w:t>
            </w:r>
            <w:r>
              <w:rPr>
                <w:rFonts w:ascii="宋体" w:hAnsi="宋体" w:cs="宋体"/>
              </w:rPr>
              <w:t>1月1日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 xml:space="preserve"> 20</w:t>
            </w:r>
            <w:r>
              <w:rPr>
                <w:rFonts w:ascii="宋体" w:hAnsi="宋体" w:cs="宋体"/>
              </w:rPr>
              <w:t>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hint="eastAsia"/>
                  <w:sz w:val="24"/>
                </w:rPr>
                <w:id w:val="121338634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Style w:val="18"/>
                <w:rFonts w:hint="eastAsia" w:cs="宋体" w:asciiTheme="minorEastAsia" w:hAnsiTheme="minorEastAsia"/>
                <w:sz w:val="22"/>
                <w:u w:val="single"/>
              </w:rPr>
              <w:t>杭州萧山国际机场35KV变电站伸缩门采购项目</w:t>
            </w: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 xml:space="preserve">2020 </w:t>
            </w:r>
            <w:r>
              <w:rPr>
                <w:rFonts w:hint="eastAsia" w:ascii="宋体" w:hAnsi="宋体" w:cs="宋体"/>
              </w:rPr>
              <w:t>年</w:t>
            </w:r>
            <w:r>
              <w:rPr>
                <w:rFonts w:hint="eastAsia" w:ascii="宋体" w:hAnsi="宋体" w:cs="宋体"/>
                <w:u w:val="single"/>
                <w:lang w:val="en-US" w:eastAsia="zh-CN"/>
              </w:rPr>
              <w:t>06</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19</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09</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00</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
                <w:u w:val="single"/>
              </w:rPr>
              <w:t>2020</w:t>
            </w:r>
            <w:r>
              <w:rPr>
                <w:rFonts w:hint="eastAsia" w:ascii="宋体" w:hAnsi="宋体" w:cs="宋体"/>
              </w:rPr>
              <w:t>年</w:t>
            </w:r>
            <w:r>
              <w:rPr>
                <w:rFonts w:hint="eastAsia" w:ascii="宋体" w:hAnsi="宋体" w:cs="宋体"/>
                <w:b/>
                <w:spacing w:val="43"/>
                <w:u w:val="single"/>
              </w:rPr>
              <w:t xml:space="preserve"> </w:t>
            </w:r>
            <w:r>
              <w:rPr>
                <w:rFonts w:hint="eastAsia" w:ascii="宋体" w:hAnsi="宋体" w:cs="宋体"/>
                <w:b/>
                <w:spacing w:val="43"/>
                <w:u w:val="single"/>
                <w:lang w:val="en-US" w:eastAsia="zh-CN"/>
              </w:rPr>
              <w:t>06</w:t>
            </w:r>
            <w:r>
              <w:rPr>
                <w:rFonts w:hint="eastAsia" w:ascii="宋体" w:hAnsi="宋体" w:cs="宋体"/>
                <w:b/>
                <w:spacing w:val="43"/>
                <w:u w:val="single"/>
              </w:rPr>
              <w:t xml:space="preserve"> </w:t>
            </w:r>
            <w:r>
              <w:rPr>
                <w:rFonts w:hint="eastAsia" w:ascii="宋体" w:hAnsi="宋体" w:cs="宋体"/>
              </w:rPr>
              <w:t>月</w:t>
            </w:r>
            <w:r>
              <w:rPr>
                <w:rFonts w:hint="eastAsia" w:ascii="宋体" w:hAnsi="宋体" w:cs="宋体"/>
                <w:b/>
                <w:spacing w:val="43"/>
                <w:u w:val="single"/>
              </w:rPr>
              <w:t xml:space="preserve"> </w:t>
            </w:r>
            <w:r>
              <w:rPr>
                <w:rFonts w:hint="eastAsia" w:ascii="宋体" w:hAnsi="宋体" w:cs="宋体"/>
                <w:b/>
                <w:spacing w:val="43"/>
                <w:u w:val="single"/>
                <w:lang w:val="en-US" w:eastAsia="zh-CN"/>
              </w:rPr>
              <w:t>19</w:t>
            </w:r>
            <w:r>
              <w:rPr>
                <w:rFonts w:hint="eastAsia" w:ascii="宋体" w:hAnsi="宋体" w:cs="宋体"/>
                <w:b/>
                <w:spacing w:val="43"/>
                <w:u w:val="single"/>
              </w:rPr>
              <w:t xml:space="preserve"> </w:t>
            </w:r>
            <w:r>
              <w:rPr>
                <w:rFonts w:hint="eastAsia" w:ascii="宋体" w:hAnsi="宋体" w:cs="宋体"/>
              </w:rPr>
              <w:t>日</w:t>
            </w:r>
            <w:r>
              <w:rPr>
                <w:rFonts w:hint="eastAsia" w:ascii="宋体" w:hAnsi="宋体" w:cs="宋体"/>
                <w:b/>
                <w:spacing w:val="43"/>
                <w:u w:val="single"/>
              </w:rPr>
              <w:t xml:space="preserve"> </w:t>
            </w:r>
            <w:r>
              <w:rPr>
                <w:rFonts w:hint="eastAsia" w:ascii="宋体" w:hAnsi="宋体" w:cs="宋体"/>
                <w:b/>
                <w:spacing w:val="43"/>
                <w:u w:val="single"/>
                <w:lang w:val="en-US" w:eastAsia="zh-CN"/>
              </w:rPr>
              <w:t>09</w:t>
            </w:r>
            <w:r>
              <w:rPr>
                <w:rFonts w:hint="eastAsia" w:ascii="宋体" w:hAnsi="宋体" w:cs="宋体"/>
                <w:b/>
                <w:spacing w:val="43"/>
                <w:u w:val="single"/>
              </w:rPr>
              <w:t xml:space="preserve"> </w:t>
            </w:r>
            <w:r>
              <w:rPr>
                <w:rFonts w:hint="eastAsia" w:ascii="宋体" w:hAnsi="宋体" w:cs="宋体"/>
                <w:spacing w:val="-2"/>
              </w:rPr>
              <w:t>时</w:t>
            </w:r>
            <w:r>
              <w:rPr>
                <w:rFonts w:hint="eastAsia" w:ascii="宋体" w:hAnsi="宋体" w:cs="宋体"/>
                <w:b/>
                <w:spacing w:val="43"/>
                <w:u w:val="single"/>
              </w:rPr>
              <w:t xml:space="preserve"> </w:t>
            </w:r>
            <w:r>
              <w:rPr>
                <w:rFonts w:hint="eastAsia" w:ascii="宋体" w:hAnsi="宋体" w:cs="宋体"/>
                <w:b/>
                <w:spacing w:val="43"/>
                <w:u w:val="single"/>
                <w:lang w:val="en-US" w:eastAsia="zh-CN"/>
              </w:rPr>
              <w:t>00</w:t>
            </w:r>
            <w:r>
              <w:rPr>
                <w:rFonts w:hint="eastAsia" w:ascii="宋体" w:hAnsi="宋体" w:cs="宋体"/>
                <w:b/>
                <w:spacing w:val="43"/>
                <w:u w:val="single"/>
              </w:rPr>
              <w:t xml:space="preserve"> </w:t>
            </w:r>
            <w:r>
              <w:rPr>
                <w:rFonts w:hint="eastAsia" w:ascii="宋体" w:hAnsi="宋体" w:cs="宋体"/>
                <w:spacing w:val="-2"/>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16"/>
              </w:rPr>
              <w:t>http://www.hzairport.com/tender/index.html</w:t>
            </w:r>
            <w:r>
              <w:rPr>
                <w:rStyle w:val="1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40"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 xml:space="preserve"> 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16"/>
        </w:rPr>
        <w:t>http://www.hzairport.com/tender/index.html</w:t>
      </w:r>
      <w:r>
        <w:rPr>
          <w:rStyle w:val="1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16"/>
        </w:rPr>
        <w:t>http://www.hzairport.com/tender/index.html</w:t>
      </w:r>
      <w:r>
        <w:rPr>
          <w:rStyle w:val="1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before="240" w:line="360" w:lineRule="exact"/>
        <w:ind w:firstLine="440" w:firstLineChars="200"/>
        <w:rPr>
          <w:rFonts w:ascii="宋体" w:hAnsi="宋体" w:cs="宋体"/>
          <w:kern w:val="0"/>
          <w:sz w:val="22"/>
        </w:rPr>
      </w:pPr>
      <w:r>
        <w:rPr>
          <w:rFonts w:hint="eastAsia" w:ascii="宋体" w:hAnsi="宋体" w:cs="宋体"/>
          <w:kern w:val="0"/>
          <w:sz w:val="22"/>
        </w:rPr>
        <w:t>(5)投标保证金（若有）；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 90 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出现特殊情况需要延长投标有效期的，招标人以书面形式通知所有投标人延长投标有效期。投标人应予以书面答复，同意延长的，不得要求或被允许修改其投标文件；投标人拒绝延长的，其投标失效。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投标保证金（若有）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w:t>
      </w:r>
      <w:r>
        <w:rPr>
          <w:rFonts w:ascii="宋体" w:hAnsi="宋体" w:cs="宋体"/>
          <w:kern w:val="0"/>
          <w:sz w:val="22"/>
        </w:rPr>
        <w:t>3</w:t>
      </w:r>
      <w:r>
        <w:rPr>
          <w:rFonts w:hint="eastAsia" w:ascii="宋体" w:hAnsi="宋体" w:cs="宋体"/>
          <w:kern w:val="0"/>
          <w:sz w:val="22"/>
        </w:rPr>
        <w:t xml:space="preserve">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履约保证金（若有）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41" w:name="_Toc15553"/>
      <w:bookmarkStart w:id="42" w:name="_Toc220123242"/>
      <w:bookmarkStart w:id="43" w:name="_Toc21980980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41"/>
      <w:bookmarkEnd w:id="42"/>
      <w:bookmarkEnd w:id="43"/>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44" w:name="_Toc18806"/>
      <w:bookmarkStart w:id="45" w:name="_Toc219809803"/>
      <w:bookmarkStart w:id="46" w:name="_Toc220123243"/>
      <w:r>
        <w:rPr>
          <w:rFonts w:hint="eastAsia" w:ascii="宋体" w:hAnsi="宋体" w:cs="宋体"/>
          <w:b/>
          <w:kern w:val="0"/>
          <w:sz w:val="22"/>
        </w:rPr>
        <w:t>8.2 不再招标</w:t>
      </w:r>
      <w:bookmarkEnd w:id="44"/>
      <w:bookmarkEnd w:id="45"/>
      <w:bookmarkEnd w:id="46"/>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 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40"/>
    <w:p>
      <w:pPr>
        <w:pStyle w:val="4"/>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7"/>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7"/>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13"/>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exact"/>
              <w:jc w:val="center"/>
              <w:rPr>
                <w:rFonts w:ascii="宋体" w:hAnsi="宋体" w:cs="宋体"/>
                <w:sz w:val="22"/>
              </w:rPr>
            </w:pPr>
            <w:r>
              <w:rPr>
                <w:rFonts w:hint="eastAsia" w:ascii="宋体" w:hAnsi="宋体" w:cs="宋体"/>
                <w:sz w:val="22"/>
              </w:rPr>
              <w:t>投标报价</w:t>
            </w:r>
          </w:p>
          <w:p>
            <w:pPr>
              <w:pStyle w:val="19"/>
              <w:spacing w:line="360" w:lineRule="exact"/>
              <w:jc w:val="center"/>
              <w:rPr>
                <w:rFonts w:ascii="宋体" w:hAnsi="宋体" w:cs="宋体"/>
                <w:sz w:val="22"/>
              </w:rPr>
            </w:pPr>
            <w:r>
              <w:rPr>
                <w:rFonts w:hint="eastAsia" w:ascii="宋体" w:hAnsi="宋体" w:cs="宋体"/>
                <w:sz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exact"/>
              <w:jc w:val="center"/>
              <w:rPr>
                <w:rFonts w:ascii="宋体" w:hAnsi="宋体" w:cs="宋体"/>
                <w:sz w:val="22"/>
              </w:rPr>
            </w:pPr>
            <w:r>
              <w:rPr>
                <w:rFonts w:hint="eastAsia" w:ascii="宋体" w:hAnsi="宋体" w:cs="宋体"/>
                <w:sz w:val="22"/>
              </w:rPr>
              <w:t>投标人代表</w:t>
            </w:r>
          </w:p>
          <w:p>
            <w:pPr>
              <w:pStyle w:val="19"/>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exact"/>
              <w:jc w:val="center"/>
              <w:rPr>
                <w:rFonts w:ascii="宋体" w:hAnsi="宋体" w:cs="宋体"/>
                <w:sz w:val="22"/>
              </w:rPr>
            </w:pPr>
            <w:r>
              <w:rPr>
                <w:rFonts w:hint="eastAsia" w:ascii="宋体" w:hAnsi="宋体" w:cs="宋体"/>
                <w:sz w:val="22"/>
              </w:rPr>
              <w:t>投标人代表</w:t>
            </w:r>
          </w:p>
          <w:p>
            <w:pPr>
              <w:pStyle w:val="19"/>
              <w:spacing w:line="360" w:lineRule="exact"/>
              <w:jc w:val="center"/>
              <w:rPr>
                <w:rFonts w:ascii="宋体" w:hAnsi="宋体" w:cs="宋体"/>
                <w:sz w:val="22"/>
              </w:rPr>
            </w:pPr>
            <w:r>
              <w:rPr>
                <w:rFonts w:hint="eastAsia" w:ascii="宋体" w:hAnsi="宋体" w:cs="宋体"/>
                <w:sz w:val="22"/>
              </w:rPr>
              <w:t>联系电话</w:t>
            </w: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7"/>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7"/>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4"/>
        <w:spacing w:line="363" w:lineRule="exact"/>
        <w:ind w:right="113"/>
        <w:jc w:val="left"/>
      </w:pPr>
      <w:bookmarkStart w:id="47" w:name="_bookmark76"/>
      <w:bookmarkEnd w:id="47"/>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48" w:name="_bookmark77"/>
      <w:bookmarkEnd w:id="48"/>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49" w:name="_bookmark78"/>
      <w:bookmarkEnd w:id="49"/>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4"/>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1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联系人：戴健忠         联系电话：0</w:t>
      </w:r>
      <w:r>
        <w:rPr>
          <w:rFonts w:ascii="宋体" w:hAnsi="宋体" w:cs="宋体"/>
          <w:sz w:val="24"/>
        </w:rPr>
        <w:t>571-86662369</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17"/>
          <w:sz w:val="40"/>
          <w:szCs w:val="40"/>
        </w:rPr>
      </w:pPr>
    </w:p>
    <w:p>
      <w:pPr>
        <w:widowControl/>
        <w:jc w:val="left"/>
        <w:rPr>
          <w:rStyle w:val="17"/>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50" w:name="_Toc19678"/>
      <w:bookmarkStart w:id="51" w:name="_Toc19243"/>
      <w:r>
        <w:rPr>
          <w:rFonts w:hint="eastAsia"/>
        </w:rPr>
        <w:t>第三章</w:t>
      </w:r>
      <w:r>
        <w:t xml:space="preserve">  </w:t>
      </w:r>
      <w:r>
        <w:rPr>
          <w:rFonts w:hint="eastAsia"/>
        </w:rPr>
        <w:t>评标办法</w:t>
      </w:r>
      <w:bookmarkEnd w:id="50"/>
      <w:bookmarkEnd w:id="51"/>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16"/>
          <w:rFonts w:hint="eastAsia" w:cs="宋体"/>
        </w:rPr>
        <w:t>www.creditchina.gov.cn</w:t>
      </w:r>
      <w:r>
        <w:rPr>
          <w:rStyle w:val="1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16"/>
          <w:rFonts w:hint="eastAsia" w:cs="宋体"/>
        </w:rPr>
        <w:t>http://wenshu.court.gov.cn</w:t>
      </w:r>
      <w:r>
        <w:rPr>
          <w:rStyle w:val="16"/>
          <w:rFonts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hint="eastAsia"/>
            <w:b/>
            <w:sz w:val="24"/>
          </w:rPr>
          <w:id w:val="87276554"/>
          <w14:checkbox>
            <w14:checked w14:val="1"/>
            <w14:checkedState w14:val="0052" w14:font="Wingdings 2"/>
            <w14:uncheckedState w14:val="2610" w14:font="MS Gothic"/>
          </w14:checkbox>
        </w:sdtPr>
        <w:sdtEndPr>
          <w:rPr>
            <w:rFonts w:hint="eastAsia"/>
            <w:b/>
            <w:sz w:val="24"/>
          </w:rPr>
        </w:sdtEndPr>
        <w:sdtContent>
          <w:r>
            <w:rPr>
              <w:rFonts w:hint="eastAsia"/>
              <w:b/>
              <w:sz w:val="24"/>
            </w:rPr>
            <w:sym w:font="Wingdings 2" w:char="F052"/>
          </w:r>
        </w:sdtContent>
      </w:sdt>
      <w:r>
        <w:rPr>
          <w:rFonts w:hint="eastAsia" w:ascii="宋体" w:hAnsi="宋体" w:cs="宋体"/>
          <w:b/>
          <w:sz w:val="22"/>
        </w:rPr>
        <w:t xml:space="preserve"> </w:t>
      </w:r>
      <w:r>
        <w:rPr>
          <w:rFonts w:ascii="宋体" w:hAnsi="宋体" w:cs="宋体"/>
          <w:b/>
          <w:sz w:val="22"/>
        </w:rPr>
        <w:t>40分</w:t>
      </w:r>
      <w:r>
        <w:rPr>
          <w:rFonts w:hint="eastAsia" w:ascii="宋体" w:hAnsi="宋体" w:cs="宋体"/>
          <w:b/>
          <w:sz w:val="22"/>
        </w:rPr>
        <w:t xml:space="preserve"> </w:t>
      </w:r>
      <w:sdt>
        <w:sdtPr>
          <w:rPr>
            <w:rFonts w:hint="eastAsia"/>
            <w:b/>
            <w:sz w:val="24"/>
          </w:rPr>
          <w:id w:val="899104156"/>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30分</w:t>
      </w:r>
      <w:r>
        <w:rPr>
          <w:rFonts w:hint="eastAsia" w:ascii="宋体" w:hAnsi="宋体" w:cs="宋体"/>
          <w:b/>
          <w:sz w:val="22"/>
        </w:rPr>
        <w:t xml:space="preserve"> </w:t>
      </w:r>
      <w:sdt>
        <w:sdtPr>
          <w:rPr>
            <w:rFonts w:hint="eastAsia"/>
            <w:b/>
            <w:sz w:val="24"/>
          </w:rPr>
          <w:id w:val="-44457904"/>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20分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资信及技术评分分值设定标准</w:t>
      </w:r>
    </w:p>
    <w:tbl>
      <w:tblPr>
        <w:tblStyle w:val="1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8"/>
        <w:gridCol w:w="440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28" w:type="dxa"/>
            <w:vAlign w:val="center"/>
          </w:tcPr>
          <w:p>
            <w:pPr>
              <w:snapToGrid w:val="0"/>
              <w:jc w:val="center"/>
              <w:rPr>
                <w:rFonts w:ascii="宋体"/>
                <w:b/>
                <w:bCs/>
                <w:sz w:val="22"/>
              </w:rPr>
            </w:pPr>
            <w:r>
              <w:rPr>
                <w:rFonts w:hint="eastAsia" w:ascii="宋体" w:hAnsi="宋体" w:cs="宋体"/>
                <w:b/>
                <w:bCs/>
                <w:sz w:val="22"/>
              </w:rPr>
              <w:t>评定项目</w:t>
            </w:r>
          </w:p>
        </w:tc>
        <w:tc>
          <w:tcPr>
            <w:tcW w:w="4405" w:type="dxa"/>
            <w:vAlign w:val="center"/>
          </w:tcPr>
          <w:p>
            <w:pPr>
              <w:snapToGrid w:val="0"/>
              <w:jc w:val="center"/>
              <w:rPr>
                <w:rFonts w:ascii="宋体" w:hAnsi="宋体" w:cs="宋体"/>
                <w:b/>
                <w:bCs/>
                <w:sz w:val="22"/>
              </w:rPr>
            </w:pPr>
            <w:r>
              <w:rPr>
                <w:rFonts w:hint="eastAsia" w:ascii="宋体" w:hAnsi="宋体" w:cs="宋体"/>
                <w:b/>
                <w:bCs/>
                <w:sz w:val="22"/>
              </w:rPr>
              <w:t>评定标准</w:t>
            </w:r>
          </w:p>
        </w:tc>
        <w:tc>
          <w:tcPr>
            <w:tcW w:w="1422" w:type="dxa"/>
            <w:vAlign w:val="center"/>
          </w:tcPr>
          <w:p>
            <w:pPr>
              <w:snapToGrid w:val="0"/>
              <w:jc w:val="center"/>
              <w:rPr>
                <w:rFonts w:ascii="宋体"/>
                <w:b/>
                <w:bCs/>
                <w:sz w:val="22"/>
              </w:rPr>
            </w:pPr>
            <w:r>
              <w:rPr>
                <w:rFonts w:hint="eastAsia" w:ascii="宋体" w:hAnsi="宋体" w:cs="宋体"/>
                <w:b/>
                <w:bCs/>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28" w:type="dxa"/>
          </w:tcPr>
          <w:p>
            <w:pPr>
              <w:pStyle w:val="6"/>
              <w:snapToGrid w:val="0"/>
              <w:jc w:val="left"/>
              <w:rPr>
                <w:sz w:val="22"/>
                <w:szCs w:val="22"/>
              </w:rPr>
            </w:pPr>
            <w:r>
              <w:rPr>
                <w:rFonts w:hint="eastAsia"/>
                <w:sz w:val="22"/>
                <w:szCs w:val="22"/>
              </w:rPr>
              <w:t>投标人企业规模、得奖情况(提供相关的证明)</w:t>
            </w:r>
          </w:p>
        </w:tc>
        <w:tc>
          <w:tcPr>
            <w:tcW w:w="4405" w:type="dxa"/>
          </w:tcPr>
          <w:p>
            <w:pPr>
              <w:pStyle w:val="6"/>
              <w:snapToGrid w:val="0"/>
              <w:jc w:val="left"/>
              <w:rPr>
                <w:rFonts w:hAnsi="宋体" w:cs="宋体"/>
                <w:sz w:val="22"/>
                <w:szCs w:val="22"/>
              </w:rPr>
            </w:pPr>
            <w:r>
              <w:rPr>
                <w:rFonts w:hint="eastAsia"/>
                <w:sz w:val="22"/>
                <w:szCs w:val="22"/>
              </w:rPr>
              <w:t>根据投标人的企业规模，政府或行业或被服务方提供的奖励、表扬等情况</w:t>
            </w:r>
            <w:r>
              <w:rPr>
                <w:rFonts w:hint="eastAsia" w:hAnsi="宋体" w:cs="宋体"/>
                <w:sz w:val="22"/>
                <w:szCs w:val="22"/>
              </w:rPr>
              <w:t>酌情打分</w:t>
            </w:r>
          </w:p>
        </w:tc>
        <w:tc>
          <w:tcPr>
            <w:tcW w:w="1422" w:type="dxa"/>
          </w:tcPr>
          <w:p>
            <w:pPr>
              <w:pStyle w:val="6"/>
              <w:snapToGrid w:val="0"/>
              <w:jc w:val="center"/>
              <w:rPr>
                <w:sz w:val="22"/>
                <w:szCs w:val="22"/>
              </w:rPr>
            </w:pPr>
            <w:r>
              <w:rPr>
                <w:rFonts w:hAnsi="宋体" w:cs="宋体"/>
                <w:sz w:val="22"/>
                <w:szCs w:val="22"/>
              </w:rPr>
              <w:t>1—6</w:t>
            </w:r>
            <w:r>
              <w:rPr>
                <w:rFonts w:hint="eastAsia"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28" w:type="dxa"/>
          </w:tcPr>
          <w:p>
            <w:pPr>
              <w:pStyle w:val="6"/>
              <w:snapToGrid w:val="0"/>
              <w:jc w:val="left"/>
              <w:rPr>
                <w:sz w:val="22"/>
                <w:szCs w:val="22"/>
              </w:rPr>
            </w:pPr>
            <w:r>
              <w:rPr>
                <w:rFonts w:hint="eastAsia" w:hAnsi="宋体"/>
                <w:color w:val="000000"/>
                <w:sz w:val="22"/>
                <w:szCs w:val="22"/>
              </w:rPr>
              <w:t>投标货物技术指标的符合性、优越性</w:t>
            </w:r>
          </w:p>
        </w:tc>
        <w:tc>
          <w:tcPr>
            <w:tcW w:w="4405" w:type="dxa"/>
          </w:tcPr>
          <w:p>
            <w:pPr>
              <w:pStyle w:val="6"/>
              <w:snapToGrid w:val="0"/>
              <w:jc w:val="left"/>
              <w:rPr>
                <w:sz w:val="22"/>
                <w:szCs w:val="22"/>
              </w:rPr>
            </w:pPr>
            <w:r>
              <w:rPr>
                <w:rFonts w:hint="eastAsia"/>
                <w:sz w:val="22"/>
                <w:szCs w:val="22"/>
              </w:rPr>
              <w:t>参考所提供材料的品牌、材质、性能等情况酌情打分</w:t>
            </w:r>
          </w:p>
        </w:tc>
        <w:tc>
          <w:tcPr>
            <w:tcW w:w="1422" w:type="dxa"/>
          </w:tcPr>
          <w:p>
            <w:pPr>
              <w:pStyle w:val="6"/>
              <w:snapToGrid w:val="0"/>
              <w:jc w:val="center"/>
              <w:rPr>
                <w:sz w:val="22"/>
                <w:szCs w:val="22"/>
              </w:rPr>
            </w:pPr>
            <w:r>
              <w:rPr>
                <w:rFonts w:hAnsi="宋体" w:cs="宋体"/>
                <w:sz w:val="22"/>
                <w:szCs w:val="22"/>
              </w:rPr>
              <w:t>1—8</w:t>
            </w:r>
            <w:r>
              <w:rPr>
                <w:rFonts w:hint="eastAsia"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28" w:type="dxa"/>
          </w:tcPr>
          <w:p>
            <w:pPr>
              <w:pStyle w:val="6"/>
              <w:snapToGrid w:val="0"/>
              <w:jc w:val="left"/>
              <w:rPr>
                <w:sz w:val="22"/>
                <w:szCs w:val="22"/>
              </w:rPr>
            </w:pPr>
            <w:r>
              <w:rPr>
                <w:rFonts w:hint="eastAsia" w:hAnsi="宋体"/>
                <w:color w:val="000000"/>
                <w:sz w:val="22"/>
              </w:rPr>
              <w:t>投标人加工能力、制造水平</w:t>
            </w:r>
          </w:p>
        </w:tc>
        <w:tc>
          <w:tcPr>
            <w:tcW w:w="4405" w:type="dxa"/>
            <w:vAlign w:val="center"/>
          </w:tcPr>
          <w:p>
            <w:pPr>
              <w:pStyle w:val="6"/>
              <w:snapToGrid w:val="0"/>
              <w:jc w:val="left"/>
              <w:rPr>
                <w:sz w:val="22"/>
                <w:szCs w:val="22"/>
              </w:rPr>
            </w:pPr>
            <w:r>
              <w:rPr>
                <w:rFonts w:hint="eastAsia"/>
                <w:sz w:val="22"/>
                <w:szCs w:val="22"/>
              </w:rPr>
              <w:t>根据投标人企业的加工能力、制造水平酌情打分</w:t>
            </w:r>
          </w:p>
        </w:tc>
        <w:tc>
          <w:tcPr>
            <w:tcW w:w="1422" w:type="dxa"/>
            <w:vAlign w:val="center"/>
          </w:tcPr>
          <w:p>
            <w:pPr>
              <w:snapToGrid w:val="0"/>
              <w:jc w:val="center"/>
              <w:rPr>
                <w:rFonts w:ascii="宋体"/>
                <w:sz w:val="22"/>
              </w:rPr>
            </w:pPr>
            <w:r>
              <w:rPr>
                <w:rFonts w:ascii="宋体"/>
                <w:sz w:val="22"/>
              </w:rPr>
              <w:t>1</w:t>
            </w:r>
            <w:r>
              <w:rPr>
                <w:rFonts w:hint="eastAsia" w:ascii="宋体"/>
                <w:sz w:val="22"/>
              </w:rPr>
              <w:t>—</w:t>
            </w:r>
            <w:r>
              <w:rPr>
                <w:rFonts w:ascii="宋体"/>
                <w:sz w:val="22"/>
              </w:rPr>
              <w:t>8</w:t>
            </w:r>
            <w:r>
              <w:rPr>
                <w:rFonts w:hint="eastAsia" w:ascii="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28" w:type="dxa"/>
          </w:tcPr>
          <w:p>
            <w:pPr>
              <w:pStyle w:val="6"/>
              <w:snapToGrid w:val="0"/>
              <w:jc w:val="left"/>
              <w:rPr>
                <w:sz w:val="22"/>
                <w:szCs w:val="22"/>
              </w:rPr>
            </w:pPr>
          </w:p>
          <w:p>
            <w:pPr>
              <w:pStyle w:val="6"/>
              <w:snapToGrid w:val="0"/>
              <w:jc w:val="left"/>
              <w:rPr>
                <w:sz w:val="22"/>
                <w:szCs w:val="22"/>
              </w:rPr>
            </w:pPr>
            <w:r>
              <w:rPr>
                <w:rFonts w:hint="eastAsia"/>
                <w:sz w:val="22"/>
                <w:szCs w:val="22"/>
              </w:rPr>
              <w:t>是否具有同类施工经验（以合同为准）</w:t>
            </w:r>
          </w:p>
        </w:tc>
        <w:tc>
          <w:tcPr>
            <w:tcW w:w="4405" w:type="dxa"/>
            <w:vAlign w:val="center"/>
          </w:tcPr>
          <w:p>
            <w:pPr>
              <w:pStyle w:val="6"/>
              <w:snapToGrid w:val="0"/>
              <w:jc w:val="left"/>
              <w:rPr>
                <w:sz w:val="22"/>
                <w:szCs w:val="22"/>
              </w:rPr>
            </w:pPr>
            <w:r>
              <w:rPr>
                <w:rFonts w:hint="eastAsia"/>
                <w:sz w:val="22"/>
                <w:szCs w:val="22"/>
              </w:rPr>
              <w:t>根据是否有同类施工经验的的酌情打分（以提供合同等依据分准:有一个业绩得1分、有2个业绩的得2分、有3个业绩的得3分、4个业绩的得5分，5个业绩得6分，6个业绩及以上的得8分）</w:t>
            </w:r>
          </w:p>
        </w:tc>
        <w:tc>
          <w:tcPr>
            <w:tcW w:w="1422" w:type="dxa"/>
            <w:vAlign w:val="center"/>
          </w:tcPr>
          <w:p>
            <w:pPr>
              <w:snapToGrid w:val="0"/>
              <w:jc w:val="center"/>
              <w:rPr>
                <w:rFonts w:ascii="宋体"/>
                <w:sz w:val="22"/>
                <w:highlight w:val="yellow"/>
              </w:rPr>
            </w:pPr>
            <w:r>
              <w:rPr>
                <w:rFonts w:hint="eastAsia" w:ascii="宋体" w:hAnsi="宋体" w:cs="宋体"/>
                <w:sz w:val="22"/>
              </w:rPr>
              <w:t>0</w:t>
            </w:r>
            <w:r>
              <w:rPr>
                <w:rFonts w:ascii="宋体" w:hAnsi="宋体" w:cs="宋体"/>
                <w:sz w:val="22"/>
              </w:rPr>
              <w:t>—8</w:t>
            </w:r>
            <w:r>
              <w:rPr>
                <w:rFonts w:hint="eastAsia" w:ascii="宋体" w:hAnsi="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28" w:type="dxa"/>
          </w:tcPr>
          <w:p>
            <w:pPr>
              <w:pStyle w:val="6"/>
              <w:snapToGrid w:val="0"/>
              <w:jc w:val="left"/>
              <w:rPr>
                <w:sz w:val="22"/>
                <w:szCs w:val="22"/>
              </w:rPr>
            </w:pPr>
            <w:r>
              <w:rPr>
                <w:rFonts w:hint="eastAsia" w:hAnsi="宋体" w:cs="宋体"/>
                <w:sz w:val="22"/>
                <w:szCs w:val="22"/>
              </w:rPr>
              <w:t>产品质保期内的技术服务和售后服务的内容，措施和承诺</w:t>
            </w:r>
          </w:p>
        </w:tc>
        <w:tc>
          <w:tcPr>
            <w:tcW w:w="4405" w:type="dxa"/>
            <w:vAlign w:val="center"/>
          </w:tcPr>
          <w:p>
            <w:pPr>
              <w:pStyle w:val="6"/>
              <w:snapToGrid w:val="0"/>
              <w:jc w:val="left"/>
              <w:rPr>
                <w:rFonts w:hAnsi="宋体" w:cs="宋体"/>
                <w:sz w:val="22"/>
                <w:szCs w:val="22"/>
              </w:rPr>
            </w:pPr>
            <w:r>
              <w:rPr>
                <w:rFonts w:hint="eastAsia" w:hAnsi="宋体"/>
                <w:color w:val="000000"/>
                <w:sz w:val="22"/>
              </w:rPr>
              <w:t>投标人是否具有较强的本地化服务能力、售后服务承诺、提供的售后服务方案的可行性、完整性以及服务承诺落实的保障措施，质保期内外的后续技术支持和维护能力情况等进行酌情打分。</w:t>
            </w:r>
          </w:p>
        </w:tc>
        <w:tc>
          <w:tcPr>
            <w:tcW w:w="1422" w:type="dxa"/>
            <w:vAlign w:val="center"/>
          </w:tcPr>
          <w:p>
            <w:pPr>
              <w:widowControl/>
              <w:snapToGrid w:val="0"/>
              <w:jc w:val="center"/>
              <w:rPr>
                <w:rFonts w:ascii="宋体"/>
                <w:sz w:val="22"/>
              </w:rPr>
            </w:pPr>
            <w:r>
              <w:rPr>
                <w:rFonts w:ascii="宋体" w:hAnsi="宋体" w:cs="宋体"/>
                <w:sz w:val="22"/>
              </w:rPr>
              <w:t>2</w:t>
            </w:r>
            <w:r>
              <w:rPr>
                <w:rFonts w:hint="eastAsia" w:ascii="宋体" w:hAnsi="宋体" w:cs="宋体"/>
                <w:sz w:val="22"/>
              </w:rPr>
              <w:t>－1</w:t>
            </w:r>
            <w:r>
              <w:rPr>
                <w:rFonts w:ascii="宋体" w:hAnsi="宋体" w:cs="宋体"/>
                <w:sz w:val="22"/>
              </w:rPr>
              <w:t>0</w:t>
            </w:r>
            <w:r>
              <w:rPr>
                <w:rFonts w:hint="eastAsia" w:ascii="宋体" w:hAnsi="宋体" w:cs="宋体"/>
                <w:sz w:val="22"/>
              </w:rPr>
              <w:t>分</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hint="eastAsia"/>
            <w:b/>
            <w:sz w:val="24"/>
          </w:rPr>
          <w:id w:val="-574666289"/>
          <w14:checkbox>
            <w14:checked w14:val="1"/>
            <w14:checkedState w14:val="0052" w14:font="Wingdings 2"/>
            <w14:uncheckedState w14:val="2610" w14:font="MS Gothic"/>
          </w14:checkbox>
        </w:sdtPr>
        <w:sdtEndPr>
          <w:rPr>
            <w:rFonts w:hint="eastAsia"/>
            <w:b/>
            <w:sz w:val="24"/>
          </w:rPr>
        </w:sdtEndPr>
        <w:sdtContent>
          <w:r>
            <w:rPr>
              <w:rFonts w:hint="eastAsia"/>
              <w:b/>
              <w:sz w:val="24"/>
            </w:rPr>
            <w:sym w:font="Wingdings 2" w:char="F052"/>
          </w:r>
        </w:sdtContent>
      </w:sdt>
      <w:r>
        <w:rPr>
          <w:rFonts w:hint="eastAsia" w:ascii="宋体" w:hAnsi="宋体" w:cs="宋体"/>
          <w:b/>
          <w:sz w:val="22"/>
        </w:rPr>
        <w:t xml:space="preserve"> </w:t>
      </w:r>
      <w:r>
        <w:rPr>
          <w:rFonts w:ascii="宋体" w:hAnsi="宋体" w:cs="宋体"/>
          <w:b/>
          <w:sz w:val="22"/>
        </w:rPr>
        <w:t>60分</w:t>
      </w:r>
      <w:r>
        <w:rPr>
          <w:rFonts w:hint="eastAsia" w:ascii="宋体" w:hAnsi="宋体" w:cs="宋体"/>
          <w:b/>
          <w:sz w:val="22"/>
        </w:rPr>
        <w:t xml:space="preserve"> </w:t>
      </w:r>
      <w:sdt>
        <w:sdtPr>
          <w:rPr>
            <w:rFonts w:hint="eastAsia"/>
            <w:b/>
            <w:sz w:val="24"/>
          </w:rPr>
          <w:id w:val="1050648990"/>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70分</w:t>
      </w:r>
      <w:r>
        <w:rPr>
          <w:rFonts w:hint="eastAsia" w:ascii="宋体" w:hAnsi="宋体" w:cs="宋体"/>
          <w:b/>
          <w:sz w:val="22"/>
        </w:rPr>
        <w:t xml:space="preserve"> </w:t>
      </w:r>
      <w:sdt>
        <w:sdtPr>
          <w:rPr>
            <w:rFonts w:hint="eastAsia"/>
            <w:b/>
            <w:sz w:val="24"/>
          </w:rPr>
          <w:id w:val="294255562"/>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80分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514347318"/>
          <w14:checkbox>
            <w14:checked w14:val="1"/>
            <w14:checkedState w14:val="0052" w14:font="Wingdings 2"/>
            <w14:uncheckedState w14:val="2610" w14:font="MS Gothic"/>
          </w14:checkbox>
        </w:sdtPr>
        <w:sdtEndPr>
          <w:rPr>
            <w:rFonts w:hint="eastAsia"/>
            <w:b/>
            <w:sz w:val="24"/>
          </w:rPr>
        </w:sdtEndPr>
        <w:sdtContent>
          <w:r>
            <w:rPr>
              <w:rFonts w:hint="eastAsia"/>
              <w:b/>
              <w:sz w:val="24"/>
            </w:rPr>
            <w:sym w:font="Wingdings 2" w:char="F052"/>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w:t>
      </w:r>
      <w:r>
        <w:rPr>
          <w:rFonts w:ascii="宋体" w:hAnsi="宋体" w:cs="宋体"/>
          <w:sz w:val="22"/>
        </w:rPr>
        <w:t>6</w:t>
      </w:r>
      <w:r>
        <w:rPr>
          <w:rFonts w:hint="eastAsia" w:ascii="宋体" w:hAnsi="宋体" w:cs="宋体"/>
          <w:sz w:val="22"/>
        </w:rPr>
        <w:t>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20"/>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151338423"/>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最低价法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（2）评标基准价：评标基准价为所有有效投标报价的最低价。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w:t>
      </w:r>
      <w:r>
        <w:rPr>
          <w:rFonts w:ascii="宋体" w:hAnsi="宋体" w:cs="宋体"/>
          <w:sz w:val="22"/>
        </w:rPr>
        <w:t>6</w:t>
      </w:r>
      <w:r>
        <w:rPr>
          <w:rFonts w:hint="eastAsia" w:ascii="宋体" w:hAnsi="宋体" w:cs="宋体"/>
          <w:sz w:val="22"/>
        </w:rPr>
        <w:t>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20"/>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272164391"/>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平均价法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（2）评标基准价：进入评分范围的投标评标价的算术平均值为评标基准价（投标评标价在5个及以上时，去除一个最高价和一个最低价；投标评标价在8个及以上时，去除一个最高、次高价和一个最低、次低价）。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a.投标评标价等于评标基准价时，得满分</w:t>
      </w:r>
      <w:r>
        <w:rPr>
          <w:rFonts w:ascii="宋体" w:hAnsi="宋体" w:cs="宋体"/>
          <w:sz w:val="22"/>
        </w:rPr>
        <w:t>6</w:t>
      </w:r>
      <w:r>
        <w:rPr>
          <w:rFonts w:hint="eastAsia" w:ascii="宋体" w:hAnsi="宋体" w:cs="宋体"/>
          <w:sz w:val="22"/>
        </w:rPr>
        <w:t>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以上报价得分不足一个百分点时，使用直线插入法计算，保留小数2位；</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pPr>
      <w:r>
        <w:rPr>
          <w:rStyle w:val="17"/>
          <w:b w:val="0"/>
          <w:bCs w:val="0"/>
          <w:sz w:val="40"/>
          <w:szCs w:val="40"/>
        </w:rPr>
        <w:br w:type="page"/>
      </w:r>
      <w:bookmarkStart w:id="52" w:name="_Toc32660"/>
      <w:bookmarkStart w:id="53" w:name="_Toc24621"/>
      <w:r>
        <w:rPr>
          <w:rFonts w:hint="eastAsia"/>
        </w:rPr>
        <w:t>第四章</w:t>
      </w:r>
      <w:r>
        <w:t xml:space="preserve">  </w:t>
      </w:r>
      <w:r>
        <w:rPr>
          <w:rFonts w:hint="eastAsia"/>
        </w:rPr>
        <w:t>合同条款及格式</w:t>
      </w:r>
      <w:bookmarkEnd w:id="52"/>
      <w:bookmarkEnd w:id="53"/>
    </w:p>
    <w:p>
      <w:pPr>
        <w:adjustRightInd w:val="0"/>
        <w:snapToGrid w:val="0"/>
        <w:spacing w:line="360" w:lineRule="exact"/>
        <w:ind w:firstLine="452"/>
        <w:jc w:val="left"/>
        <w:rPr>
          <w:rFonts w:ascii="宋体" w:hAnsi="宋体"/>
          <w:b/>
          <w:sz w:val="22"/>
        </w:rPr>
      </w:pPr>
      <w:r>
        <w:rPr>
          <w:rFonts w:hint="eastAsia" w:ascii="宋体" w:hAnsi="宋体"/>
          <w:b/>
          <w:sz w:val="22"/>
        </w:rPr>
        <w:t>甲方：杭州萧山国际机场有限公司</w:t>
      </w:r>
    </w:p>
    <w:p>
      <w:pPr>
        <w:adjustRightInd w:val="0"/>
        <w:snapToGrid w:val="0"/>
        <w:spacing w:line="360" w:lineRule="exact"/>
        <w:ind w:firstLine="452"/>
        <w:jc w:val="left"/>
        <w:rPr>
          <w:rFonts w:ascii="宋体" w:hAnsi="宋体"/>
          <w:b/>
          <w:sz w:val="22"/>
        </w:rPr>
      </w:pPr>
      <w:r>
        <w:rPr>
          <w:rFonts w:hint="eastAsia" w:ascii="宋体" w:hAnsi="宋体"/>
          <w:b/>
          <w:sz w:val="22"/>
        </w:rPr>
        <w:t>住所地：杭州萧山国际机场内</w:t>
      </w:r>
    </w:p>
    <w:p>
      <w:pPr>
        <w:adjustRightInd w:val="0"/>
        <w:snapToGrid w:val="0"/>
        <w:spacing w:line="360" w:lineRule="exact"/>
        <w:ind w:firstLine="452"/>
        <w:jc w:val="left"/>
        <w:rPr>
          <w:rFonts w:ascii="宋体" w:hAnsi="宋体"/>
          <w:b/>
          <w:sz w:val="22"/>
        </w:rPr>
      </w:pPr>
      <w:r>
        <w:rPr>
          <w:rFonts w:hint="eastAsia" w:ascii="宋体" w:hAnsi="宋体"/>
          <w:b/>
          <w:sz w:val="22"/>
        </w:rPr>
        <w:t>乙方：</w:t>
      </w:r>
    </w:p>
    <w:p>
      <w:pPr>
        <w:adjustRightInd w:val="0"/>
        <w:snapToGrid w:val="0"/>
        <w:spacing w:line="360" w:lineRule="exact"/>
        <w:ind w:firstLine="452"/>
        <w:jc w:val="left"/>
        <w:rPr>
          <w:rFonts w:ascii="宋体" w:hAnsi="宋体"/>
          <w:sz w:val="22"/>
        </w:rPr>
      </w:pPr>
      <w:r>
        <w:rPr>
          <w:rFonts w:hint="eastAsia" w:ascii="宋体" w:hAnsi="宋体"/>
          <w:b/>
          <w:sz w:val="22"/>
        </w:rPr>
        <w:t>住所地：</w:t>
      </w:r>
      <w:r>
        <w:rPr>
          <w:rFonts w:hint="eastAsia" w:ascii="宋体" w:hAnsi="宋体"/>
          <w:sz w:val="22"/>
        </w:rPr>
        <w:t xml:space="preserve"> </w:t>
      </w:r>
    </w:p>
    <w:p>
      <w:pPr>
        <w:adjustRightInd w:val="0"/>
        <w:snapToGrid w:val="0"/>
        <w:spacing w:line="360" w:lineRule="exact"/>
        <w:ind w:firstLine="452"/>
        <w:jc w:val="left"/>
        <w:rPr>
          <w:rFonts w:ascii="宋体" w:hAnsi="宋体"/>
          <w:sz w:val="22"/>
        </w:rPr>
      </w:pPr>
    </w:p>
    <w:p>
      <w:pPr>
        <w:adjustRightInd w:val="0"/>
        <w:snapToGrid w:val="0"/>
        <w:spacing w:line="360" w:lineRule="exact"/>
        <w:ind w:firstLine="440" w:firstLineChars="200"/>
        <w:jc w:val="left"/>
        <w:rPr>
          <w:rFonts w:ascii="宋体" w:hAnsi="宋体"/>
          <w:sz w:val="22"/>
        </w:rPr>
      </w:pPr>
      <w:r>
        <w:rPr>
          <w:rFonts w:hint="eastAsia" w:ascii="宋体" w:hAnsi="宋体"/>
          <w:sz w:val="22"/>
        </w:rPr>
        <w:t>甲、乙双方根据《中华人民共和国合同法》等相关法律法规，就相关产品采购事宜，在互利、平等的原则基础上，经协商一致，特签订本合同，以共同遵守。</w:t>
      </w:r>
    </w:p>
    <w:p>
      <w:pPr>
        <w:adjustRightInd w:val="0"/>
        <w:snapToGrid w:val="0"/>
        <w:spacing w:line="360" w:lineRule="exact"/>
        <w:ind w:firstLine="442" w:firstLineChars="200"/>
        <w:jc w:val="left"/>
        <w:rPr>
          <w:rFonts w:ascii="宋体" w:hAnsi="宋体"/>
          <w:sz w:val="22"/>
        </w:rPr>
      </w:pPr>
      <w:r>
        <w:rPr>
          <w:rFonts w:hint="eastAsia" w:ascii="宋体" w:hAnsi="宋体"/>
          <w:b/>
          <w:bCs/>
          <w:sz w:val="22"/>
        </w:rPr>
        <w:t>一、产品规格型号及参数</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530"/>
        <w:gridCol w:w="1015"/>
        <w:gridCol w:w="1979"/>
        <w:gridCol w:w="714"/>
        <w:gridCol w:w="113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7" w:type="dxa"/>
            <w:vAlign w:val="center"/>
          </w:tcPr>
          <w:p>
            <w:pPr>
              <w:pStyle w:val="21"/>
              <w:snapToGrid w:val="0"/>
              <w:jc w:val="left"/>
              <w:rPr>
                <w:rFonts w:ascii="宋体" w:hAnsi="宋体"/>
                <w:b/>
                <w:sz w:val="22"/>
              </w:rPr>
            </w:pPr>
            <w:r>
              <w:rPr>
                <w:rFonts w:hint="eastAsia" w:ascii="宋体" w:hAnsi="宋体"/>
                <w:b/>
                <w:sz w:val="22"/>
              </w:rPr>
              <w:t>序号</w:t>
            </w:r>
          </w:p>
        </w:tc>
        <w:tc>
          <w:tcPr>
            <w:tcW w:w="1530" w:type="dxa"/>
            <w:vAlign w:val="center"/>
          </w:tcPr>
          <w:p>
            <w:pPr>
              <w:pStyle w:val="21"/>
              <w:snapToGrid w:val="0"/>
              <w:jc w:val="left"/>
              <w:rPr>
                <w:rFonts w:ascii="宋体" w:hAnsi="宋体"/>
                <w:b/>
                <w:sz w:val="22"/>
              </w:rPr>
            </w:pPr>
            <w:r>
              <w:rPr>
                <w:rFonts w:hint="eastAsia" w:ascii="宋体" w:hAnsi="宋体"/>
                <w:b/>
                <w:sz w:val="22"/>
              </w:rPr>
              <w:t>产品名称</w:t>
            </w:r>
          </w:p>
        </w:tc>
        <w:tc>
          <w:tcPr>
            <w:tcW w:w="1015" w:type="dxa"/>
            <w:vAlign w:val="center"/>
          </w:tcPr>
          <w:p>
            <w:pPr>
              <w:pStyle w:val="21"/>
              <w:snapToGrid w:val="0"/>
              <w:jc w:val="left"/>
              <w:rPr>
                <w:rFonts w:ascii="宋体" w:hAnsi="宋体"/>
                <w:b/>
                <w:sz w:val="22"/>
              </w:rPr>
            </w:pPr>
            <w:r>
              <w:rPr>
                <w:rFonts w:hint="eastAsia" w:ascii="宋体" w:hAnsi="宋体"/>
                <w:b/>
                <w:sz w:val="22"/>
              </w:rPr>
              <w:t>品牌型号</w:t>
            </w:r>
          </w:p>
        </w:tc>
        <w:tc>
          <w:tcPr>
            <w:tcW w:w="1979" w:type="dxa"/>
            <w:vAlign w:val="center"/>
          </w:tcPr>
          <w:p>
            <w:pPr>
              <w:pStyle w:val="21"/>
              <w:snapToGrid w:val="0"/>
              <w:jc w:val="center"/>
              <w:rPr>
                <w:rFonts w:ascii="宋体" w:hAnsi="宋体"/>
                <w:b/>
                <w:sz w:val="22"/>
              </w:rPr>
            </w:pPr>
            <w:r>
              <w:rPr>
                <w:rFonts w:hint="eastAsia" w:ascii="宋体" w:hAnsi="宋体"/>
                <w:b/>
                <w:sz w:val="22"/>
              </w:rPr>
              <w:t>单位</w:t>
            </w:r>
          </w:p>
        </w:tc>
        <w:tc>
          <w:tcPr>
            <w:tcW w:w="714" w:type="dxa"/>
            <w:vAlign w:val="center"/>
          </w:tcPr>
          <w:p>
            <w:pPr>
              <w:pStyle w:val="21"/>
              <w:snapToGrid w:val="0"/>
              <w:jc w:val="left"/>
              <w:rPr>
                <w:rFonts w:ascii="宋体" w:hAnsi="宋体"/>
                <w:b/>
                <w:sz w:val="22"/>
              </w:rPr>
            </w:pPr>
            <w:r>
              <w:rPr>
                <w:rFonts w:hint="eastAsia" w:ascii="宋体" w:hAnsi="宋体"/>
                <w:b/>
                <w:sz w:val="22"/>
              </w:rPr>
              <w:t>数量</w:t>
            </w:r>
          </w:p>
        </w:tc>
        <w:tc>
          <w:tcPr>
            <w:tcW w:w="1137" w:type="dxa"/>
            <w:vAlign w:val="center"/>
          </w:tcPr>
          <w:p>
            <w:pPr>
              <w:pStyle w:val="21"/>
              <w:snapToGrid w:val="0"/>
              <w:jc w:val="center"/>
              <w:rPr>
                <w:rFonts w:ascii="宋体" w:hAnsi="宋体"/>
                <w:b/>
                <w:sz w:val="22"/>
              </w:rPr>
            </w:pPr>
            <w:r>
              <w:rPr>
                <w:rFonts w:hint="eastAsia" w:ascii="宋体" w:hAnsi="宋体"/>
                <w:b/>
                <w:sz w:val="22"/>
              </w:rPr>
              <w:t>单价（元）</w:t>
            </w:r>
          </w:p>
        </w:tc>
        <w:tc>
          <w:tcPr>
            <w:tcW w:w="1122" w:type="dxa"/>
            <w:vAlign w:val="center"/>
          </w:tcPr>
          <w:p>
            <w:pPr>
              <w:pStyle w:val="21"/>
              <w:snapToGrid w:val="0"/>
              <w:jc w:val="center"/>
              <w:rPr>
                <w:rFonts w:ascii="宋体" w:hAnsi="宋体"/>
                <w:b/>
                <w:sz w:val="22"/>
              </w:rPr>
            </w:pPr>
            <w:r>
              <w:rPr>
                <w:rFonts w:hint="eastAsia" w:ascii="宋体" w:hAnsi="宋体"/>
                <w:b/>
                <w:sz w:val="22"/>
              </w:rPr>
              <w:t>金额</w:t>
            </w:r>
          </w:p>
          <w:p>
            <w:pPr>
              <w:pStyle w:val="21"/>
              <w:snapToGrid w:val="0"/>
              <w:jc w:val="left"/>
              <w:rPr>
                <w:rFonts w:ascii="宋体" w:hAnsi="宋体"/>
                <w:b/>
                <w:sz w:val="22"/>
              </w:rPr>
            </w:pPr>
            <w:r>
              <w:rPr>
                <w:rFonts w:hint="eastAsia" w:ascii="宋体" w:hAnsi="宋体"/>
                <w:b/>
                <w:sz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pStyle w:val="21"/>
              <w:snapToGrid w:val="0"/>
              <w:ind w:firstLine="440" w:firstLineChars="200"/>
              <w:jc w:val="left"/>
              <w:rPr>
                <w:rFonts w:ascii="宋体" w:hAnsi="宋体"/>
                <w:sz w:val="22"/>
              </w:rPr>
            </w:pPr>
          </w:p>
        </w:tc>
        <w:tc>
          <w:tcPr>
            <w:tcW w:w="1530" w:type="dxa"/>
            <w:vAlign w:val="center"/>
          </w:tcPr>
          <w:p>
            <w:pPr>
              <w:pStyle w:val="21"/>
              <w:snapToGrid w:val="0"/>
              <w:ind w:firstLine="440" w:firstLineChars="200"/>
              <w:jc w:val="left"/>
              <w:rPr>
                <w:rFonts w:ascii="宋体" w:hAnsi="宋体"/>
                <w:sz w:val="22"/>
              </w:rPr>
            </w:pPr>
          </w:p>
        </w:tc>
        <w:tc>
          <w:tcPr>
            <w:tcW w:w="1015" w:type="dxa"/>
            <w:vAlign w:val="center"/>
          </w:tcPr>
          <w:p>
            <w:pPr>
              <w:pStyle w:val="21"/>
              <w:snapToGrid w:val="0"/>
              <w:ind w:firstLine="440" w:firstLineChars="200"/>
              <w:jc w:val="left"/>
              <w:rPr>
                <w:rFonts w:ascii="宋体" w:hAnsi="宋体"/>
                <w:sz w:val="22"/>
              </w:rPr>
            </w:pPr>
          </w:p>
        </w:tc>
        <w:tc>
          <w:tcPr>
            <w:tcW w:w="1979" w:type="dxa"/>
            <w:vAlign w:val="center"/>
          </w:tcPr>
          <w:p>
            <w:pPr>
              <w:pStyle w:val="21"/>
              <w:snapToGrid w:val="0"/>
              <w:ind w:firstLine="440" w:firstLineChars="200"/>
              <w:jc w:val="left"/>
              <w:rPr>
                <w:rFonts w:ascii="宋体" w:hAnsi="宋体"/>
                <w:sz w:val="22"/>
              </w:rPr>
            </w:pPr>
          </w:p>
        </w:tc>
        <w:tc>
          <w:tcPr>
            <w:tcW w:w="714" w:type="dxa"/>
            <w:vAlign w:val="center"/>
          </w:tcPr>
          <w:p>
            <w:pPr>
              <w:pStyle w:val="21"/>
              <w:snapToGrid w:val="0"/>
              <w:ind w:firstLine="440" w:firstLineChars="200"/>
              <w:jc w:val="left"/>
              <w:rPr>
                <w:rFonts w:ascii="宋体" w:hAnsi="宋体"/>
                <w:sz w:val="22"/>
              </w:rPr>
            </w:pPr>
          </w:p>
        </w:tc>
        <w:tc>
          <w:tcPr>
            <w:tcW w:w="1137" w:type="dxa"/>
            <w:vAlign w:val="center"/>
          </w:tcPr>
          <w:p>
            <w:pPr>
              <w:pStyle w:val="21"/>
              <w:snapToGrid w:val="0"/>
              <w:ind w:firstLine="440" w:firstLineChars="200"/>
              <w:jc w:val="left"/>
              <w:rPr>
                <w:rFonts w:ascii="宋体" w:hAnsi="宋体"/>
                <w:sz w:val="22"/>
              </w:rPr>
            </w:pPr>
          </w:p>
        </w:tc>
        <w:tc>
          <w:tcPr>
            <w:tcW w:w="1122" w:type="dxa"/>
            <w:vAlign w:val="center"/>
          </w:tcPr>
          <w:p>
            <w:pPr>
              <w:pStyle w:val="21"/>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pStyle w:val="21"/>
              <w:snapToGrid w:val="0"/>
              <w:ind w:firstLine="440" w:firstLineChars="200"/>
              <w:jc w:val="left"/>
              <w:rPr>
                <w:rFonts w:ascii="宋体" w:hAnsi="宋体"/>
                <w:sz w:val="22"/>
              </w:rPr>
            </w:pPr>
          </w:p>
        </w:tc>
        <w:tc>
          <w:tcPr>
            <w:tcW w:w="1530" w:type="dxa"/>
            <w:vAlign w:val="center"/>
          </w:tcPr>
          <w:p>
            <w:pPr>
              <w:pStyle w:val="21"/>
              <w:snapToGrid w:val="0"/>
              <w:ind w:firstLine="440" w:firstLineChars="200"/>
              <w:jc w:val="left"/>
              <w:rPr>
                <w:rFonts w:ascii="宋体" w:hAnsi="宋体"/>
                <w:sz w:val="22"/>
              </w:rPr>
            </w:pPr>
          </w:p>
        </w:tc>
        <w:tc>
          <w:tcPr>
            <w:tcW w:w="1015" w:type="dxa"/>
            <w:vAlign w:val="center"/>
          </w:tcPr>
          <w:p>
            <w:pPr>
              <w:pStyle w:val="21"/>
              <w:snapToGrid w:val="0"/>
              <w:ind w:firstLine="440" w:firstLineChars="200"/>
              <w:jc w:val="left"/>
              <w:rPr>
                <w:rFonts w:ascii="宋体" w:hAnsi="宋体"/>
                <w:sz w:val="22"/>
              </w:rPr>
            </w:pPr>
          </w:p>
        </w:tc>
        <w:tc>
          <w:tcPr>
            <w:tcW w:w="1979" w:type="dxa"/>
            <w:vAlign w:val="center"/>
          </w:tcPr>
          <w:p>
            <w:pPr>
              <w:pStyle w:val="21"/>
              <w:snapToGrid w:val="0"/>
              <w:ind w:firstLine="440" w:firstLineChars="200"/>
              <w:jc w:val="left"/>
              <w:rPr>
                <w:rFonts w:ascii="宋体" w:hAnsi="宋体"/>
                <w:sz w:val="22"/>
              </w:rPr>
            </w:pPr>
          </w:p>
        </w:tc>
        <w:tc>
          <w:tcPr>
            <w:tcW w:w="714" w:type="dxa"/>
            <w:vAlign w:val="center"/>
          </w:tcPr>
          <w:p>
            <w:pPr>
              <w:pStyle w:val="21"/>
              <w:snapToGrid w:val="0"/>
              <w:ind w:firstLine="440" w:firstLineChars="200"/>
              <w:jc w:val="left"/>
              <w:rPr>
                <w:rFonts w:ascii="宋体" w:hAnsi="宋体"/>
                <w:sz w:val="22"/>
              </w:rPr>
            </w:pPr>
          </w:p>
        </w:tc>
        <w:tc>
          <w:tcPr>
            <w:tcW w:w="1137" w:type="dxa"/>
            <w:vAlign w:val="center"/>
          </w:tcPr>
          <w:p>
            <w:pPr>
              <w:pStyle w:val="21"/>
              <w:snapToGrid w:val="0"/>
              <w:ind w:firstLine="440" w:firstLineChars="200"/>
              <w:jc w:val="left"/>
              <w:rPr>
                <w:rFonts w:ascii="宋体" w:hAnsi="宋体"/>
                <w:sz w:val="22"/>
              </w:rPr>
            </w:pPr>
          </w:p>
        </w:tc>
        <w:tc>
          <w:tcPr>
            <w:tcW w:w="1122" w:type="dxa"/>
            <w:vAlign w:val="center"/>
          </w:tcPr>
          <w:p>
            <w:pPr>
              <w:pStyle w:val="21"/>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pStyle w:val="21"/>
              <w:snapToGrid w:val="0"/>
              <w:ind w:firstLine="440" w:firstLineChars="200"/>
              <w:jc w:val="left"/>
              <w:rPr>
                <w:rFonts w:ascii="宋体" w:hAnsi="宋体"/>
                <w:sz w:val="22"/>
              </w:rPr>
            </w:pPr>
          </w:p>
        </w:tc>
        <w:tc>
          <w:tcPr>
            <w:tcW w:w="1530" w:type="dxa"/>
            <w:vAlign w:val="center"/>
          </w:tcPr>
          <w:p>
            <w:pPr>
              <w:pStyle w:val="21"/>
              <w:snapToGrid w:val="0"/>
              <w:ind w:firstLine="440" w:firstLineChars="200"/>
              <w:jc w:val="left"/>
              <w:rPr>
                <w:rFonts w:ascii="宋体" w:hAnsi="宋体"/>
                <w:sz w:val="22"/>
              </w:rPr>
            </w:pPr>
          </w:p>
        </w:tc>
        <w:tc>
          <w:tcPr>
            <w:tcW w:w="1015" w:type="dxa"/>
            <w:vAlign w:val="center"/>
          </w:tcPr>
          <w:p>
            <w:pPr>
              <w:pStyle w:val="21"/>
              <w:snapToGrid w:val="0"/>
              <w:ind w:firstLine="440" w:firstLineChars="200"/>
              <w:jc w:val="left"/>
              <w:rPr>
                <w:rFonts w:ascii="宋体" w:hAnsi="宋体"/>
                <w:sz w:val="22"/>
              </w:rPr>
            </w:pPr>
          </w:p>
        </w:tc>
        <w:tc>
          <w:tcPr>
            <w:tcW w:w="1979" w:type="dxa"/>
            <w:vAlign w:val="center"/>
          </w:tcPr>
          <w:p>
            <w:pPr>
              <w:pStyle w:val="21"/>
              <w:snapToGrid w:val="0"/>
              <w:ind w:firstLine="440" w:firstLineChars="200"/>
              <w:jc w:val="left"/>
              <w:rPr>
                <w:rFonts w:ascii="宋体" w:hAnsi="宋体"/>
                <w:sz w:val="22"/>
              </w:rPr>
            </w:pPr>
          </w:p>
        </w:tc>
        <w:tc>
          <w:tcPr>
            <w:tcW w:w="714" w:type="dxa"/>
            <w:vAlign w:val="center"/>
          </w:tcPr>
          <w:p>
            <w:pPr>
              <w:pStyle w:val="21"/>
              <w:snapToGrid w:val="0"/>
              <w:ind w:firstLine="440" w:firstLineChars="200"/>
              <w:jc w:val="left"/>
              <w:rPr>
                <w:rFonts w:ascii="宋体" w:hAnsi="宋体"/>
                <w:sz w:val="22"/>
              </w:rPr>
            </w:pPr>
          </w:p>
        </w:tc>
        <w:tc>
          <w:tcPr>
            <w:tcW w:w="1137" w:type="dxa"/>
            <w:vAlign w:val="center"/>
          </w:tcPr>
          <w:p>
            <w:pPr>
              <w:pStyle w:val="21"/>
              <w:snapToGrid w:val="0"/>
              <w:ind w:firstLine="440" w:firstLineChars="200"/>
              <w:jc w:val="left"/>
              <w:rPr>
                <w:rFonts w:ascii="宋体" w:hAnsi="宋体"/>
                <w:sz w:val="22"/>
              </w:rPr>
            </w:pPr>
          </w:p>
        </w:tc>
        <w:tc>
          <w:tcPr>
            <w:tcW w:w="1122" w:type="dxa"/>
            <w:vAlign w:val="center"/>
          </w:tcPr>
          <w:p>
            <w:pPr>
              <w:pStyle w:val="21"/>
              <w:snapToGrid w:val="0"/>
              <w:ind w:firstLine="440" w:firstLineChars="200"/>
              <w:jc w:val="left"/>
              <w:rPr>
                <w:rFonts w:ascii="宋体" w:hAnsi="宋体"/>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3"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kern w:val="1"/>
                <w:sz w:val="20"/>
              </w:rPr>
            </w:pPr>
            <w:r>
              <w:rPr>
                <w:rFonts w:ascii="宋体" w:hAnsi="宋体" w:cs="宋体"/>
                <w:b/>
                <w:kern w:val="1"/>
                <w:sz w:val="20"/>
              </w:rPr>
              <w:t>不含税价格合计（元）</w:t>
            </w:r>
          </w:p>
        </w:tc>
        <w:tc>
          <w:tcPr>
            <w:tcW w:w="5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kern w:val="1"/>
                <w:sz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3"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kern w:val="1"/>
                <w:sz w:val="20"/>
              </w:rPr>
            </w:pPr>
            <w:r>
              <w:rPr>
                <w:rFonts w:ascii="宋体" w:hAnsi="宋体" w:cs="宋体"/>
                <w:b/>
                <w:kern w:val="1"/>
                <w:sz w:val="20"/>
              </w:rPr>
              <w:t>税金（元）</w:t>
            </w:r>
          </w:p>
        </w:tc>
        <w:tc>
          <w:tcPr>
            <w:tcW w:w="5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kern w:val="1"/>
                <w:sz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3"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kern w:val="1"/>
                <w:sz w:val="20"/>
              </w:rPr>
            </w:pPr>
            <w:r>
              <w:rPr>
                <w:rFonts w:ascii="宋体" w:hAnsi="宋体" w:cs="宋体"/>
                <w:b/>
                <w:kern w:val="1"/>
                <w:sz w:val="20"/>
              </w:rPr>
              <w:t>价税合计（元）</w:t>
            </w:r>
          </w:p>
        </w:tc>
        <w:tc>
          <w:tcPr>
            <w:tcW w:w="5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kern w:val="1"/>
                <w:sz w:val="20"/>
              </w:rPr>
            </w:pPr>
            <w:r>
              <w:rPr>
                <w:rFonts w:ascii="宋体" w:hAnsi="宋体" w:cs="宋体"/>
                <w:b/>
                <w:kern w:val="1"/>
                <w:sz w:val="20"/>
              </w:rPr>
              <w:t>人民币大写     元，¥   .00</w:t>
            </w:r>
          </w:p>
        </w:tc>
      </w:tr>
    </w:tbl>
    <w:p>
      <w:pPr>
        <w:adjustRightInd w:val="0"/>
        <w:snapToGrid w:val="0"/>
        <w:spacing w:line="360" w:lineRule="exact"/>
        <w:ind w:firstLine="442" w:firstLineChars="200"/>
        <w:rPr>
          <w:rFonts w:ascii="宋体" w:hAnsi="宋体"/>
          <w:b/>
          <w:sz w:val="22"/>
        </w:rPr>
      </w:pPr>
      <w:r>
        <w:rPr>
          <w:rFonts w:hint="eastAsia" w:ascii="宋体" w:hAnsi="宋体"/>
          <w:b/>
          <w:sz w:val="22"/>
        </w:rPr>
        <w:t>二、合同金额</w:t>
      </w:r>
    </w:p>
    <w:p>
      <w:pPr>
        <w:spacing w:line="276" w:lineRule="auto"/>
        <w:ind w:firstLine="403"/>
        <w:rPr>
          <w:rFonts w:ascii="宋体" w:hAnsi="宋体" w:cs="宋体"/>
          <w:kern w:val="1"/>
          <w:szCs w:val="21"/>
        </w:rPr>
      </w:pPr>
      <w:r>
        <w:rPr>
          <w:rFonts w:ascii="宋体" w:hAnsi="宋体" w:cs="宋体"/>
          <w:kern w:val="1"/>
          <w:szCs w:val="21"/>
        </w:rPr>
        <w:t>本合同为</w:t>
      </w:r>
      <w:r>
        <w:rPr>
          <w:rFonts w:ascii="宋体" w:hAnsi="宋体" w:cs="宋体"/>
          <w:b/>
          <w:bCs/>
          <w:kern w:val="1"/>
          <w:szCs w:val="21"/>
        </w:rPr>
        <w:t>固定总价合同</w:t>
      </w:r>
      <w:r>
        <w:rPr>
          <w:rFonts w:ascii="宋体" w:hAnsi="宋体" w:cs="宋体"/>
          <w:kern w:val="1"/>
          <w:szCs w:val="21"/>
        </w:rPr>
        <w:t>，合同金额为（大写）：人民币    ，（小写）¥       。本合同价为杭州萧山国际机场内交货价，含产品价格</w:t>
      </w:r>
      <w:r>
        <w:rPr>
          <w:rFonts w:hint="eastAsia" w:ascii="宋体" w:hAnsi="宋体" w:cs="宋体"/>
          <w:kern w:val="1"/>
          <w:szCs w:val="21"/>
        </w:rPr>
        <w:t>（包含辅料费用）</w:t>
      </w:r>
      <w:r>
        <w:rPr>
          <w:rFonts w:ascii="宋体" w:hAnsi="宋体" w:cs="宋体"/>
          <w:kern w:val="1"/>
          <w:szCs w:val="21"/>
        </w:rPr>
        <w:t>、运输费、安装、包装费、保险费、税费等所有费用。甲方不再承担其他任何费用。</w:t>
      </w:r>
    </w:p>
    <w:p>
      <w:pPr>
        <w:spacing w:line="276" w:lineRule="auto"/>
        <w:ind w:firstLine="403"/>
        <w:rPr>
          <w:rFonts w:ascii="宋体" w:hAnsi="宋体" w:cs="宋体"/>
          <w:b/>
          <w:kern w:val="1"/>
          <w:szCs w:val="21"/>
          <w:u w:val="single"/>
        </w:rPr>
      </w:pPr>
      <w:r>
        <w:rPr>
          <w:rFonts w:ascii="宋体" w:hAnsi="宋体" w:cs="宋体"/>
          <w:b/>
          <w:kern w:val="1"/>
          <w:szCs w:val="21"/>
          <w:u w:val="single"/>
        </w:rPr>
        <w:t>在合同有效期限内，若因国家税收政策调整而引起的增值税税率变化的，应按照国家税收政策调整，合同总金额变更为原合同不含增值税货物或劳务价格与调整后税率计算税额的合计金额。</w:t>
      </w:r>
    </w:p>
    <w:p>
      <w:pPr>
        <w:adjustRightInd w:val="0"/>
        <w:snapToGrid w:val="0"/>
        <w:spacing w:line="360" w:lineRule="exact"/>
        <w:ind w:firstLine="442" w:firstLineChars="200"/>
        <w:rPr>
          <w:rFonts w:ascii="宋体" w:hAnsi="宋体"/>
          <w:b/>
          <w:sz w:val="22"/>
        </w:rPr>
      </w:pPr>
      <w:r>
        <w:rPr>
          <w:rFonts w:hint="eastAsia" w:ascii="宋体" w:hAnsi="宋体"/>
          <w:b/>
          <w:sz w:val="22"/>
        </w:rPr>
        <w:t>三、技术资料</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乙方应在移交合同货物时向甲方提供使用货物的有关技术资料。</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adjustRightInd w:val="0"/>
        <w:snapToGrid w:val="0"/>
        <w:spacing w:line="360" w:lineRule="exact"/>
        <w:ind w:firstLine="442" w:firstLineChars="200"/>
        <w:rPr>
          <w:rFonts w:ascii="宋体" w:hAnsi="宋体"/>
          <w:b/>
          <w:sz w:val="22"/>
        </w:rPr>
      </w:pPr>
      <w:r>
        <w:rPr>
          <w:rFonts w:hint="eastAsia" w:ascii="宋体" w:hAnsi="宋体"/>
          <w:b/>
          <w:sz w:val="22"/>
        </w:rPr>
        <w:t>四、知识产权</w:t>
      </w:r>
    </w:p>
    <w:p>
      <w:pPr>
        <w:adjustRightInd w:val="0"/>
        <w:snapToGrid w:val="0"/>
        <w:spacing w:line="360" w:lineRule="exact"/>
        <w:ind w:firstLine="440" w:firstLineChars="200"/>
        <w:rPr>
          <w:rFonts w:ascii="宋体" w:hAnsi="宋体"/>
          <w:sz w:val="22"/>
        </w:rPr>
      </w:pPr>
      <w:r>
        <w:rPr>
          <w:rFonts w:hint="eastAsia" w:ascii="宋体" w:hAnsi="宋体"/>
          <w:sz w:val="22"/>
        </w:rPr>
        <w:t>乙方应保证所提供的货物或其任何一部分均不会侵犯任何第三方的知识产权。如因乙方违反本条保证并导致甲方遭受损失的，乙方须向甲方承担赔偿责任。</w:t>
      </w:r>
    </w:p>
    <w:p>
      <w:pPr>
        <w:adjustRightInd w:val="0"/>
        <w:snapToGrid w:val="0"/>
        <w:spacing w:line="360" w:lineRule="exact"/>
        <w:ind w:firstLine="442" w:firstLineChars="200"/>
        <w:rPr>
          <w:rFonts w:ascii="宋体" w:hAnsi="宋体"/>
          <w:b/>
          <w:sz w:val="22"/>
        </w:rPr>
      </w:pPr>
      <w:r>
        <w:rPr>
          <w:rFonts w:hint="eastAsia" w:ascii="宋体" w:hAnsi="宋体"/>
          <w:b/>
          <w:sz w:val="22"/>
        </w:rPr>
        <w:t>五、产权担保</w:t>
      </w:r>
    </w:p>
    <w:p>
      <w:pPr>
        <w:adjustRightInd w:val="0"/>
        <w:snapToGrid w:val="0"/>
        <w:spacing w:line="360" w:lineRule="exact"/>
        <w:ind w:firstLine="440" w:firstLineChars="200"/>
        <w:rPr>
          <w:rFonts w:ascii="宋体" w:hAnsi="宋体"/>
          <w:sz w:val="22"/>
        </w:rPr>
      </w:pPr>
      <w:r>
        <w:rPr>
          <w:rFonts w:hint="eastAsia" w:ascii="宋体" w:hAnsi="宋体"/>
          <w:sz w:val="22"/>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adjustRightInd w:val="0"/>
        <w:snapToGrid w:val="0"/>
        <w:spacing w:line="360" w:lineRule="exact"/>
        <w:ind w:firstLine="442" w:firstLineChars="200"/>
        <w:outlineLvl w:val="0"/>
        <w:rPr>
          <w:rFonts w:ascii="宋体" w:hAnsi="宋体"/>
          <w:b/>
          <w:sz w:val="22"/>
        </w:rPr>
      </w:pPr>
      <w:bookmarkStart w:id="54" w:name="_Toc422638512"/>
      <w:bookmarkStart w:id="55" w:name="_Toc19905"/>
      <w:bookmarkStart w:id="56" w:name="_Toc30327"/>
      <w:bookmarkStart w:id="57" w:name="_Toc25604"/>
      <w:bookmarkStart w:id="58" w:name="_Toc12973"/>
      <w:bookmarkStart w:id="59" w:name="_Toc32320"/>
      <w:r>
        <w:rPr>
          <w:rFonts w:hint="eastAsia" w:ascii="宋体" w:hAnsi="宋体"/>
          <w:b/>
          <w:sz w:val="22"/>
        </w:rPr>
        <w:t>六、转包或分包</w:t>
      </w:r>
      <w:bookmarkEnd w:id="54"/>
      <w:bookmarkEnd w:id="55"/>
      <w:bookmarkEnd w:id="56"/>
      <w:bookmarkEnd w:id="57"/>
      <w:bookmarkEnd w:id="58"/>
      <w:bookmarkEnd w:id="59"/>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如有未经甲方书面同意的转让和分包行为，甲方有权解除合同，并追究乙方的违约责任。</w:t>
      </w:r>
    </w:p>
    <w:p>
      <w:pPr>
        <w:adjustRightInd w:val="0"/>
        <w:snapToGrid w:val="0"/>
        <w:spacing w:line="360" w:lineRule="exact"/>
        <w:ind w:firstLine="442" w:firstLineChars="200"/>
        <w:outlineLvl w:val="0"/>
        <w:rPr>
          <w:rFonts w:ascii="宋体" w:hAnsi="宋体"/>
          <w:b/>
          <w:sz w:val="22"/>
        </w:rPr>
      </w:pPr>
      <w:bookmarkStart w:id="60" w:name="_Toc422638513"/>
      <w:bookmarkStart w:id="61" w:name="_Toc15610"/>
      <w:bookmarkStart w:id="62" w:name="_Toc19919"/>
      <w:bookmarkStart w:id="63" w:name="_Toc21035"/>
      <w:bookmarkStart w:id="64" w:name="_Toc7980"/>
      <w:bookmarkStart w:id="65" w:name="_Toc9133"/>
      <w:r>
        <w:rPr>
          <w:rFonts w:hint="eastAsia" w:ascii="宋体" w:hAnsi="宋体"/>
          <w:b/>
          <w:sz w:val="22"/>
        </w:rPr>
        <w:t>七、货物包装、发运及运输</w:t>
      </w:r>
      <w:bookmarkEnd w:id="60"/>
      <w:bookmarkEnd w:id="61"/>
      <w:bookmarkEnd w:id="62"/>
      <w:bookmarkEnd w:id="63"/>
      <w:bookmarkEnd w:id="64"/>
      <w:bookmarkEnd w:id="65"/>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乙方应在货物发运前对其按满足运输距离、防潮、防震、防锈和防破损装卸等要求进行包装，以保证货物安全运达甲方指定地点。</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使用说明书、质量检验证明书、随配附件和工具以及清单一并附于货物内。</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乙方在货物发运手续办理完毕后24小时内必须书面通知甲方，以便甲方准备接货。</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 xml:space="preserve"> 货物在本合同规定的交货地点交付甲方前发生的一切风险包括货物运输风险均由乙方负责。</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 xml:space="preserve"> 货物在规定的交付期限内由乙方送达甲方指定的交货地点并经甲方签收后视为交付，乙方同时必须在货物到达的当天立即通知甲方货物已送达。</w:t>
      </w:r>
    </w:p>
    <w:p>
      <w:pPr>
        <w:adjustRightInd w:val="0"/>
        <w:snapToGrid w:val="0"/>
        <w:spacing w:line="360" w:lineRule="exact"/>
        <w:ind w:firstLine="442" w:firstLineChars="200"/>
        <w:outlineLvl w:val="0"/>
        <w:rPr>
          <w:rFonts w:ascii="宋体" w:hAnsi="宋体"/>
          <w:b/>
          <w:sz w:val="22"/>
        </w:rPr>
      </w:pPr>
      <w:bookmarkStart w:id="66" w:name="_Toc422638514"/>
      <w:bookmarkStart w:id="67" w:name="_Toc11708"/>
      <w:bookmarkStart w:id="68" w:name="_Toc8483"/>
      <w:bookmarkStart w:id="69" w:name="_Toc16829"/>
      <w:bookmarkStart w:id="70" w:name="_Toc11452"/>
      <w:bookmarkStart w:id="71" w:name="_Toc12199"/>
      <w:r>
        <w:rPr>
          <w:rFonts w:hint="eastAsia" w:ascii="宋体" w:hAnsi="宋体"/>
          <w:b/>
          <w:sz w:val="22"/>
        </w:rPr>
        <w:t>八、</w:t>
      </w:r>
      <w:r>
        <w:rPr>
          <w:rFonts w:ascii="宋体" w:hAnsi="宋体"/>
          <w:b/>
          <w:sz w:val="22"/>
        </w:rPr>
        <w:t>供货期</w:t>
      </w:r>
      <w:r>
        <w:rPr>
          <w:rFonts w:hint="eastAsia" w:ascii="宋体" w:hAnsi="宋体"/>
          <w:b/>
          <w:sz w:val="22"/>
        </w:rPr>
        <w:t>、交货方式及交货地点</w:t>
      </w:r>
      <w:bookmarkEnd w:id="66"/>
      <w:bookmarkEnd w:id="67"/>
      <w:bookmarkEnd w:id="68"/>
      <w:bookmarkEnd w:id="69"/>
      <w:bookmarkEnd w:id="70"/>
      <w:bookmarkEnd w:id="71"/>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w:t>
      </w:r>
      <w:r>
        <w:rPr>
          <w:rFonts w:ascii="宋体" w:hAnsi="宋体"/>
          <w:sz w:val="22"/>
        </w:rPr>
        <w:t>供货期</w:t>
      </w:r>
      <w:r>
        <w:rPr>
          <w:rFonts w:hint="eastAsia" w:ascii="宋体" w:hAnsi="宋体"/>
          <w:sz w:val="22"/>
        </w:rPr>
        <w:t>：合同签订后</w:t>
      </w:r>
      <w:r>
        <w:rPr>
          <w:rFonts w:hint="eastAsia" w:ascii="宋体" w:hAnsi="宋体"/>
          <w:sz w:val="22"/>
          <w:u w:val="single"/>
        </w:rPr>
        <w:t xml:space="preserve"> </w:t>
      </w:r>
      <w:r>
        <w:rPr>
          <w:rFonts w:ascii="宋体" w:hAnsi="宋体"/>
          <w:sz w:val="22"/>
          <w:u w:val="single"/>
        </w:rPr>
        <w:t>30</w:t>
      </w:r>
      <w:r>
        <w:rPr>
          <w:rFonts w:hint="eastAsia" w:ascii="宋体" w:hAnsi="宋体"/>
          <w:sz w:val="22"/>
          <w:u w:val="single"/>
        </w:rPr>
        <w:t xml:space="preserve"> </w:t>
      </w:r>
      <w:r>
        <w:rPr>
          <w:rFonts w:hint="eastAsia" w:ascii="宋体" w:hAnsi="宋体"/>
          <w:sz w:val="22"/>
        </w:rPr>
        <w:t>个日历天内</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交货方式： 乙方送货上门</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 xml:space="preserve"> 交货地点：杭州萧山国际机场内</w:t>
      </w:r>
    </w:p>
    <w:p>
      <w:pPr>
        <w:adjustRightInd w:val="0"/>
        <w:snapToGrid w:val="0"/>
        <w:spacing w:line="360" w:lineRule="exact"/>
        <w:ind w:firstLine="442" w:firstLineChars="200"/>
        <w:outlineLvl w:val="0"/>
        <w:rPr>
          <w:rFonts w:ascii="宋体" w:hAnsi="宋体"/>
          <w:b/>
          <w:sz w:val="22"/>
        </w:rPr>
      </w:pPr>
      <w:bookmarkStart w:id="72" w:name="_Toc6746"/>
      <w:bookmarkStart w:id="73" w:name="_Toc422638515"/>
      <w:bookmarkStart w:id="74" w:name="_Toc5958"/>
      <w:bookmarkStart w:id="75" w:name="_Toc24483"/>
      <w:bookmarkStart w:id="76" w:name="_Toc29141"/>
      <w:bookmarkStart w:id="77" w:name="_Toc25959"/>
      <w:r>
        <w:rPr>
          <w:rFonts w:hint="eastAsia" w:ascii="宋体" w:hAnsi="宋体"/>
          <w:b/>
          <w:sz w:val="22"/>
        </w:rPr>
        <w:t>九、安装、调试及验收</w:t>
      </w:r>
      <w:bookmarkEnd w:id="72"/>
      <w:bookmarkEnd w:id="73"/>
      <w:bookmarkEnd w:id="74"/>
      <w:bookmarkEnd w:id="75"/>
      <w:bookmarkEnd w:id="76"/>
      <w:bookmarkEnd w:id="77"/>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甲方对乙方提交的货物依据甲方要求和国家有关质量标准进行现场初步验收，外观、说明书符合甲方要求的，给予签收，初步验收不合格的不予签收。乙方在甲方初步验收完毕后，负责在【七】日内完成现场安装、调试，确保设备正常运行。安装完毕由乙方提交甲方验收，双方代表应在通过验收之日签署安装验收报告，但此证书不能免除乙方在本合同项下应当承担的质量保证责任以及售后服务责任。</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2. </w:t>
      </w:r>
      <w:r>
        <w:rPr>
          <w:rFonts w:hint="eastAsia" w:ascii="宋体" w:hAnsi="宋体"/>
          <w:sz w:val="22"/>
        </w:rPr>
        <w:t>乙方交货前应对产品作出全面检查和对验收文件进行整理，并列出清单，作为甲方收货验收和使用的技术条件依据，乙方检验的结果应随货物交甲方。</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甲方在验收后如发现产品的品种、型号、规格、数量或质量不符合合同约定或相关质量要求，甲方应在验收之日起【七】日内以书面或电话形式向乙方提出异议；乙方应当在收到甲方异议之日起【三】日内作出答复或与甲方协商处理，或在【三】日内直接按甲方要求进行无偿换货、补发短缺部分或降低货价，并承担由此产生的相关费用。在上述异议期及产品质量问题的处理期间，甲方有权中止本合同项下的付款义务。</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如甲方未按上述规定期限提出质量异议的，视为乙方所交付的产品符合合同规定；乙方未按上述规定期限作出答复或负责处理的，则视为乙方同意甲方提出的异议和处理意见。</w:t>
      </w:r>
    </w:p>
    <w:p>
      <w:pPr>
        <w:adjustRightInd w:val="0"/>
        <w:snapToGrid w:val="0"/>
        <w:spacing w:line="360" w:lineRule="exact"/>
        <w:ind w:firstLine="442" w:firstLineChars="200"/>
        <w:outlineLvl w:val="0"/>
        <w:rPr>
          <w:rFonts w:ascii="宋体" w:hAnsi="宋体"/>
          <w:b/>
          <w:sz w:val="22"/>
        </w:rPr>
      </w:pPr>
      <w:bookmarkStart w:id="78" w:name="_Toc422638516"/>
      <w:bookmarkStart w:id="79" w:name="_Toc19750"/>
      <w:bookmarkStart w:id="80" w:name="_Toc19474"/>
      <w:bookmarkStart w:id="81" w:name="_Toc12302"/>
      <w:bookmarkStart w:id="82" w:name="_Toc25694"/>
      <w:bookmarkStart w:id="83" w:name="_Toc3023"/>
      <w:r>
        <w:rPr>
          <w:rFonts w:hint="eastAsia" w:ascii="宋体" w:hAnsi="宋体"/>
          <w:b/>
          <w:sz w:val="22"/>
        </w:rPr>
        <w:t>十、货款支付</w:t>
      </w:r>
      <w:bookmarkEnd w:id="78"/>
      <w:bookmarkEnd w:id="79"/>
      <w:bookmarkEnd w:id="80"/>
      <w:bookmarkEnd w:id="81"/>
      <w:bookmarkEnd w:id="82"/>
      <w:bookmarkEnd w:id="83"/>
    </w:p>
    <w:p>
      <w:pPr>
        <w:pStyle w:val="12"/>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1</w:t>
      </w:r>
      <w:r>
        <w:rPr>
          <w:rFonts w:hint="eastAsia" w:ascii="宋体" w:hAnsi="宋体"/>
          <w:sz w:val="22"/>
        </w:rPr>
        <w:t>.设备安装调试完成并经甲方验收合格后【15】个工作日内，支付至合同总金额的95%。</w:t>
      </w:r>
    </w:p>
    <w:p>
      <w:pPr>
        <w:pStyle w:val="12"/>
        <w:snapToGrid w:val="0"/>
        <w:spacing w:before="0" w:beforeAutospacing="0" w:after="0" w:afterAutospacing="0" w:line="360" w:lineRule="exact"/>
        <w:ind w:left="420" w:leftChars="200"/>
        <w:jc w:val="both"/>
        <w:rPr>
          <w:rFonts w:ascii="宋体" w:hAnsi="宋体"/>
          <w:sz w:val="22"/>
        </w:rPr>
      </w:pPr>
      <w:r>
        <w:rPr>
          <w:rFonts w:hint="eastAsia" w:ascii="宋体" w:hAnsi="宋体"/>
          <w:b/>
          <w:sz w:val="22"/>
        </w:rPr>
        <w:t>2.</w:t>
      </w:r>
      <w:r>
        <w:rPr>
          <w:rFonts w:hint="eastAsia" w:ascii="仿宋" w:hAnsi="仿宋" w:eastAsia="仿宋"/>
        </w:rPr>
        <w:t xml:space="preserve"> </w:t>
      </w:r>
      <w:r>
        <w:rPr>
          <w:rFonts w:hint="eastAsia" w:ascii="宋体" w:hAnsi="宋体"/>
          <w:sz w:val="22"/>
        </w:rPr>
        <w:t>质量保证金为合同总价5</w:t>
      </w:r>
      <w:r>
        <w:rPr>
          <w:rFonts w:ascii="宋体" w:hAnsi="宋体"/>
          <w:sz w:val="22"/>
        </w:rPr>
        <w:t>%，</w:t>
      </w:r>
      <w:r>
        <w:rPr>
          <w:rFonts w:hint="eastAsia" w:ascii="宋体" w:hAnsi="宋体"/>
          <w:sz w:val="22"/>
        </w:rPr>
        <w:t>质量保证金于质量保证期满后【十五】</w:t>
      </w:r>
      <w:r>
        <w:rPr>
          <w:rFonts w:ascii="宋体" w:hAnsi="宋体"/>
          <w:sz w:val="22"/>
        </w:rPr>
        <w:t>工作日内</w:t>
      </w:r>
      <w:r>
        <w:rPr>
          <w:rFonts w:hint="eastAsia" w:ascii="宋体" w:hAnsi="宋体"/>
          <w:sz w:val="22"/>
        </w:rPr>
        <w:t>一并无息</w:t>
      </w:r>
      <w:r>
        <w:rPr>
          <w:rFonts w:ascii="宋体" w:hAnsi="宋体"/>
          <w:sz w:val="22"/>
        </w:rPr>
        <w:t>支付。</w:t>
      </w:r>
    </w:p>
    <w:p>
      <w:pPr>
        <w:pStyle w:val="12"/>
        <w:snapToGrid w:val="0"/>
        <w:spacing w:before="0" w:beforeAutospacing="0" w:after="0" w:afterAutospacing="0" w:line="360" w:lineRule="exact"/>
        <w:ind w:left="420" w:leftChars="200"/>
        <w:jc w:val="both"/>
        <w:rPr>
          <w:rFonts w:ascii="宋体" w:hAnsi="宋体"/>
          <w:sz w:val="22"/>
        </w:rPr>
      </w:pPr>
      <w:r>
        <w:rPr>
          <w:rFonts w:hint="eastAsia" w:ascii="宋体" w:hAnsi="宋体"/>
          <w:b/>
          <w:sz w:val="22"/>
        </w:rPr>
        <w:t>3.</w:t>
      </w:r>
      <w:r>
        <w:rPr>
          <w:rFonts w:hint="eastAsia" w:ascii="宋体" w:hAnsi="宋体"/>
          <w:sz w:val="22"/>
        </w:rPr>
        <w:t>乙方在甲方每次付款前开具税率为13%增值税专用发票。</w:t>
      </w:r>
    </w:p>
    <w:p>
      <w:pPr>
        <w:adjustRightInd w:val="0"/>
        <w:snapToGrid w:val="0"/>
        <w:spacing w:line="360" w:lineRule="exact"/>
        <w:ind w:firstLine="442" w:firstLineChars="200"/>
        <w:outlineLvl w:val="0"/>
        <w:rPr>
          <w:rFonts w:ascii="宋体" w:hAnsi="宋体"/>
          <w:b/>
          <w:sz w:val="22"/>
        </w:rPr>
      </w:pPr>
      <w:bookmarkStart w:id="84" w:name="_Toc29569"/>
      <w:bookmarkStart w:id="85" w:name="_Toc26814"/>
      <w:bookmarkStart w:id="86" w:name="_Toc422638517"/>
      <w:bookmarkStart w:id="87" w:name="_Toc12451"/>
      <w:bookmarkStart w:id="88" w:name="_Toc26037"/>
      <w:bookmarkStart w:id="89" w:name="_Toc912"/>
      <w:r>
        <w:rPr>
          <w:rFonts w:hint="eastAsia" w:ascii="宋体" w:hAnsi="宋体"/>
          <w:b/>
          <w:sz w:val="22"/>
        </w:rPr>
        <w:t>十一、税费</w:t>
      </w:r>
      <w:bookmarkEnd w:id="84"/>
      <w:bookmarkEnd w:id="85"/>
      <w:bookmarkEnd w:id="86"/>
      <w:bookmarkEnd w:id="87"/>
      <w:bookmarkEnd w:id="88"/>
      <w:bookmarkEnd w:id="89"/>
    </w:p>
    <w:p>
      <w:pPr>
        <w:adjustRightInd w:val="0"/>
        <w:snapToGrid w:val="0"/>
        <w:spacing w:line="360" w:lineRule="exact"/>
        <w:ind w:firstLine="440" w:firstLineChars="200"/>
        <w:rPr>
          <w:rFonts w:ascii="宋体" w:hAnsi="宋体"/>
          <w:sz w:val="22"/>
        </w:rPr>
      </w:pPr>
      <w:r>
        <w:rPr>
          <w:rFonts w:hint="eastAsia" w:ascii="宋体" w:hAnsi="宋体"/>
          <w:sz w:val="22"/>
        </w:rPr>
        <w:t>本合同执行中相关的一切税费均由乙方负担</w:t>
      </w:r>
    </w:p>
    <w:p>
      <w:pPr>
        <w:adjustRightInd w:val="0"/>
        <w:snapToGrid w:val="0"/>
        <w:spacing w:line="360" w:lineRule="exact"/>
        <w:ind w:firstLine="442" w:firstLineChars="200"/>
        <w:outlineLvl w:val="0"/>
        <w:rPr>
          <w:rFonts w:ascii="宋体" w:hAnsi="宋体"/>
          <w:b/>
          <w:sz w:val="22"/>
        </w:rPr>
      </w:pPr>
      <w:bookmarkStart w:id="90" w:name="_Toc422638518"/>
      <w:bookmarkStart w:id="91" w:name="_Toc18782"/>
      <w:bookmarkStart w:id="92" w:name="_Toc24640"/>
      <w:bookmarkStart w:id="93" w:name="_Toc18646"/>
      <w:bookmarkStart w:id="94" w:name="_Toc15244"/>
      <w:bookmarkStart w:id="95" w:name="_Toc21906"/>
      <w:r>
        <w:rPr>
          <w:rFonts w:hint="eastAsia" w:ascii="宋体" w:hAnsi="宋体"/>
          <w:b/>
          <w:sz w:val="22"/>
        </w:rPr>
        <w:t>十二、质量保证及售后服务</w:t>
      </w:r>
      <w:bookmarkEnd w:id="90"/>
      <w:bookmarkEnd w:id="91"/>
      <w:bookmarkEnd w:id="92"/>
      <w:bookmarkEnd w:id="93"/>
      <w:bookmarkEnd w:id="94"/>
      <w:bookmarkEnd w:id="95"/>
    </w:p>
    <w:p>
      <w:pPr>
        <w:adjustRightInd w:val="0"/>
        <w:snapToGrid w:val="0"/>
        <w:spacing w:line="360" w:lineRule="exact"/>
        <w:ind w:firstLine="442" w:firstLineChars="200"/>
        <w:rPr>
          <w:rFonts w:ascii="宋体" w:hAnsi="宋体"/>
          <w:sz w:val="22"/>
        </w:rPr>
      </w:pPr>
      <w:r>
        <w:rPr>
          <w:rFonts w:hint="eastAsia" w:ascii="宋体" w:hAnsi="宋体"/>
          <w:b/>
          <w:sz w:val="22"/>
        </w:rPr>
        <w:t xml:space="preserve">1. </w:t>
      </w:r>
      <w:r>
        <w:rPr>
          <w:rFonts w:hint="eastAsia" w:ascii="宋体" w:hAnsi="宋体"/>
          <w:sz w:val="22"/>
        </w:rPr>
        <w:t>乙方保证其所供应的产品符合相关产品质量标准，不存在任何质量瑕疵或因质量瑕疵而导致的安全隐患，且为未经使用的全新产品。</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乙方应为设备提供【两】年的免费保修期，时间自甲方验收并接受货物之日起计算；如涉及安装调试的，时间自甲方最终签署设备验收单之日起计算。</w:t>
      </w:r>
    </w:p>
    <w:p>
      <w:pPr>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bCs/>
          <w:sz w:val="22"/>
        </w:rPr>
        <w:t>免费</w:t>
      </w:r>
      <w:r>
        <w:rPr>
          <w:rFonts w:hint="eastAsia" w:ascii="宋体" w:hAnsi="宋体"/>
          <w:sz w:val="22"/>
        </w:rPr>
        <w:t>保修期内由于非甲方原因发生的的故障或损坏，乙方免费提供维修和备件直至设备性能、状态等达到正常标准，可以正常安全使用为止。如无法修复，乙方应负责免费更换或由甲方退还乙方所供货物，乙方退还甲方支付的合同款，同时应承担该货物的直接费用（运输、保险、检验、货款利息及银行手续费等）以及由此给甲方造成的损失。</w:t>
      </w:r>
    </w:p>
    <w:p>
      <w:pPr>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乙方提供24小时售后服务，在接到报修通知后，维修人员应在【二十四】小时内赶到杭州萧山国际机场，并连续进行维修，直到设备恢复正常。</w:t>
      </w:r>
      <w:r>
        <w:rPr>
          <w:rFonts w:hint="eastAsia" w:ascii="宋体" w:hAnsi="宋体" w:cs="楷体_GB2312"/>
          <w:kern w:val="0"/>
          <w:sz w:val="22"/>
          <w:lang w:val="zh-CN"/>
        </w:rPr>
        <w:t>修复部分的质保期自修复之日起重新开始计算。</w:t>
      </w:r>
    </w:p>
    <w:p>
      <w:pPr>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bCs/>
          <w:sz w:val="22"/>
        </w:rPr>
        <w:t>免费</w:t>
      </w:r>
      <w:r>
        <w:rPr>
          <w:rFonts w:hint="eastAsia" w:ascii="宋体" w:hAnsi="宋体"/>
          <w:sz w:val="22"/>
        </w:rPr>
        <w:t>保修期结束的【十五】天前，乙方负责对设备进行一次全面的检修和维护，并由甲方验收认可。</w:t>
      </w:r>
    </w:p>
    <w:p>
      <w:pPr>
        <w:adjustRightInd w:val="0"/>
        <w:snapToGrid w:val="0"/>
        <w:spacing w:line="360" w:lineRule="exact"/>
        <w:ind w:firstLine="442" w:firstLineChars="200"/>
        <w:outlineLvl w:val="0"/>
        <w:rPr>
          <w:rFonts w:ascii="宋体" w:hAnsi="宋体"/>
          <w:b/>
          <w:sz w:val="22"/>
        </w:rPr>
      </w:pPr>
      <w:bookmarkStart w:id="96" w:name="_Toc422638519"/>
      <w:bookmarkStart w:id="97" w:name="_Toc7548"/>
      <w:bookmarkStart w:id="98" w:name="_Toc21775"/>
      <w:bookmarkStart w:id="99" w:name="_Toc9243"/>
      <w:bookmarkStart w:id="100" w:name="_Toc15972"/>
      <w:bookmarkStart w:id="101" w:name="_Toc1322"/>
      <w:r>
        <w:rPr>
          <w:rFonts w:hint="eastAsia" w:ascii="宋体" w:hAnsi="宋体"/>
          <w:b/>
          <w:sz w:val="22"/>
        </w:rPr>
        <w:t>十三、违约责任</w:t>
      </w:r>
      <w:bookmarkEnd w:id="96"/>
      <w:bookmarkEnd w:id="97"/>
      <w:bookmarkEnd w:id="98"/>
      <w:bookmarkEnd w:id="99"/>
      <w:bookmarkEnd w:id="100"/>
      <w:bookmarkEnd w:id="101"/>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甲方无正当理由拒收货物的，甲方向乙方偿付拒收货款总值的每日0.05%的违约金。</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甲方无故逾期验收和办理货款支付手续的,甲方应按逾期付款总额每日0.05%向乙方支付违约金。</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 xml:space="preserve">乙方逾期交付货物和本合同规定的文件资料的，或者未按甲方时间要求完成安装调试并通过甲方终验收的，乙方应按合同总额每日0.6%向甲方支付违约金，由甲方从货款中扣除。逾期超过约定日期10个工作日的，甲方可解除本合同。乙方因逾期交货或因其他违约行为导致甲方解除合同的，乙方应向甲方支付合同总价5%的违约金，如造成甲方损失超过违约金的，超出部分由乙方继续承担赔偿责任。 </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4. </w:t>
      </w:r>
      <w:r>
        <w:rPr>
          <w:rFonts w:hint="eastAsia" w:ascii="宋体" w:hAnsi="宋体"/>
          <w:sz w:val="22"/>
        </w:rPr>
        <w:t>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firstLine="442" w:firstLineChars="200"/>
        <w:rPr>
          <w:rFonts w:ascii="宋体" w:hAnsi="宋体"/>
          <w:sz w:val="22"/>
        </w:rPr>
      </w:pPr>
      <w:r>
        <w:rPr>
          <w:rFonts w:hint="eastAsia" w:ascii="宋体" w:hAnsi="宋体"/>
          <w:b/>
          <w:sz w:val="22"/>
        </w:rPr>
        <w:t>6.</w:t>
      </w:r>
      <w:r>
        <w:rPr>
          <w:rFonts w:hint="eastAsia" w:ascii="宋体" w:hAnsi="宋体"/>
          <w:sz w:val="22"/>
        </w:rPr>
        <w:t xml:space="preserve"> 乙方不在约定期限内派人维修或维修质量验收不合格的，甲方可以委托他人修理，费用由乙方承担，甲方与第三方确认后可直接从质保金中扣除。</w:t>
      </w:r>
    </w:p>
    <w:p>
      <w:pPr>
        <w:adjustRightInd w:val="0"/>
        <w:snapToGrid w:val="0"/>
        <w:spacing w:line="360" w:lineRule="exact"/>
        <w:ind w:firstLine="442" w:firstLineChars="200"/>
        <w:rPr>
          <w:rFonts w:ascii="宋体" w:hAnsi="宋体"/>
          <w:sz w:val="22"/>
        </w:rPr>
      </w:pPr>
      <w:r>
        <w:rPr>
          <w:rFonts w:hint="eastAsia" w:ascii="宋体" w:hAnsi="宋体"/>
          <w:b/>
          <w:sz w:val="22"/>
        </w:rPr>
        <w:t>7．</w:t>
      </w:r>
      <w:r>
        <w:rPr>
          <w:rFonts w:hint="eastAsia" w:ascii="宋体" w:hAnsi="宋体"/>
          <w:sz w:val="22"/>
        </w:rPr>
        <w:t>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360" w:lineRule="exact"/>
        <w:ind w:firstLine="442" w:firstLineChars="200"/>
        <w:outlineLvl w:val="0"/>
        <w:rPr>
          <w:rFonts w:ascii="宋体" w:hAnsi="宋体"/>
          <w:b/>
          <w:sz w:val="22"/>
        </w:rPr>
      </w:pPr>
      <w:bookmarkStart w:id="102" w:name="_Toc422638520"/>
      <w:bookmarkStart w:id="103" w:name="_Toc12658"/>
      <w:bookmarkStart w:id="104" w:name="_Toc30225"/>
      <w:bookmarkStart w:id="105" w:name="_Toc4514"/>
      <w:bookmarkStart w:id="106" w:name="_Toc13046"/>
      <w:bookmarkStart w:id="107" w:name="_Toc20791"/>
      <w:r>
        <w:rPr>
          <w:rFonts w:hint="eastAsia" w:ascii="宋体" w:hAnsi="宋体"/>
          <w:b/>
          <w:sz w:val="22"/>
        </w:rPr>
        <w:t>十四、不可抗力事件处理</w:t>
      </w:r>
      <w:bookmarkEnd w:id="102"/>
      <w:bookmarkEnd w:id="103"/>
      <w:bookmarkEnd w:id="104"/>
      <w:bookmarkEnd w:id="105"/>
      <w:bookmarkEnd w:id="106"/>
      <w:bookmarkEnd w:id="107"/>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在合同有效期内，任何一方因不可抗力事件导致不能履行合同，则合同履行期可延长，其延长期与不可抗力影响期相同。</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不可抗力事件发生后，遭遇不可抗力的一方应立即通知对方，并寄送有关官方权威机构出具的证明。</w:t>
      </w:r>
    </w:p>
    <w:p>
      <w:pPr>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2" w:firstLineChars="200"/>
        <w:rPr>
          <w:rFonts w:ascii="宋体" w:hAnsi="宋体"/>
          <w:b/>
          <w:sz w:val="22"/>
        </w:rPr>
      </w:pPr>
      <w:r>
        <w:rPr>
          <w:rFonts w:hint="eastAsia" w:ascii="宋体" w:hAnsi="宋体"/>
          <w:b/>
          <w:sz w:val="22"/>
        </w:rPr>
        <w:t>十五、争议解决</w:t>
      </w:r>
    </w:p>
    <w:p>
      <w:pPr>
        <w:adjustRightInd w:val="0"/>
        <w:snapToGrid w:val="0"/>
        <w:spacing w:line="360" w:lineRule="exact"/>
        <w:ind w:firstLine="440" w:firstLineChars="200"/>
        <w:rPr>
          <w:rFonts w:ascii="宋体" w:hAnsi="宋体"/>
          <w:sz w:val="22"/>
        </w:rPr>
      </w:pPr>
      <w:r>
        <w:rPr>
          <w:rFonts w:hint="eastAsia" w:ascii="宋体" w:hAnsi="宋体"/>
          <w:sz w:val="22"/>
        </w:rPr>
        <w:t>双方在执行合同中所发生的一切争议，应通过协商解决。如协商不成，由甲方所在地的人民法院管辖审理。</w:t>
      </w:r>
    </w:p>
    <w:p>
      <w:pPr>
        <w:adjustRightInd w:val="0"/>
        <w:snapToGrid w:val="0"/>
        <w:spacing w:line="360" w:lineRule="exact"/>
        <w:ind w:firstLine="442" w:firstLineChars="200"/>
        <w:rPr>
          <w:rFonts w:ascii="宋体" w:hAnsi="宋体"/>
          <w:b/>
          <w:sz w:val="22"/>
        </w:rPr>
      </w:pPr>
      <w:r>
        <w:rPr>
          <w:rFonts w:hint="eastAsia" w:ascii="宋体" w:hAnsi="宋体"/>
          <w:b/>
          <w:sz w:val="22"/>
        </w:rPr>
        <w:t>十六、合同组成文件包含下列内容，合同与招投标文件不一致解释顺序如下：</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本合同协议书</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中标通知书</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投标书及其附件</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招标文件</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标准、规范及有关技术文件</w:t>
      </w:r>
    </w:p>
    <w:p>
      <w:pPr>
        <w:adjustRightInd w:val="0"/>
        <w:snapToGrid w:val="0"/>
        <w:spacing w:line="360" w:lineRule="exact"/>
        <w:ind w:firstLine="442" w:firstLineChars="200"/>
        <w:outlineLvl w:val="0"/>
        <w:rPr>
          <w:rFonts w:ascii="宋体" w:hAnsi="宋体"/>
          <w:b/>
          <w:sz w:val="22"/>
        </w:rPr>
      </w:pPr>
      <w:bookmarkStart w:id="108" w:name="_Toc422638521"/>
      <w:bookmarkStart w:id="109" w:name="_Toc20561"/>
      <w:bookmarkStart w:id="110" w:name="_Toc8300"/>
      <w:bookmarkStart w:id="111" w:name="_Toc19002"/>
      <w:bookmarkStart w:id="112" w:name="_Toc32611"/>
      <w:bookmarkStart w:id="113" w:name="_Toc14729"/>
      <w:r>
        <w:rPr>
          <w:rFonts w:hint="eastAsia" w:ascii="宋体" w:hAnsi="宋体"/>
          <w:b/>
          <w:sz w:val="22"/>
        </w:rPr>
        <w:t>十七、合同生效及其它</w:t>
      </w:r>
      <w:bookmarkEnd w:id="108"/>
      <w:bookmarkEnd w:id="109"/>
      <w:bookmarkEnd w:id="110"/>
      <w:bookmarkEnd w:id="111"/>
      <w:bookmarkEnd w:id="112"/>
      <w:bookmarkEnd w:id="113"/>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合同经双方法定代表人或授权代表签字并加盖单位公章之日起生效。</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本合同未尽事宜，双方可签订补充协议予以执行；未达成补充协议的，遵照《合同法》及有关法律法规执行。</w:t>
      </w:r>
    </w:p>
    <w:p>
      <w:pPr>
        <w:tabs>
          <w:tab w:val="right" w:pos="8306"/>
        </w:tabs>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本合同一式陆份，甲执四份，乙方持二份，具有同等法律效力。</w:t>
      </w:r>
    </w:p>
    <w:p>
      <w:pPr>
        <w:tabs>
          <w:tab w:val="right" w:pos="8306"/>
        </w:tabs>
        <w:adjustRightInd w:val="0"/>
        <w:snapToGrid w:val="0"/>
        <w:spacing w:line="360" w:lineRule="exact"/>
        <w:ind w:firstLine="440" w:firstLineChars="200"/>
        <w:jc w:val="left"/>
        <w:rPr>
          <w:rFonts w:ascii="宋体" w:hAnsi="宋体"/>
          <w:sz w:val="22"/>
        </w:rPr>
      </w:pPr>
      <w:r>
        <w:rPr>
          <w:rFonts w:hint="eastAsia" w:ascii="宋体" w:hAnsi="宋体"/>
          <w:sz w:val="22"/>
        </w:rPr>
        <w:tab/>
      </w:r>
    </w:p>
    <w:p>
      <w:pPr>
        <w:tabs>
          <w:tab w:val="right" w:pos="8306"/>
        </w:tabs>
        <w:adjustRightInd w:val="0"/>
        <w:snapToGrid w:val="0"/>
        <w:spacing w:line="360" w:lineRule="exact"/>
        <w:ind w:firstLine="440" w:firstLineChars="200"/>
        <w:jc w:val="left"/>
        <w:rPr>
          <w:rFonts w:ascii="宋体" w:hAnsi="宋体"/>
          <w:sz w:val="22"/>
        </w:rPr>
      </w:pPr>
    </w:p>
    <w:p>
      <w:pPr>
        <w:tabs>
          <w:tab w:val="right" w:pos="8306"/>
        </w:tabs>
        <w:adjustRightInd w:val="0"/>
        <w:snapToGrid w:val="0"/>
        <w:spacing w:line="360" w:lineRule="exact"/>
        <w:ind w:firstLine="440" w:firstLineChars="200"/>
        <w:jc w:val="left"/>
        <w:rPr>
          <w:rFonts w:ascii="宋体" w:hAnsi="宋体"/>
          <w:sz w:val="22"/>
        </w:rPr>
      </w:pPr>
    </w:p>
    <w:p>
      <w:pPr>
        <w:adjustRightInd w:val="0"/>
        <w:snapToGrid w:val="0"/>
        <w:spacing w:line="360" w:lineRule="exact"/>
        <w:jc w:val="left"/>
        <w:rPr>
          <w:rFonts w:ascii="宋体" w:hAnsi="宋体"/>
          <w:sz w:val="22"/>
        </w:rPr>
      </w:pPr>
      <w:r>
        <w:rPr>
          <w:rFonts w:hint="eastAsia" w:ascii="宋体" w:hAnsi="宋体"/>
          <w:sz w:val="22"/>
        </w:rPr>
        <w:t xml:space="preserve">甲方：杭州萧山国际机场有限公司            乙方： </w:t>
      </w:r>
    </w:p>
    <w:p>
      <w:pPr>
        <w:adjustRightInd w:val="0"/>
        <w:snapToGrid w:val="0"/>
        <w:spacing w:line="360" w:lineRule="exact"/>
        <w:ind w:left="6750" w:hanging="6750"/>
        <w:jc w:val="left"/>
        <w:rPr>
          <w:rFonts w:ascii="宋体" w:hAnsi="宋体"/>
          <w:sz w:val="22"/>
        </w:rPr>
      </w:pPr>
      <w:r>
        <w:rPr>
          <w:rFonts w:hint="eastAsia" w:ascii="宋体" w:hAnsi="宋体"/>
          <w:sz w:val="22"/>
        </w:rPr>
        <w:t xml:space="preserve">地址：杭州萧山国际机场内                  地址： </w:t>
      </w:r>
    </w:p>
    <w:p>
      <w:pPr>
        <w:adjustRightInd w:val="0"/>
        <w:snapToGrid w:val="0"/>
        <w:spacing w:line="360" w:lineRule="exact"/>
        <w:ind w:left="6750" w:hanging="6750"/>
        <w:jc w:val="left"/>
        <w:rPr>
          <w:rFonts w:ascii="宋体" w:hAnsi="宋体"/>
          <w:sz w:val="22"/>
        </w:rPr>
      </w:pPr>
    </w:p>
    <w:p>
      <w:pPr>
        <w:adjustRightInd w:val="0"/>
        <w:snapToGrid w:val="0"/>
        <w:spacing w:line="360" w:lineRule="exact"/>
        <w:jc w:val="left"/>
        <w:rPr>
          <w:rFonts w:ascii="宋体" w:hAnsi="宋体"/>
          <w:sz w:val="22"/>
        </w:rPr>
      </w:pPr>
      <w:r>
        <w:rPr>
          <w:rFonts w:hint="eastAsia" w:ascii="宋体" w:hAnsi="宋体"/>
          <w:sz w:val="22"/>
        </w:rPr>
        <w:t>法定代表人（签字）：                       法定代表人（签字）：</w:t>
      </w:r>
    </w:p>
    <w:p>
      <w:pPr>
        <w:adjustRightInd w:val="0"/>
        <w:snapToGrid w:val="0"/>
        <w:spacing w:line="360" w:lineRule="exact"/>
        <w:jc w:val="left"/>
        <w:rPr>
          <w:rFonts w:ascii="宋体" w:hAnsi="宋体"/>
          <w:sz w:val="22"/>
        </w:rPr>
      </w:pPr>
      <w:r>
        <w:rPr>
          <w:rFonts w:hint="eastAsia" w:ascii="宋体" w:hAnsi="宋体"/>
          <w:sz w:val="22"/>
        </w:rPr>
        <w:t>或                                        或</w:t>
      </w:r>
    </w:p>
    <w:p>
      <w:pPr>
        <w:adjustRightInd w:val="0"/>
        <w:snapToGrid w:val="0"/>
        <w:spacing w:line="360" w:lineRule="exact"/>
        <w:jc w:val="left"/>
        <w:rPr>
          <w:rFonts w:ascii="宋体" w:hAnsi="宋体"/>
          <w:sz w:val="22"/>
        </w:rPr>
      </w:pPr>
      <w:r>
        <w:rPr>
          <w:rFonts w:hint="eastAsia" w:ascii="宋体" w:hAnsi="宋体"/>
          <w:sz w:val="22"/>
        </w:rPr>
        <w:t>授权代表（签字）：                         授权代表（签字）：</w:t>
      </w:r>
    </w:p>
    <w:p>
      <w:pPr>
        <w:adjustRightInd w:val="0"/>
        <w:snapToGrid w:val="0"/>
        <w:spacing w:line="360" w:lineRule="exact"/>
        <w:jc w:val="left"/>
        <w:rPr>
          <w:rFonts w:ascii="宋体" w:hAnsi="宋体"/>
          <w:b/>
          <w:sz w:val="22"/>
        </w:rPr>
      </w:pPr>
      <w:r>
        <w:rPr>
          <w:rFonts w:hint="eastAsia" w:ascii="宋体" w:hAnsi="宋体"/>
          <w:sz w:val="22"/>
        </w:rPr>
        <w:t xml:space="preserve">签字日期：                                签字日期： </w:t>
      </w:r>
    </w:p>
    <w:p>
      <w:pPr>
        <w:adjustRightInd w:val="0"/>
        <w:snapToGrid w:val="0"/>
        <w:spacing w:line="360" w:lineRule="exact"/>
        <w:ind w:firstLine="440" w:firstLineChars="200"/>
        <w:jc w:val="left"/>
        <w:rPr>
          <w:rFonts w:ascii="宋体" w:hAnsi="宋体"/>
          <w:b/>
          <w:sz w:val="22"/>
        </w:rPr>
      </w:pPr>
      <w:r>
        <w:rPr>
          <w:rFonts w:hint="eastAsia" w:ascii="宋体" w:hAnsi="宋体"/>
          <w:sz w:val="22"/>
        </w:rPr>
        <w:t>年  月  日                              年  月  日</w:t>
      </w:r>
    </w:p>
    <w:p>
      <w:pPr>
        <w:adjustRightInd w:val="0"/>
        <w:snapToGrid w:val="0"/>
        <w:spacing w:line="360" w:lineRule="exact"/>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我单位将承担实际损失赔偿责任。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8"/>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114" w:name="_Toc24409"/>
      <w:bookmarkStart w:id="115" w:name="_Toc17497"/>
      <w:r>
        <w:rPr>
          <w:rFonts w:hint="eastAsia"/>
        </w:rPr>
        <w:t>第五章</w:t>
      </w:r>
      <w:r>
        <w:t xml:space="preserve">  </w:t>
      </w:r>
      <w:r>
        <w:rPr>
          <w:rFonts w:hint="eastAsia"/>
        </w:rPr>
        <w:t>用户需求书</w:t>
      </w:r>
      <w:bookmarkEnd w:id="114"/>
      <w:bookmarkEnd w:id="115"/>
    </w:p>
    <w:p>
      <w:pPr>
        <w:pStyle w:val="4"/>
        <w:spacing w:before="160" w:after="160" w:line="360" w:lineRule="exact"/>
        <w:ind w:firstLine="281" w:firstLineChars="100"/>
        <w:jc w:val="left"/>
        <w:rPr>
          <w:rFonts w:ascii="宋体" w:hAnsi="宋体" w:eastAsia="宋体" w:cs="宋体"/>
          <w:sz w:val="23"/>
          <w:szCs w:val="23"/>
        </w:rPr>
      </w:pPr>
      <w:r>
        <w:rPr>
          <w:rFonts w:hint="eastAsia"/>
        </w:rPr>
        <w:t>一</w:t>
      </w:r>
      <w:r>
        <w:t>、设备需求一览表</w:t>
      </w:r>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845"/>
        <w:gridCol w:w="2225"/>
        <w:gridCol w:w="188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4" w:type="dxa"/>
            <w:vAlign w:val="center"/>
          </w:tcPr>
          <w:p>
            <w:pPr>
              <w:adjustRightInd w:val="0"/>
              <w:snapToGrid w:val="0"/>
              <w:jc w:val="center"/>
              <w:rPr>
                <w:rFonts w:ascii="宋体"/>
                <w:caps/>
                <w:color w:val="000000"/>
                <w:sz w:val="22"/>
              </w:rPr>
            </w:pPr>
            <w:bookmarkStart w:id="116" w:name="_bookmark150"/>
            <w:bookmarkEnd w:id="116"/>
            <w:r>
              <w:rPr>
                <w:rFonts w:hint="eastAsia" w:ascii="宋体" w:hAnsi="宋体"/>
                <w:caps/>
                <w:color w:val="000000"/>
                <w:sz w:val="22"/>
              </w:rPr>
              <w:t>货物名称</w:t>
            </w:r>
          </w:p>
        </w:tc>
        <w:tc>
          <w:tcPr>
            <w:tcW w:w="845" w:type="dxa"/>
            <w:vAlign w:val="center"/>
          </w:tcPr>
          <w:p>
            <w:pPr>
              <w:adjustRightInd w:val="0"/>
              <w:snapToGrid w:val="0"/>
              <w:jc w:val="center"/>
              <w:rPr>
                <w:rFonts w:ascii="宋体"/>
                <w:caps/>
                <w:color w:val="000000"/>
                <w:sz w:val="22"/>
              </w:rPr>
            </w:pPr>
            <w:r>
              <w:rPr>
                <w:rFonts w:hint="eastAsia" w:ascii="宋体" w:hAnsi="宋体"/>
                <w:caps/>
                <w:color w:val="000000"/>
                <w:sz w:val="22"/>
              </w:rPr>
              <w:t>数量</w:t>
            </w:r>
          </w:p>
        </w:tc>
        <w:tc>
          <w:tcPr>
            <w:tcW w:w="2225" w:type="dxa"/>
            <w:vAlign w:val="center"/>
          </w:tcPr>
          <w:p>
            <w:pPr>
              <w:adjustRightInd w:val="0"/>
              <w:snapToGrid w:val="0"/>
              <w:jc w:val="center"/>
              <w:rPr>
                <w:rFonts w:ascii="宋体"/>
                <w:caps/>
                <w:color w:val="000000"/>
                <w:sz w:val="22"/>
              </w:rPr>
            </w:pPr>
            <w:r>
              <w:rPr>
                <w:rFonts w:hint="eastAsia" w:ascii="宋体" w:hAnsi="宋体"/>
                <w:caps/>
                <w:color w:val="000000"/>
                <w:sz w:val="22"/>
              </w:rPr>
              <w:t>主要技术规格</w:t>
            </w:r>
          </w:p>
        </w:tc>
        <w:tc>
          <w:tcPr>
            <w:tcW w:w="1886" w:type="dxa"/>
            <w:vAlign w:val="center"/>
          </w:tcPr>
          <w:p>
            <w:pPr>
              <w:adjustRightInd w:val="0"/>
              <w:snapToGrid w:val="0"/>
              <w:jc w:val="center"/>
              <w:rPr>
                <w:rFonts w:ascii="宋体"/>
                <w:caps/>
                <w:color w:val="000000"/>
                <w:sz w:val="22"/>
              </w:rPr>
            </w:pPr>
            <w:r>
              <w:rPr>
                <w:rFonts w:hint="eastAsia" w:ascii="宋体" w:hAnsi="宋体"/>
                <w:caps/>
                <w:color w:val="000000"/>
                <w:sz w:val="22"/>
              </w:rPr>
              <w:t>供货期</w:t>
            </w:r>
          </w:p>
        </w:tc>
        <w:tc>
          <w:tcPr>
            <w:tcW w:w="1559" w:type="dxa"/>
            <w:vAlign w:val="center"/>
          </w:tcPr>
          <w:p>
            <w:pPr>
              <w:adjustRightInd w:val="0"/>
              <w:snapToGrid w:val="0"/>
              <w:jc w:val="center"/>
              <w:rPr>
                <w:rFonts w:ascii="宋体"/>
                <w:caps/>
                <w:color w:val="000000"/>
                <w:sz w:val="22"/>
              </w:rPr>
            </w:pPr>
            <w:r>
              <w:rPr>
                <w:rFonts w:hint="eastAsia" w:ascii="宋体" w:hAnsi="宋体"/>
                <w:caps/>
                <w:color w:val="000000"/>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4" w:type="dxa"/>
            <w:vAlign w:val="center"/>
          </w:tcPr>
          <w:p>
            <w:pPr>
              <w:snapToGrid w:val="0"/>
              <w:jc w:val="center"/>
              <w:rPr>
                <w:rFonts w:ascii="宋体"/>
                <w:color w:val="000000"/>
                <w:sz w:val="22"/>
              </w:rPr>
            </w:pPr>
            <w:r>
              <w:rPr>
                <w:rFonts w:hint="eastAsia" w:ascii="宋体"/>
                <w:color w:val="000000"/>
                <w:sz w:val="22"/>
              </w:rPr>
              <w:t>有轨不锈钢电动伸缩门（含原有伸缩门拆除）</w:t>
            </w:r>
          </w:p>
        </w:tc>
        <w:tc>
          <w:tcPr>
            <w:tcW w:w="845" w:type="dxa"/>
            <w:vAlign w:val="center"/>
          </w:tcPr>
          <w:p>
            <w:pPr>
              <w:snapToGrid w:val="0"/>
              <w:jc w:val="center"/>
              <w:rPr>
                <w:rFonts w:ascii="宋体"/>
                <w:color w:val="000000"/>
                <w:sz w:val="22"/>
              </w:rPr>
            </w:pPr>
            <w:r>
              <w:rPr>
                <w:rFonts w:hint="eastAsia" w:ascii="宋体"/>
                <w:color w:val="000000"/>
                <w:sz w:val="22"/>
              </w:rPr>
              <w:t>1</w:t>
            </w:r>
          </w:p>
        </w:tc>
        <w:tc>
          <w:tcPr>
            <w:tcW w:w="2225" w:type="dxa"/>
            <w:vAlign w:val="center"/>
          </w:tcPr>
          <w:p>
            <w:pPr>
              <w:pStyle w:val="22"/>
              <w:numPr>
                <w:ilvl w:val="0"/>
                <w:numId w:val="2"/>
              </w:numPr>
              <w:spacing w:line="440" w:lineRule="exact"/>
              <w:ind w:firstLineChars="0"/>
              <w:jc w:val="left"/>
              <w:rPr>
                <w:rFonts w:ascii="宋体" w:hAnsi="宋体"/>
                <w:color w:val="000000"/>
                <w:spacing w:val="4"/>
                <w:sz w:val="22"/>
              </w:rPr>
            </w:pPr>
            <w:r>
              <w:rPr>
                <w:rFonts w:hint="eastAsia" w:ascii="宋体"/>
                <w:color w:val="000000"/>
                <w:sz w:val="22"/>
              </w:rPr>
              <w:t>门体高1</w:t>
            </w:r>
            <w:r>
              <w:rPr>
                <w:rFonts w:ascii="宋体"/>
                <w:color w:val="000000"/>
                <w:sz w:val="22"/>
              </w:rPr>
              <w:t>.8</w:t>
            </w:r>
            <w:r>
              <w:rPr>
                <w:rFonts w:hint="eastAsia" w:ascii="宋体"/>
                <w:color w:val="000000"/>
                <w:sz w:val="22"/>
              </w:rPr>
              <w:t xml:space="preserve">M，长 </w:t>
            </w:r>
            <w:r>
              <w:rPr>
                <w:rFonts w:ascii="宋体"/>
                <w:color w:val="000000"/>
                <w:sz w:val="22"/>
              </w:rPr>
              <w:t>7.5</w:t>
            </w:r>
            <w:r>
              <w:rPr>
                <w:rFonts w:hint="eastAsia" w:ascii="宋体"/>
                <w:color w:val="000000"/>
                <w:sz w:val="22"/>
              </w:rPr>
              <w:t>M，宽0</w:t>
            </w:r>
            <w:r>
              <w:rPr>
                <w:rFonts w:ascii="宋体"/>
                <w:color w:val="000000"/>
                <w:sz w:val="22"/>
              </w:rPr>
              <w:t>.69</w:t>
            </w:r>
            <w:r>
              <w:rPr>
                <w:rFonts w:hint="eastAsia" w:ascii="宋体"/>
                <w:color w:val="000000"/>
                <w:sz w:val="22"/>
              </w:rPr>
              <w:t>M，</w:t>
            </w:r>
            <w:r>
              <w:rPr>
                <w:rFonts w:hint="eastAsia" w:ascii="宋体" w:hAnsi="宋体"/>
                <w:color w:val="000000"/>
                <w:spacing w:val="4"/>
                <w:sz w:val="22"/>
                <w:szCs w:val="22"/>
              </w:rPr>
              <w:t>门体为304不锈钢型材制作</w:t>
            </w:r>
            <w:r>
              <w:rPr>
                <w:rFonts w:hint="eastAsia" w:ascii="宋体"/>
                <w:color w:val="000000"/>
                <w:sz w:val="22"/>
                <w:szCs w:val="22"/>
              </w:rPr>
              <w:t>，双轨控制行走系统（导轨无需更新），门体机头需采用防水结构</w:t>
            </w:r>
            <w:r>
              <w:rPr>
                <w:rFonts w:hint="eastAsia" w:ascii="宋体" w:hAnsi="宋体"/>
                <w:color w:val="000000"/>
                <w:spacing w:val="4"/>
                <w:sz w:val="22"/>
                <w:szCs w:val="22"/>
              </w:rPr>
              <w:t>。</w:t>
            </w:r>
          </w:p>
          <w:p>
            <w:pPr>
              <w:pStyle w:val="22"/>
              <w:numPr>
                <w:ilvl w:val="0"/>
                <w:numId w:val="2"/>
              </w:numPr>
              <w:spacing w:line="440" w:lineRule="exact"/>
              <w:ind w:firstLineChars="0"/>
              <w:jc w:val="left"/>
              <w:rPr>
                <w:rFonts w:ascii="宋体" w:hAnsi="宋体"/>
                <w:color w:val="000000"/>
                <w:spacing w:val="4"/>
                <w:sz w:val="22"/>
              </w:rPr>
            </w:pPr>
            <w:r>
              <w:rPr>
                <w:rFonts w:hint="eastAsia" w:ascii="宋体" w:hAnsi="宋体"/>
                <w:color w:val="000000"/>
                <w:spacing w:val="4"/>
                <w:sz w:val="22"/>
              </w:rPr>
              <w:t>不锈钢厚度不低于1.5MM。</w:t>
            </w:r>
          </w:p>
          <w:p>
            <w:pPr>
              <w:pStyle w:val="22"/>
              <w:numPr>
                <w:ilvl w:val="0"/>
                <w:numId w:val="2"/>
              </w:numPr>
              <w:spacing w:line="440" w:lineRule="exact"/>
              <w:ind w:firstLineChars="0"/>
              <w:jc w:val="left"/>
              <w:rPr>
                <w:rFonts w:ascii="宋体" w:hAnsi="宋体"/>
                <w:color w:val="000000"/>
                <w:spacing w:val="4"/>
                <w:sz w:val="22"/>
              </w:rPr>
            </w:pPr>
            <w:r>
              <w:rPr>
                <w:rFonts w:hint="eastAsia" w:ascii="宋体" w:hAnsi="宋体"/>
                <w:color w:val="000000"/>
                <w:spacing w:val="4"/>
                <w:sz w:val="22"/>
              </w:rPr>
              <w:t>轮子为不锈钢材料，内装高强轴承。</w:t>
            </w:r>
          </w:p>
          <w:p>
            <w:pPr>
              <w:pStyle w:val="22"/>
              <w:numPr>
                <w:ilvl w:val="0"/>
                <w:numId w:val="2"/>
              </w:numPr>
              <w:spacing w:line="440" w:lineRule="exact"/>
              <w:ind w:firstLineChars="0"/>
              <w:jc w:val="left"/>
              <w:rPr>
                <w:rFonts w:ascii="宋体" w:hAnsi="宋体"/>
                <w:color w:val="000000"/>
                <w:spacing w:val="4"/>
                <w:sz w:val="22"/>
              </w:rPr>
            </w:pPr>
            <w:r>
              <w:rPr>
                <w:rFonts w:hint="eastAsia" w:ascii="宋体"/>
                <w:color w:val="000000"/>
                <w:sz w:val="22"/>
              </w:rPr>
              <w:t>要求配置50个遥控器。</w:t>
            </w:r>
          </w:p>
          <w:p>
            <w:pPr>
              <w:spacing w:line="440" w:lineRule="exact"/>
              <w:rPr>
                <w:rFonts w:ascii="宋体"/>
                <w:color w:val="000000"/>
                <w:sz w:val="22"/>
              </w:rPr>
            </w:pPr>
          </w:p>
        </w:tc>
        <w:tc>
          <w:tcPr>
            <w:tcW w:w="1886" w:type="dxa"/>
            <w:vAlign w:val="center"/>
          </w:tcPr>
          <w:p>
            <w:pPr>
              <w:adjustRightInd w:val="0"/>
              <w:snapToGrid w:val="0"/>
              <w:jc w:val="center"/>
              <w:rPr>
                <w:rFonts w:ascii="宋体"/>
                <w:b/>
                <w:color w:val="000000"/>
                <w:sz w:val="22"/>
              </w:rPr>
            </w:pPr>
            <w:r>
              <w:rPr>
                <w:rFonts w:hint="eastAsia" w:ascii="宋体" w:hAnsi="宋体"/>
                <w:b/>
                <w:color w:val="000000"/>
                <w:sz w:val="22"/>
              </w:rPr>
              <w:t>30天</w:t>
            </w:r>
          </w:p>
        </w:tc>
        <w:tc>
          <w:tcPr>
            <w:tcW w:w="1559" w:type="dxa"/>
            <w:vAlign w:val="center"/>
          </w:tcPr>
          <w:p>
            <w:pPr>
              <w:adjustRightInd w:val="0"/>
              <w:snapToGrid w:val="0"/>
              <w:jc w:val="center"/>
              <w:rPr>
                <w:rFonts w:ascii="宋体"/>
                <w:color w:val="000000"/>
                <w:sz w:val="22"/>
              </w:rPr>
            </w:pPr>
            <w:r>
              <w:rPr>
                <w:rFonts w:hint="eastAsia" w:ascii="宋体" w:hAnsi="宋体"/>
                <w:color w:val="000000"/>
                <w:sz w:val="22"/>
              </w:rPr>
              <w:t>杭州萧山国际机场</w:t>
            </w:r>
            <w:r>
              <w:rPr>
                <w:rFonts w:hint="eastAsia" w:ascii="宋体" w:hAnsi="宋体"/>
                <w:color w:val="0000FF"/>
                <w:sz w:val="22"/>
              </w:rPr>
              <w:t>内</w:t>
            </w:r>
          </w:p>
        </w:tc>
      </w:tr>
    </w:tbl>
    <w:p>
      <w:pPr>
        <w:pStyle w:val="4"/>
        <w:spacing w:before="160" w:after="160" w:line="360" w:lineRule="exact"/>
        <w:ind w:firstLine="281" w:firstLineChars="100"/>
        <w:jc w:val="left"/>
      </w:pPr>
      <w:bookmarkStart w:id="117" w:name="_bookmark152"/>
      <w:bookmarkEnd w:id="117"/>
      <w:bookmarkStart w:id="118" w:name="_bookmark151"/>
      <w:bookmarkEnd w:id="118"/>
      <w:r>
        <w:rPr>
          <w:rFonts w:hint="eastAsia"/>
        </w:rPr>
        <w:t>二</w:t>
      </w:r>
      <w:r>
        <w:t>、技术服务和质保期服务要求</w:t>
      </w:r>
    </w:p>
    <w:p>
      <w:pPr>
        <w:rPr>
          <w:rFonts w:ascii="宋体" w:hAnsi="宋体" w:cs="宋体"/>
          <w:sz w:val="22"/>
        </w:rPr>
      </w:pPr>
      <w:r>
        <w:rPr>
          <w:rFonts w:ascii="宋体" w:hAnsi="宋体" w:cs="宋体"/>
          <w:sz w:val="22"/>
        </w:rPr>
        <w:t>1.本项目产品的质量保修期默认为自验收通过之日起24个月。</w:t>
      </w:r>
    </w:p>
    <w:p>
      <w:pPr>
        <w:rPr>
          <w:rFonts w:ascii="宋体" w:hAnsi="宋体" w:cs="宋体"/>
          <w:sz w:val="22"/>
        </w:rPr>
      </w:pPr>
      <w:r>
        <w:rPr>
          <w:rFonts w:ascii="宋体" w:hAnsi="宋体" w:cs="宋体"/>
          <w:sz w:val="22"/>
        </w:rPr>
        <w:t xml:space="preserve">2.若中标人所供产品被查出全部或者部分是次品、旧品、水货、侵犯知识产权的产品的，则中标人应自发现之日起（或者故障报修之日起满三个月后）三个工作日内对产品进行更换，且更换的产品应为不低于原产品型号、质量、配置、性能和售后服务的产品。 </w:t>
      </w:r>
    </w:p>
    <w:p>
      <w:pPr>
        <w:rPr>
          <w:rFonts w:ascii="宋体" w:hAnsi="宋体" w:cs="宋体"/>
          <w:sz w:val="22"/>
        </w:rPr>
      </w:pPr>
      <w:r>
        <w:rPr>
          <w:rFonts w:ascii="宋体" w:hAnsi="宋体" w:cs="宋体"/>
          <w:sz w:val="22"/>
        </w:rPr>
        <w:t>3.中标人提供的货物在质保期内因货物本身的质量问题发生故障，中标人应负责免费更换。对达不到技术要求者，招标人有权退还投标人所供货物，投标人应退还招标人支付的合同款，同时应承担该货物的直接费用（运输、保险、检验、货款利息及银行手续费等）以及由此给招标人造成的损失。</w:t>
      </w:r>
    </w:p>
    <w:p>
      <w:pPr>
        <w:rPr>
          <w:rFonts w:ascii="宋体" w:hAnsi="宋体" w:cs="宋体"/>
          <w:sz w:val="22"/>
        </w:rPr>
      </w:pPr>
      <w:r>
        <w:rPr>
          <w:rFonts w:ascii="宋体" w:hAnsi="宋体" w:cs="宋体"/>
          <w:sz w:val="22"/>
        </w:rPr>
        <w:t>4.在质保期内，投标人应对货物出现的质量及安全问题负责处理解决并承担一切费用。</w:t>
      </w:r>
    </w:p>
    <w:p>
      <w:pPr>
        <w:rPr>
          <w:rFonts w:ascii="宋体" w:hAnsi="宋体" w:cs="宋体"/>
          <w:sz w:val="24"/>
          <w:szCs w:val="24"/>
        </w:rPr>
      </w:pPr>
      <w:r>
        <w:rPr>
          <w:rFonts w:ascii="宋体" w:hAnsi="宋体" w:cs="宋体"/>
          <w:sz w:val="22"/>
        </w:rPr>
        <w:t>5.产品故障报修的响应时间：应在接到产品故障报修后12小时内响应，1个工作日内到达现场，1个工作日内处理完毕。若故障检修1个工作日后仍无法排除的，中标人应在故障报修2个工作日后的一个工作日内提供不低于故障规格型号档次的替代产品供招标人使用。如对货物出现的质量及安全问题经处理仍不能解决的，则招标人有权退货或要求投标人更换货物。</w:t>
      </w:r>
      <w:r>
        <w:rPr>
          <w:rFonts w:ascii="宋体" w:hAnsi="宋体" w:cs="宋体"/>
          <w:sz w:val="24"/>
          <w:szCs w:val="24"/>
        </w:rPr>
        <w:t> </w:t>
      </w:r>
    </w:p>
    <w:p>
      <w:pPr>
        <w:pStyle w:val="4"/>
        <w:spacing w:before="160" w:after="160" w:line="360" w:lineRule="exact"/>
        <w:jc w:val="left"/>
      </w:pPr>
      <w:r>
        <w:rPr>
          <w:rFonts w:hint="eastAsia"/>
        </w:rPr>
        <w:t>三、其他要求</w:t>
      </w:r>
    </w:p>
    <w:p/>
    <w:p>
      <w:r>
        <w:rPr>
          <w:rFonts w:hint="eastAsia"/>
        </w:rPr>
        <w:t>1、原有伸缩门须拆除，拆除更换后所拆除材料设备及配件，由承包人运至发包人指定地点交发包人处理，相关费用由投标人综合考虑，包含在投标报价中。且相关拆除工作均为保护性拆除，承包人不得暴力拆除，拆除过程中，应做好现有设施的保护工作。如因承包人操作不当，造成现有设施设备破损的，承包人需原样恢复并赔偿损失。</w:t>
      </w:r>
    </w:p>
    <w:p>
      <w:bookmarkStart w:id="119" w:name="_Hlk41289864"/>
      <w:r>
        <w:rPr>
          <w:rFonts w:hint="eastAsia"/>
        </w:rPr>
        <w:t>2、承包人的项目组织实施须遵守机场特别是机场场区管理中心相关规定要求。</w:t>
      </w:r>
    </w:p>
    <w:p>
      <w:r>
        <w:rPr>
          <w:rFonts w:hint="eastAsia"/>
        </w:rPr>
        <w:t>3、承包人在整个项目的实施阶段，应采用拍照方式记录隐蔽工程及各道工序的实施过程，并形成一套完整的影像资料文件；拍摄的影像资料应能全面的记录整个实施全过程（包含实施前中后）的实际状况，所有的隐蔽工程验收及各道工序都须按检验批拍摄留存影像资料文件。</w:t>
      </w:r>
    </w:p>
    <w:p>
      <w:r>
        <w:rPr>
          <w:rFonts w:hint="eastAsia"/>
        </w:rPr>
        <w:t>4、在项目实施期间，承包人须无条件服从机场公司关于工期进度的统一安排。</w:t>
      </w:r>
    </w:p>
    <w:p>
      <w:r>
        <w:rPr>
          <w:rFonts w:hint="eastAsia"/>
        </w:rPr>
        <w:t>5、承包人应高度重视安全文明措施工作，其措施应符合施工实际情况，并能够同实施程序相结合，落实到各道工序中，从而使安全文明措施真正起到保障施工区域安全、保障生命财产安全及促进安全生产的作用。</w:t>
      </w:r>
    </w:p>
    <w:p>
      <w:pPr>
        <w:sectPr>
          <w:headerReference r:id="rId12" w:type="default"/>
          <w:footerReference r:id="rId13" w:type="even"/>
          <w:pgSz w:w="11907" w:h="16840"/>
          <w:pgMar w:top="1191" w:right="1191" w:bottom="1191" w:left="1191" w:header="567" w:footer="720" w:gutter="227"/>
          <w:pgNumType w:fmt="numberInDash"/>
          <w:cols w:space="720" w:num="1"/>
        </w:sectPr>
      </w:pPr>
      <w:r>
        <w:rPr>
          <w:rFonts w:hint="eastAsia"/>
        </w:rPr>
        <w:t>6、在项目实施过程中，承包人须做好降尘降噪措施，不得影响机场正常运行</w:t>
      </w:r>
      <w:bookmarkEnd w:id="119"/>
    </w:p>
    <w:p>
      <w:pPr>
        <w:autoSpaceDE w:val="0"/>
        <w:autoSpaceDN w:val="0"/>
        <w:adjustRightInd w:val="0"/>
        <w:spacing w:line="500" w:lineRule="exact"/>
        <w:rPr>
          <w:rFonts w:ascii="微软雅黑" w:hAnsi="Times New Roman" w:cs="微软雅黑"/>
          <w:b/>
          <w:bCs/>
          <w:kern w:val="0"/>
          <w:sz w:val="32"/>
          <w:szCs w:val="32"/>
        </w:rPr>
      </w:pPr>
    </w:p>
    <w:p>
      <w:pPr>
        <w:pStyle w:val="2"/>
        <w:jc w:val="center"/>
      </w:pPr>
      <w:bookmarkStart w:id="120" w:name="_Toc7430"/>
      <w:r>
        <w:rPr>
          <w:rFonts w:hint="eastAsia"/>
        </w:rPr>
        <w:t>第六章  投标文件格式</w:t>
      </w:r>
      <w:bookmarkEnd w:id="120"/>
    </w:p>
    <w:p>
      <w:pPr>
        <w:autoSpaceDE w:val="0"/>
        <w:autoSpaceDN w:val="0"/>
        <w:adjustRightInd w:val="0"/>
        <w:spacing w:line="500" w:lineRule="exact"/>
        <w:jc w:val="center"/>
        <w:rPr>
          <w:rFonts w:ascii="微软雅黑" w:hAnsi="Times New Roman" w:cs="微软雅黑"/>
          <w:b/>
          <w:bCs/>
          <w:kern w:val="0"/>
          <w:sz w:val="20"/>
          <w:szCs w:val="20"/>
        </w:rPr>
      </w:pPr>
    </w:p>
    <w:p>
      <w:pPr>
        <w:autoSpaceDE w:val="0"/>
        <w:autoSpaceDN w:val="0"/>
        <w:adjustRightInd w:val="0"/>
        <w:spacing w:line="500" w:lineRule="exact"/>
        <w:jc w:val="center"/>
        <w:rPr>
          <w:rFonts w:ascii="微软雅黑" w:hAnsi="Times New Roman" w:cs="微软雅黑"/>
          <w:b/>
          <w:bCs/>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二、</w:t>
      </w:r>
      <w:r>
        <w:rPr>
          <w:rFonts w:hint="eastAsia" w:ascii="微软雅黑" w:hAnsi="Times New Roman" w:cs="微软雅黑"/>
          <w:spacing w:val="-2"/>
          <w:kern w:val="0"/>
          <w:sz w:val="22"/>
        </w:rPr>
        <w:t>法</w:t>
      </w:r>
      <w:r>
        <w:rPr>
          <w:rFonts w:hint="eastAsia" w:ascii="微软雅黑" w:hAnsi="Times New Roman" w:cs="微软雅黑"/>
          <w:kern w:val="0"/>
          <w:sz w:val="22"/>
        </w:rPr>
        <w:t>定</w:t>
      </w:r>
      <w:r>
        <w:rPr>
          <w:rFonts w:hint="eastAsia" w:ascii="微软雅黑" w:hAnsi="Times New Roman" w:cs="微软雅黑"/>
          <w:spacing w:val="-2"/>
          <w:kern w:val="0"/>
          <w:sz w:val="22"/>
        </w:rPr>
        <w:t>代</w:t>
      </w:r>
      <w:r>
        <w:rPr>
          <w:rFonts w:hint="eastAsia" w:ascii="微软雅黑" w:hAnsi="Times New Roman" w:cs="微软雅黑"/>
          <w:kern w:val="0"/>
          <w:sz w:val="22"/>
        </w:rPr>
        <w:t>表</w:t>
      </w:r>
      <w:r>
        <w:rPr>
          <w:rFonts w:hint="eastAsia" w:ascii="微软雅黑" w:hAnsi="Times New Roman" w:cs="微软雅黑"/>
          <w:spacing w:val="-2"/>
          <w:kern w:val="0"/>
          <w:sz w:val="22"/>
        </w:rPr>
        <w:t>人</w:t>
      </w:r>
      <w:r>
        <w:rPr>
          <w:rFonts w:hint="eastAsia" w:ascii="微软雅黑" w:hAnsi="Times New Roman" w:cs="微软雅黑"/>
          <w:kern w:val="0"/>
          <w:sz w:val="22"/>
        </w:rPr>
        <w:t>身</w:t>
      </w:r>
      <w:r>
        <w:rPr>
          <w:rFonts w:hint="eastAsia" w:ascii="微软雅黑" w:hAnsi="Times New Roman" w:cs="微软雅黑"/>
          <w:spacing w:val="-2"/>
          <w:kern w:val="0"/>
          <w:sz w:val="22"/>
        </w:rPr>
        <w:t>份</w:t>
      </w:r>
      <w:r>
        <w:rPr>
          <w:rFonts w:hint="eastAsia" w:ascii="微软雅黑" w:hAnsi="Times New Roman" w:cs="微软雅黑"/>
          <w:kern w:val="0"/>
          <w:sz w:val="22"/>
        </w:rPr>
        <w:t>证</w:t>
      </w:r>
      <w:r>
        <w:rPr>
          <w:rFonts w:hint="eastAsia" w:ascii="微软雅黑" w:hAnsi="Times New Roman" w:cs="微软雅黑"/>
          <w:spacing w:val="-2"/>
          <w:kern w:val="0"/>
          <w:sz w:val="22"/>
        </w:rPr>
        <w:t>明</w:t>
      </w:r>
      <w:r>
        <w:rPr>
          <w:rFonts w:ascii="微软雅黑" w:hAnsi="Times New Roman" w:cs="微软雅黑"/>
          <w:kern w:val="0"/>
          <w:sz w:val="22"/>
        </w:rPr>
        <w:t xml:space="preserve"> </w:t>
      </w:r>
      <w:r>
        <w:rPr>
          <w:rFonts w:hint="eastAsia" w:ascii="微软雅黑" w:hAnsi="Times New Roman" w:cs="微软雅黑"/>
          <w:kern w:val="0"/>
          <w:sz w:val="22"/>
        </w:rPr>
        <w:t>、</w:t>
      </w:r>
      <w:r>
        <w:rPr>
          <w:rFonts w:hint="eastAsia" w:ascii="微软雅黑" w:hAnsi="Times New Roman" w:cs="微软雅黑"/>
          <w:spacing w:val="-2"/>
          <w:kern w:val="0"/>
          <w:sz w:val="22"/>
        </w:rPr>
        <w:t>授</w:t>
      </w:r>
      <w:r>
        <w:rPr>
          <w:rFonts w:hint="eastAsia" w:ascii="微软雅黑" w:hAnsi="Times New Roman" w:cs="微软雅黑"/>
          <w:kern w:val="0"/>
          <w:sz w:val="22"/>
        </w:rPr>
        <w:t>权</w:t>
      </w:r>
      <w:r>
        <w:rPr>
          <w:rFonts w:hint="eastAsia" w:ascii="微软雅黑" w:hAnsi="Times New Roman" w:cs="微软雅黑"/>
          <w:spacing w:val="-2"/>
          <w:kern w:val="0"/>
          <w:sz w:val="22"/>
        </w:rPr>
        <w:t>委</w:t>
      </w:r>
      <w:r>
        <w:rPr>
          <w:rFonts w:hint="eastAsia" w:ascii="微软雅黑" w:hAnsi="Times New Roman" w:cs="微软雅黑"/>
          <w:kern w:val="0"/>
          <w:sz w:val="22"/>
        </w:rPr>
        <w:t>托</w:t>
      </w:r>
      <w:r>
        <w:rPr>
          <w:rFonts w:hint="eastAsia" w:ascii="微软雅黑" w:hAnsi="Times New Roman" w:cs="微软雅黑"/>
          <w:spacing w:val="-2"/>
          <w:kern w:val="0"/>
          <w:sz w:val="22"/>
        </w:rPr>
        <w:t>书</w:t>
      </w:r>
      <w:r>
        <w:rPr>
          <w:rFonts w:hint="eastAsia" w:ascii="微软雅黑" w:hAnsi="Times New Roman" w:cs="微软雅黑"/>
          <w:kern w:val="0"/>
          <w:sz w:val="22"/>
        </w:rPr>
        <w:t>(</w:t>
      </w:r>
      <w:r>
        <w:rPr>
          <w:rFonts w:hint="eastAsia" w:ascii="微软雅黑" w:hAnsi="Times New Roman" w:cs="微软雅黑"/>
          <w:spacing w:val="-2"/>
          <w:kern w:val="0"/>
          <w:sz w:val="22"/>
        </w:rPr>
        <w:t>适</w:t>
      </w:r>
      <w:r>
        <w:rPr>
          <w:rFonts w:hint="eastAsia" w:ascii="微软雅黑" w:hAnsi="Times New Roman" w:cs="微软雅黑"/>
          <w:kern w:val="0"/>
          <w:sz w:val="22"/>
        </w:rPr>
        <w:t>用</w:t>
      </w:r>
      <w:r>
        <w:rPr>
          <w:rFonts w:hint="eastAsia" w:ascii="微软雅黑" w:hAnsi="Times New Roman" w:cs="微软雅黑"/>
          <w:spacing w:val="-2"/>
          <w:kern w:val="0"/>
          <w:sz w:val="22"/>
        </w:rPr>
        <w:t>于</w:t>
      </w:r>
      <w:r>
        <w:rPr>
          <w:rFonts w:hint="eastAsia" w:ascii="微软雅黑" w:hAnsi="Times New Roman" w:cs="微软雅黑"/>
          <w:kern w:val="0"/>
          <w:sz w:val="22"/>
        </w:rPr>
        <w:t>有委</w:t>
      </w:r>
      <w:r>
        <w:rPr>
          <w:rFonts w:hint="eastAsia" w:ascii="微软雅黑" w:hAnsi="Times New Roman" w:cs="微软雅黑"/>
          <w:spacing w:val="-2"/>
          <w:kern w:val="0"/>
          <w:sz w:val="22"/>
        </w:rPr>
        <w:t>托</w:t>
      </w:r>
      <w:r>
        <w:rPr>
          <w:rFonts w:hint="eastAsia" w:ascii="微软雅黑" w:hAnsi="Times New Roman" w:cs="微软雅黑"/>
          <w:kern w:val="0"/>
          <w:sz w:val="22"/>
        </w:rPr>
        <w:t>代</w:t>
      </w:r>
      <w:r>
        <w:rPr>
          <w:rFonts w:hint="eastAsia" w:ascii="微软雅黑" w:hAnsi="Times New Roman" w:cs="微软雅黑"/>
          <w:spacing w:val="-2"/>
          <w:kern w:val="0"/>
          <w:sz w:val="22"/>
        </w:rPr>
        <w:t>理</w:t>
      </w:r>
      <w:r>
        <w:rPr>
          <w:rFonts w:hint="eastAsia" w:ascii="微软雅黑" w:hAnsi="Times New Roman" w:cs="微软雅黑"/>
          <w:kern w:val="0"/>
          <w:sz w:val="22"/>
        </w:rPr>
        <w:t>人</w:t>
      </w:r>
      <w:r>
        <w:rPr>
          <w:rFonts w:hint="eastAsia" w:ascii="微软雅黑" w:hAnsi="Times New Roman" w:cs="微软雅黑"/>
          <w:spacing w:val="-2"/>
          <w:kern w:val="0"/>
          <w:sz w:val="22"/>
        </w:rPr>
        <w:t>的</w:t>
      </w:r>
      <w:r>
        <w:rPr>
          <w:rFonts w:hint="eastAsia" w:ascii="微软雅黑" w:hAnsi="Times New Roman" w:cs="微软雅黑"/>
          <w:kern w:val="0"/>
          <w:sz w:val="22"/>
        </w:rPr>
        <w:t>情</w:t>
      </w:r>
      <w:r>
        <w:rPr>
          <w:rFonts w:hint="eastAsia" w:ascii="微软雅黑" w:hAnsi="Times New Roman" w:cs="微软雅黑"/>
          <w:spacing w:val="-2"/>
          <w:kern w:val="0"/>
          <w:sz w:val="22"/>
        </w:rPr>
        <w:t>况</w:t>
      </w:r>
      <w:r>
        <w:rPr>
          <w:rFonts w:hint="eastAsia" w:ascii="微软雅黑" w:hAnsi="Times New Roman" w:cs="微软雅黑"/>
          <w:kern w:val="0"/>
          <w:sz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证金(若有)</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before="41" w:line="360" w:lineRule="auto"/>
        <w:ind w:right="43"/>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w:t>
      </w:r>
      <w:r>
        <w:rPr>
          <w:rFonts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2"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13"/>
        <w:tblW w:w="8223" w:type="dxa"/>
        <w:tblInd w:w="284" w:type="dxa"/>
        <w:tblLayout w:type="fixed"/>
        <w:tblCellMar>
          <w:top w:w="0" w:type="dxa"/>
          <w:left w:w="0" w:type="dxa"/>
          <w:bottom w:w="0" w:type="dxa"/>
          <w:right w:w="0" w:type="dxa"/>
        </w:tblCellMar>
      </w:tblPr>
      <w:tblGrid>
        <w:gridCol w:w="926"/>
        <w:gridCol w:w="2693"/>
        <w:gridCol w:w="2979"/>
        <w:gridCol w:w="1625"/>
      </w:tblGrid>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9"/>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9"/>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9"/>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9"/>
              <w:spacing w:before="72"/>
              <w:ind w:left="386"/>
              <w:jc w:val="left"/>
              <w:rPr>
                <w:rFonts w:ascii="宋体" w:hAnsi="宋体" w:cs="宋体"/>
                <w:sz w:val="22"/>
              </w:rPr>
            </w:pPr>
            <w:r>
              <w:rPr>
                <w:rFonts w:hint="eastAsia" w:ascii="宋体" w:hAnsi="宋体" w:cs="宋体"/>
                <w:b/>
                <w:bCs/>
                <w:sz w:val="22"/>
              </w:rPr>
              <w:t>偏差说明</w:t>
            </w: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9"/>
              <w:spacing w:before="6"/>
              <w:jc w:val="left"/>
              <w:rPr>
                <w:rFonts w:ascii="Microsoft JhengHei" w:hAnsi="Microsoft JhengHei" w:eastAsia="Microsoft JhengHei" w:cs="Microsoft JhengHei"/>
                <w:b/>
                <w:bCs/>
                <w:sz w:val="11"/>
                <w:szCs w:val="11"/>
              </w:rPr>
            </w:pPr>
          </w:p>
          <w:p>
            <w:pPr>
              <w:pStyle w:val="19"/>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9"/>
              <w:spacing w:before="4"/>
              <w:jc w:val="left"/>
              <w:rPr>
                <w:rFonts w:ascii="Microsoft JhengHei" w:hAnsi="Microsoft JhengHei" w:eastAsia="Microsoft JhengHei" w:cs="Microsoft JhengHei"/>
                <w:b/>
                <w:bCs/>
                <w:sz w:val="11"/>
                <w:szCs w:val="11"/>
              </w:rPr>
            </w:pPr>
          </w:p>
          <w:p>
            <w:pPr>
              <w:pStyle w:val="19"/>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9"/>
              <w:spacing w:before="4"/>
              <w:jc w:val="left"/>
              <w:rPr>
                <w:rFonts w:ascii="Microsoft JhengHei" w:hAnsi="Microsoft JhengHei" w:eastAsia="Microsoft JhengHei" w:cs="Microsoft JhengHei"/>
                <w:b/>
                <w:bCs/>
                <w:sz w:val="11"/>
                <w:szCs w:val="11"/>
              </w:rPr>
            </w:pPr>
          </w:p>
          <w:p>
            <w:pPr>
              <w:pStyle w:val="19"/>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9"/>
              <w:spacing w:before="4"/>
              <w:jc w:val="left"/>
              <w:rPr>
                <w:rFonts w:ascii="Microsoft JhengHei" w:hAnsi="Microsoft JhengHei" w:eastAsia="Microsoft JhengHei" w:cs="Microsoft JhengHei"/>
                <w:b/>
                <w:bCs/>
                <w:sz w:val="11"/>
                <w:szCs w:val="11"/>
              </w:rPr>
            </w:pPr>
          </w:p>
          <w:p>
            <w:pPr>
              <w:pStyle w:val="19"/>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9"/>
              <w:spacing w:before="6"/>
              <w:jc w:val="left"/>
              <w:rPr>
                <w:rFonts w:ascii="Microsoft JhengHei" w:hAnsi="Microsoft JhengHei" w:eastAsia="Microsoft JhengHei" w:cs="Microsoft JhengHei"/>
                <w:b/>
                <w:bCs/>
                <w:sz w:val="11"/>
                <w:szCs w:val="11"/>
              </w:rPr>
            </w:pPr>
          </w:p>
          <w:p>
            <w:pPr>
              <w:pStyle w:val="19"/>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9"/>
              <w:spacing w:before="6"/>
              <w:jc w:val="left"/>
              <w:rPr>
                <w:rFonts w:ascii="Microsoft JhengHei" w:hAnsi="Microsoft JhengHei" w:eastAsia="Microsoft JhengHei" w:cs="Microsoft JhengHei"/>
                <w:b/>
                <w:bCs/>
                <w:sz w:val="11"/>
                <w:szCs w:val="11"/>
              </w:rPr>
            </w:pPr>
          </w:p>
          <w:p>
            <w:pPr>
              <w:pStyle w:val="19"/>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7"/>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23"/>
        <w:spacing w:line="360" w:lineRule="auto"/>
        <w:ind w:left="397" w:firstLine="3570"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23"/>
        <w:spacing w:line="360" w:lineRule="auto"/>
        <w:ind w:left="397" w:firstLine="3570" w:firstLineChars="1623"/>
        <w:rPr>
          <w:rFonts w:ascii="宋体" w:hAnsi="宋体" w:cs="宋体"/>
          <w:sz w:val="22"/>
        </w:rPr>
      </w:pPr>
      <w:r>
        <w:rPr>
          <w:rFonts w:hint="eastAsia" w:ascii="宋体" w:hAnsi="宋体" w:cs="宋体"/>
          <w:sz w:val="22"/>
        </w:rPr>
        <w:t xml:space="preserve">法定代表人或委托代理人(签字或盖章)：  </w:t>
      </w:r>
    </w:p>
    <w:p>
      <w:pPr>
        <w:pStyle w:val="23"/>
        <w:spacing w:line="360" w:lineRule="auto"/>
        <w:ind w:left="397" w:firstLine="3570"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24"/>
        <w:numPr>
          <w:ilvl w:val="1"/>
          <w:numId w:val="3"/>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24"/>
        <w:numPr>
          <w:ilvl w:val="1"/>
          <w:numId w:val="4"/>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24"/>
        <w:numPr>
          <w:ilvl w:val="1"/>
          <w:numId w:val="4"/>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24"/>
        <w:numPr>
          <w:ilvl w:val="1"/>
          <w:numId w:val="4"/>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24"/>
        <w:numPr>
          <w:ilvl w:val="1"/>
          <w:numId w:val="4"/>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24"/>
        <w:numPr>
          <w:ilvl w:val="1"/>
          <w:numId w:val="4"/>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24"/>
        <w:numPr>
          <w:ilvl w:val="1"/>
          <w:numId w:val="4"/>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24"/>
        <w:numPr>
          <w:ilvl w:val="1"/>
          <w:numId w:val="3"/>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25"/>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25"/>
        <w:snapToGrid w:val="0"/>
        <w:spacing w:before="120"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23"/>
        <w:spacing w:line="360" w:lineRule="auto"/>
        <w:rPr>
          <w:rFonts w:ascii="宋体" w:hAnsi="宋体" w:cs="宋体"/>
          <w:b/>
          <w:sz w:val="32"/>
          <w:szCs w:val="32"/>
        </w:rPr>
      </w:pPr>
    </w:p>
    <w:p>
      <w:pPr>
        <w:pStyle w:val="23"/>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5</w:t>
      </w:r>
      <w:r>
        <w:rPr>
          <w:rFonts w:hint="eastAsia" w:ascii="宋体" w:hAnsi="宋体" w:cs="宋体"/>
          <w:b/>
          <w:sz w:val="32"/>
          <w:szCs w:val="32"/>
        </w:rPr>
        <w:t>.1 投标报价汇总表</w:t>
      </w:r>
    </w:p>
    <w:p>
      <w:pPr>
        <w:pStyle w:val="23"/>
        <w:spacing w:line="360" w:lineRule="auto"/>
        <w:rPr>
          <w:rFonts w:ascii="宋体" w:hAnsi="宋体" w:cs="宋体"/>
        </w:rPr>
      </w:pPr>
    </w:p>
    <w:p>
      <w:pPr>
        <w:pStyle w:val="25"/>
        <w:spacing w:line="360" w:lineRule="auto"/>
        <w:jc w:val="right"/>
        <w:rPr>
          <w:rFonts w:ascii="宋体" w:hAnsi="宋体" w:cs="宋体"/>
          <w:sz w:val="22"/>
        </w:rPr>
      </w:pPr>
      <w:bookmarkStart w:id="121" w:name="_Toc137373399"/>
      <w:bookmarkStart w:id="122" w:name="_Toc133470544"/>
      <w:bookmarkStart w:id="123" w:name="_Toc133214310"/>
      <w:bookmarkStart w:id="124" w:name="_Toc133214103"/>
      <w:r>
        <w:rPr>
          <w:rFonts w:hint="eastAsia" w:ascii="宋体" w:hAnsi="宋体" w:cs="宋体"/>
          <w:sz w:val="22"/>
        </w:rPr>
        <w:t>[货币单位：人民币/元]</w:t>
      </w:r>
    </w:p>
    <w:tbl>
      <w:tblPr>
        <w:tblStyle w:val="13"/>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w:t>
            </w:r>
            <w:r>
              <w:rPr>
                <w:rFonts w:ascii="宋体" w:hAnsi="宋体" w:cs="宋体"/>
                <w:sz w:val="22"/>
              </w:rPr>
              <w:t>5</w:t>
            </w:r>
            <w:r>
              <w:rPr>
                <w:rFonts w:hint="eastAsia" w:ascii="宋体" w:hAnsi="宋体" w:cs="宋体"/>
                <w:sz w:val="22"/>
              </w:rPr>
              <w:t>.2)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pStyle w:val="25"/>
        <w:spacing w:line="360" w:lineRule="auto"/>
        <w:jc w:val="right"/>
        <w:rPr>
          <w:rFonts w:ascii="宋体" w:hAnsi="宋体" w:cs="宋体"/>
          <w:sz w:val="22"/>
        </w:rPr>
      </w:pPr>
    </w:p>
    <w:p>
      <w:pPr>
        <w:pStyle w:val="25"/>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25"/>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2、此表为表</w:t>
      </w:r>
      <w:r>
        <w:rPr>
          <w:rFonts w:ascii="宋体" w:hAnsi="宋体" w:cs="宋体"/>
          <w:sz w:val="22"/>
        </w:rPr>
        <w:t>5</w:t>
      </w:r>
      <w:r>
        <w:rPr>
          <w:rFonts w:hint="eastAsia" w:ascii="宋体" w:hAnsi="宋体" w:cs="宋体"/>
          <w:sz w:val="22"/>
        </w:rPr>
        <w:t>.2、表</w:t>
      </w:r>
      <w:r>
        <w:rPr>
          <w:rFonts w:ascii="宋体" w:hAnsi="宋体" w:cs="宋体"/>
          <w:sz w:val="22"/>
        </w:rPr>
        <w:t>5</w:t>
      </w:r>
      <w:r>
        <w:rPr>
          <w:rFonts w:hint="eastAsia" w:ascii="宋体" w:hAnsi="宋体" w:cs="宋体"/>
          <w:sz w:val="22"/>
        </w:rPr>
        <w:t>.3的汇总表。。</w:t>
      </w:r>
    </w:p>
    <w:p>
      <w:pPr>
        <w:pStyle w:val="23"/>
        <w:spacing w:before="120" w:beforeLines="50" w:line="360" w:lineRule="auto"/>
        <w:rPr>
          <w:rFonts w:ascii="宋体" w:hAnsi="宋体" w:cs="宋体"/>
        </w:rPr>
      </w:pPr>
    </w:p>
    <w:p>
      <w:pPr>
        <w:pStyle w:val="23"/>
        <w:spacing w:before="120" w:beforeLines="50" w:line="360" w:lineRule="auto"/>
        <w:rPr>
          <w:rFonts w:ascii="宋体" w:hAnsi="宋体" w:cs="宋体"/>
        </w:rPr>
      </w:pPr>
    </w:p>
    <w:p>
      <w:pPr>
        <w:pStyle w:val="23"/>
        <w:spacing w:before="120" w:beforeLines="50" w:line="360" w:lineRule="auto"/>
        <w:rPr>
          <w:rFonts w:ascii="宋体" w:hAnsi="宋体" w:cs="宋体"/>
        </w:rPr>
      </w:pPr>
    </w:p>
    <w:p>
      <w:pPr>
        <w:pStyle w:val="23"/>
        <w:spacing w:before="120" w:beforeLines="50" w:line="360" w:lineRule="auto"/>
        <w:rPr>
          <w:rFonts w:ascii="宋体" w:hAnsi="宋体" w:cs="宋体"/>
        </w:rPr>
      </w:pPr>
    </w:p>
    <w:p>
      <w:pPr>
        <w:pStyle w:val="23"/>
        <w:spacing w:before="120" w:beforeLines="50" w:line="360" w:lineRule="auto"/>
        <w:rPr>
          <w:rFonts w:ascii="宋体" w:hAnsi="宋体" w:cs="宋体"/>
        </w:rPr>
      </w:pPr>
    </w:p>
    <w:p>
      <w:pPr>
        <w:pStyle w:val="23"/>
        <w:spacing w:before="120" w:beforeLines="50" w:line="360" w:lineRule="auto"/>
        <w:rPr>
          <w:rFonts w:ascii="宋体" w:hAnsi="宋体" w:cs="宋体"/>
        </w:rPr>
      </w:pPr>
    </w:p>
    <w:p>
      <w:pPr>
        <w:pStyle w:val="23"/>
        <w:spacing w:line="360" w:lineRule="auto"/>
        <w:rPr>
          <w:rFonts w:ascii="宋体" w:hAnsi="宋体" w:cs="宋体"/>
          <w:sz w:val="22"/>
        </w:rPr>
      </w:pPr>
    </w:p>
    <w:p>
      <w:pPr>
        <w:pStyle w:val="23"/>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23"/>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121"/>
    <w:bookmarkEnd w:id="122"/>
    <w:bookmarkEnd w:id="123"/>
    <w:bookmarkEnd w:id="124"/>
    <w:p>
      <w:pPr>
        <w:pStyle w:val="23"/>
        <w:spacing w:line="360" w:lineRule="auto"/>
        <w:jc w:val="center"/>
        <w:rPr>
          <w:rFonts w:ascii="宋体" w:hAnsi="宋体" w:cs="宋体"/>
          <w:b/>
          <w:sz w:val="32"/>
          <w:szCs w:val="32"/>
        </w:rPr>
      </w:pPr>
      <w:r>
        <w:rPr>
          <w:rFonts w:ascii="宋体" w:hAnsi="宋体" w:cs="宋体"/>
          <w:b/>
          <w:sz w:val="32"/>
          <w:szCs w:val="32"/>
        </w:rPr>
        <w:t>5.2设备费分项报价表</w:t>
      </w:r>
    </w:p>
    <w:p>
      <w:pPr>
        <w:pStyle w:val="23"/>
        <w:spacing w:line="360" w:lineRule="auto"/>
        <w:jc w:val="right"/>
        <w:rPr>
          <w:rFonts w:ascii="宋体" w:hAnsi="宋体" w:cs="宋体"/>
          <w:b/>
          <w:sz w:val="32"/>
          <w:szCs w:val="32"/>
        </w:rPr>
      </w:pPr>
      <w:r>
        <w:rPr>
          <w:rFonts w:hint="eastAsia" w:ascii="宋体" w:hAnsi="宋体" w:cs="宋体"/>
          <w:sz w:val="22"/>
        </w:rPr>
        <w:t>[货币单位：人民币元]</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5"/>
        <w:gridCol w:w="1118"/>
        <w:gridCol w:w="1020"/>
        <w:gridCol w:w="745"/>
        <w:gridCol w:w="630"/>
        <w:gridCol w:w="570"/>
        <w:gridCol w:w="151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50"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0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2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vMerge w:val="continue"/>
            <w:shd w:val="clear" w:color="auto" w:fill="auto"/>
            <w:vAlign w:val="center"/>
          </w:tcPr>
          <w:p>
            <w:pPr>
              <w:widowControl/>
              <w:jc w:val="left"/>
              <w:rPr>
                <w:rFonts w:ascii="宋体" w:hAnsi="宋体" w:cs="宋体"/>
                <w:b/>
                <w:bCs/>
                <w:kern w:val="0"/>
                <w:sz w:val="20"/>
              </w:rPr>
            </w:pPr>
          </w:p>
        </w:tc>
        <w:tc>
          <w:tcPr>
            <w:tcW w:w="1505" w:type="dxa"/>
            <w:vMerge w:val="continue"/>
            <w:shd w:val="clear" w:color="auto" w:fill="auto"/>
            <w:vAlign w:val="center"/>
          </w:tcPr>
          <w:p>
            <w:pPr>
              <w:widowControl/>
              <w:jc w:val="left"/>
              <w:rPr>
                <w:rFonts w:ascii="宋体" w:hAnsi="宋体" w:cs="宋体"/>
                <w:b/>
                <w:bCs/>
                <w:kern w:val="0"/>
                <w:sz w:val="20"/>
              </w:rPr>
            </w:pPr>
          </w:p>
        </w:tc>
        <w:tc>
          <w:tcPr>
            <w:tcW w:w="1118" w:type="dxa"/>
            <w:vMerge w:val="continue"/>
            <w:shd w:val="clear" w:color="auto" w:fill="auto"/>
            <w:vAlign w:val="center"/>
          </w:tcPr>
          <w:p>
            <w:pPr>
              <w:widowControl/>
              <w:jc w:val="left"/>
              <w:rPr>
                <w:rFonts w:ascii="宋体" w:hAnsi="宋体" w:cs="宋体"/>
                <w:b/>
                <w:bCs/>
                <w:kern w:val="0"/>
                <w:sz w:val="20"/>
              </w:rPr>
            </w:pPr>
          </w:p>
        </w:tc>
        <w:tc>
          <w:tcPr>
            <w:tcW w:w="1020" w:type="dxa"/>
            <w:vMerge w:val="continue"/>
            <w:shd w:val="clear" w:color="auto" w:fill="auto"/>
            <w:vAlign w:val="center"/>
          </w:tcPr>
          <w:p>
            <w:pPr>
              <w:widowControl/>
              <w:jc w:val="left"/>
              <w:rPr>
                <w:rFonts w:ascii="宋体" w:hAnsi="宋体" w:cs="宋体"/>
                <w:b/>
                <w:bCs/>
                <w:kern w:val="0"/>
                <w:sz w:val="20"/>
              </w:rPr>
            </w:pPr>
          </w:p>
        </w:tc>
        <w:tc>
          <w:tcPr>
            <w:tcW w:w="745" w:type="dxa"/>
            <w:vMerge w:val="continue"/>
            <w:shd w:val="clear" w:color="auto" w:fill="auto"/>
            <w:vAlign w:val="center"/>
          </w:tcPr>
          <w:p>
            <w:pPr>
              <w:widowControl/>
              <w:jc w:val="left"/>
              <w:rPr>
                <w:rFonts w:ascii="宋体" w:hAnsi="宋体" w:cs="宋体"/>
                <w:b/>
                <w:bCs/>
                <w:kern w:val="0"/>
                <w:sz w:val="20"/>
              </w:rPr>
            </w:pPr>
          </w:p>
        </w:tc>
        <w:tc>
          <w:tcPr>
            <w:tcW w:w="630" w:type="dxa"/>
            <w:vMerge w:val="continue"/>
            <w:shd w:val="clear" w:color="auto" w:fill="auto"/>
            <w:vAlign w:val="center"/>
          </w:tcPr>
          <w:p>
            <w:pPr>
              <w:widowControl/>
              <w:jc w:val="left"/>
              <w:rPr>
                <w:rFonts w:ascii="宋体" w:hAnsi="宋体" w:cs="宋体"/>
                <w:b/>
                <w:bCs/>
                <w:kern w:val="0"/>
                <w:sz w:val="20"/>
              </w:rPr>
            </w:pPr>
          </w:p>
        </w:tc>
        <w:tc>
          <w:tcPr>
            <w:tcW w:w="570" w:type="dxa"/>
            <w:vMerge w:val="continue"/>
            <w:shd w:val="clear" w:color="auto" w:fill="auto"/>
            <w:vAlign w:val="center"/>
          </w:tcPr>
          <w:p>
            <w:pPr>
              <w:widowControl/>
              <w:jc w:val="left"/>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shd w:val="clear" w:color="000000" w:fill="FFFFFF"/>
            <w:vAlign w:val="center"/>
          </w:tcPr>
          <w:p>
            <w:pPr>
              <w:widowControl/>
              <w:jc w:val="center"/>
              <w:rPr>
                <w:rFonts w:ascii="宋体" w:hAnsi="宋体" w:cs="宋体"/>
                <w:b/>
                <w:bCs/>
                <w:kern w:val="0"/>
                <w:sz w:val="20"/>
              </w:rPr>
            </w:pPr>
          </w:p>
        </w:tc>
        <w:tc>
          <w:tcPr>
            <w:tcW w:w="1020" w:type="dxa"/>
            <w:shd w:val="clear" w:color="000000" w:fill="FFFFFF"/>
            <w:vAlign w:val="center"/>
          </w:tcPr>
          <w:p>
            <w:pPr>
              <w:widowControl/>
              <w:jc w:val="center"/>
              <w:rPr>
                <w:rFonts w:ascii="宋体" w:hAnsi="宋体" w:cs="宋体"/>
                <w:b/>
                <w:bCs/>
                <w:kern w:val="0"/>
                <w:sz w:val="20"/>
              </w:rPr>
            </w:pPr>
          </w:p>
        </w:tc>
        <w:tc>
          <w:tcPr>
            <w:tcW w:w="745" w:type="dxa"/>
            <w:shd w:val="clear" w:color="000000" w:fill="FFFFFF"/>
            <w:vAlign w:val="center"/>
          </w:tcPr>
          <w:p>
            <w:pPr>
              <w:widowControl/>
              <w:rPr>
                <w:rFonts w:ascii="宋体" w:hAnsi="宋体" w:cs="宋体"/>
                <w:b/>
                <w:bCs/>
                <w:kern w:val="0"/>
                <w:sz w:val="20"/>
              </w:rPr>
            </w:pPr>
          </w:p>
        </w:tc>
        <w:tc>
          <w:tcPr>
            <w:tcW w:w="630" w:type="dxa"/>
            <w:shd w:val="clear" w:color="000000" w:fill="FFFFFF"/>
            <w:vAlign w:val="center"/>
          </w:tcPr>
          <w:p>
            <w:pPr>
              <w:widowControl/>
              <w:rPr>
                <w:rFonts w:ascii="宋体" w:hAnsi="宋体" w:cs="宋体"/>
                <w:b/>
                <w:bCs/>
                <w:kern w:val="0"/>
                <w:sz w:val="20"/>
              </w:rPr>
            </w:pPr>
          </w:p>
        </w:tc>
        <w:tc>
          <w:tcPr>
            <w:tcW w:w="570" w:type="dxa"/>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5"/>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5"/>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23"/>
        <w:spacing w:line="360" w:lineRule="auto"/>
        <w:rPr>
          <w:rFonts w:ascii="宋体" w:hAnsi="宋体" w:cs="宋体"/>
          <w:sz w:val="22"/>
        </w:rPr>
      </w:pPr>
    </w:p>
    <w:p>
      <w:pPr>
        <w:pStyle w:val="23"/>
        <w:spacing w:line="360" w:lineRule="auto"/>
        <w:rPr>
          <w:rFonts w:ascii="宋体" w:hAnsi="宋体" w:cs="宋体"/>
          <w:sz w:val="22"/>
        </w:rPr>
      </w:pPr>
    </w:p>
    <w:p>
      <w:pPr>
        <w:pStyle w:val="23"/>
        <w:spacing w:line="360" w:lineRule="auto"/>
        <w:rPr>
          <w:rFonts w:ascii="宋体" w:hAnsi="宋体" w:cs="宋体"/>
          <w:sz w:val="22"/>
        </w:rPr>
      </w:pPr>
    </w:p>
    <w:p>
      <w:pPr>
        <w:pStyle w:val="23"/>
        <w:spacing w:line="360" w:lineRule="auto"/>
        <w:rPr>
          <w:rFonts w:ascii="宋体" w:hAnsi="宋体" w:cs="宋体"/>
          <w:sz w:val="22"/>
        </w:rPr>
      </w:pPr>
    </w:p>
    <w:p>
      <w:pPr>
        <w:pStyle w:val="23"/>
        <w:spacing w:line="360" w:lineRule="auto"/>
        <w:rPr>
          <w:rFonts w:ascii="宋体" w:hAnsi="宋体" w:cs="宋体"/>
          <w:sz w:val="22"/>
        </w:rPr>
      </w:pPr>
    </w:p>
    <w:p>
      <w:pPr>
        <w:pStyle w:val="23"/>
        <w:spacing w:line="360" w:lineRule="auto"/>
        <w:rPr>
          <w:rFonts w:ascii="宋体" w:hAnsi="宋体" w:cs="宋体"/>
          <w:sz w:val="22"/>
        </w:rPr>
      </w:pPr>
    </w:p>
    <w:p>
      <w:pPr>
        <w:pStyle w:val="23"/>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23"/>
        <w:spacing w:line="360" w:lineRule="auto"/>
        <w:rPr>
          <w:rFonts w:ascii="宋体" w:hAnsi="宋体" w:cs="宋体"/>
          <w:sz w:val="22"/>
        </w:rPr>
        <w:sectPr>
          <w:pgSz w:w="11907" w:h="16840"/>
          <w:pgMar w:top="1191" w:right="1191" w:bottom="1191" w:left="1191" w:header="567" w:footer="720" w:gutter="227"/>
          <w:pgNumType w:fmt="numberInDash"/>
          <w:cols w:space="720" w:num="1"/>
        </w:sectPr>
      </w:pPr>
    </w:p>
    <w:p>
      <w:pPr>
        <w:widowControl/>
        <w:jc w:val="left"/>
        <w:rPr>
          <w:rFonts w:ascii="宋体" w:hAnsi="宋体" w:cs="宋体"/>
          <w:sz w:val="22"/>
        </w:rPr>
        <w:sectPr>
          <w:pgSz w:w="11907" w:h="16840"/>
          <w:pgMar w:top="1191" w:right="1191" w:bottom="1191" w:left="1191" w:header="567" w:footer="720" w:gutter="227"/>
          <w:pgNumType w:fmt="numberInDash"/>
          <w:cols w:space="720" w:num="1"/>
        </w:sectPr>
      </w:pPr>
    </w:p>
    <w:p>
      <w:pPr>
        <w:spacing w:line="360" w:lineRule="auto"/>
        <w:jc w:val="center"/>
        <w:rPr>
          <w:rFonts w:ascii="宋体" w:hAnsi="宋体" w:cs="宋体"/>
          <w:b/>
          <w:sz w:val="32"/>
          <w:szCs w:val="32"/>
        </w:rPr>
      </w:pPr>
      <w:r>
        <w:rPr>
          <w:rFonts w:ascii="宋体" w:hAnsi="宋体" w:cs="宋体"/>
          <w:b/>
          <w:sz w:val="32"/>
          <w:szCs w:val="32"/>
        </w:rPr>
        <w:t>5</w:t>
      </w:r>
      <w:r>
        <w:rPr>
          <w:rFonts w:hint="eastAsia" w:ascii="宋体" w:hAnsi="宋体" w:cs="宋体"/>
          <w:b/>
          <w:sz w:val="32"/>
          <w:szCs w:val="32"/>
        </w:rPr>
        <w:t>.</w:t>
      </w:r>
      <w:r>
        <w:rPr>
          <w:rFonts w:ascii="宋体" w:hAnsi="宋体" w:cs="宋体"/>
          <w:b/>
          <w:sz w:val="32"/>
          <w:szCs w:val="32"/>
        </w:rPr>
        <w:t>3</w:t>
      </w:r>
      <w:r>
        <w:rPr>
          <w:rFonts w:hint="eastAsia" w:ascii="宋体" w:hAnsi="宋体" w:cs="宋体"/>
          <w:b/>
          <w:sz w:val="32"/>
          <w:szCs w:val="32"/>
        </w:rPr>
        <w:t>备品备件分项报价表</w:t>
      </w:r>
    </w:p>
    <w:tbl>
      <w:tblPr>
        <w:tblStyle w:val="13"/>
        <w:tblpPr w:leftFromText="180" w:rightFromText="18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18"/>
        <w:gridCol w:w="1019"/>
        <w:gridCol w:w="779"/>
        <w:gridCol w:w="859"/>
        <w:gridCol w:w="700"/>
        <w:gridCol w:w="700"/>
        <w:gridCol w:w="1119"/>
        <w:gridCol w:w="111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0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1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77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vMerge w:val="continue"/>
            <w:shd w:val="clear" w:color="auto" w:fill="auto"/>
            <w:vAlign w:val="center"/>
          </w:tcPr>
          <w:p>
            <w:pPr>
              <w:widowControl/>
              <w:jc w:val="center"/>
              <w:rPr>
                <w:rFonts w:ascii="宋体" w:hAnsi="宋体" w:cs="宋体"/>
                <w:b/>
                <w:bCs/>
                <w:kern w:val="0"/>
                <w:sz w:val="20"/>
              </w:rPr>
            </w:pPr>
          </w:p>
        </w:tc>
        <w:tc>
          <w:tcPr>
            <w:tcW w:w="1018" w:type="dxa"/>
            <w:vMerge w:val="continue"/>
            <w:shd w:val="clear" w:color="auto" w:fill="auto"/>
            <w:vAlign w:val="center"/>
          </w:tcPr>
          <w:p>
            <w:pPr>
              <w:widowControl/>
              <w:jc w:val="left"/>
              <w:rPr>
                <w:rFonts w:ascii="宋体" w:hAnsi="宋体" w:cs="宋体"/>
                <w:b/>
                <w:bCs/>
                <w:kern w:val="0"/>
                <w:sz w:val="20"/>
              </w:rPr>
            </w:pPr>
          </w:p>
        </w:tc>
        <w:tc>
          <w:tcPr>
            <w:tcW w:w="1019" w:type="dxa"/>
            <w:vMerge w:val="continue"/>
            <w:shd w:val="clear" w:color="auto" w:fill="auto"/>
            <w:vAlign w:val="center"/>
          </w:tcPr>
          <w:p>
            <w:pPr>
              <w:widowControl/>
              <w:jc w:val="left"/>
              <w:rPr>
                <w:rFonts w:ascii="宋体" w:hAnsi="宋体" w:cs="宋体"/>
                <w:b/>
                <w:bCs/>
                <w:kern w:val="0"/>
                <w:sz w:val="20"/>
              </w:rPr>
            </w:pPr>
          </w:p>
        </w:tc>
        <w:tc>
          <w:tcPr>
            <w:tcW w:w="779" w:type="dxa"/>
            <w:vMerge w:val="continue"/>
            <w:shd w:val="clear" w:color="auto" w:fill="auto"/>
            <w:vAlign w:val="center"/>
          </w:tcPr>
          <w:p>
            <w:pPr>
              <w:widowControl/>
              <w:jc w:val="left"/>
              <w:rPr>
                <w:rFonts w:ascii="宋体" w:hAnsi="宋体" w:cs="宋体"/>
                <w:b/>
                <w:bCs/>
                <w:kern w:val="0"/>
                <w:sz w:val="20"/>
              </w:rPr>
            </w:pPr>
          </w:p>
        </w:tc>
        <w:tc>
          <w:tcPr>
            <w:tcW w:w="859"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859"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018" w:type="dxa"/>
            <w:shd w:val="clear" w:color="000000" w:fill="FFFFFF"/>
            <w:vAlign w:val="center"/>
          </w:tcPr>
          <w:p>
            <w:pPr>
              <w:widowControl/>
              <w:jc w:val="center"/>
              <w:rPr>
                <w:rFonts w:ascii="宋体" w:hAnsi="宋体" w:cs="宋体"/>
                <w:b/>
                <w:bCs/>
                <w:kern w:val="0"/>
                <w:sz w:val="20"/>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kern w:val="0"/>
                <w:sz w:val="20"/>
              </w:rPr>
            </w:pPr>
          </w:p>
        </w:tc>
        <w:tc>
          <w:tcPr>
            <w:tcW w:w="1018" w:type="dxa"/>
            <w:shd w:val="clear" w:color="000000" w:fill="FFFFFF"/>
            <w:vAlign w:val="center"/>
          </w:tcPr>
          <w:p>
            <w:pPr>
              <w:widowControl/>
              <w:jc w:val="center"/>
              <w:rPr>
                <w:rFonts w:ascii="宋体" w:hAnsi="宋体"/>
                <w:b/>
                <w:bCs/>
                <w:kern w:val="0"/>
                <w:szCs w:val="21"/>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bl>
    <w:p>
      <w:pPr>
        <w:spacing w:line="360" w:lineRule="auto"/>
        <w:rPr>
          <w:rFonts w:ascii="宋体" w:hAnsi="宋体" w:cs="宋体"/>
          <w:b/>
          <w:bCs/>
          <w:sz w:val="22"/>
        </w:rPr>
      </w:pPr>
      <w:r>
        <w:rPr>
          <w:rFonts w:hint="eastAsia" w:ascii="宋体" w:hAnsi="宋体" w:cs="宋体"/>
          <w:sz w:val="22"/>
        </w:rPr>
        <w:t>注：</w:t>
      </w:r>
      <w:r>
        <w:rPr>
          <w:rFonts w:hint="eastAsia" w:ascii="宋体" w:hAnsi="宋体" w:cs="宋体"/>
          <w:b/>
          <w:bCs/>
          <w:sz w:val="22"/>
        </w:rPr>
        <w:t>免费质保期</w:t>
      </w:r>
      <w:r>
        <w:rPr>
          <w:rFonts w:ascii="宋体" w:hAnsi="宋体" w:cs="宋体"/>
          <w:b/>
          <w:bCs/>
          <w:sz w:val="22"/>
        </w:rPr>
        <w:t>满后正常运行二年</w:t>
      </w:r>
      <w:r>
        <w:rPr>
          <w:rFonts w:hint="eastAsia" w:ascii="宋体" w:hAnsi="宋体" w:cs="宋体"/>
          <w:b/>
          <w:bCs/>
          <w:sz w:val="22"/>
        </w:rPr>
        <w:t>内</w:t>
      </w:r>
      <w:r>
        <w:rPr>
          <w:rFonts w:ascii="宋体" w:hAnsi="宋体" w:cs="宋体"/>
          <w:b/>
          <w:bCs/>
          <w:sz w:val="22"/>
        </w:rPr>
        <w:t>所需的备品、备件，</w:t>
      </w:r>
      <w:r>
        <w:rPr>
          <w:rFonts w:hint="eastAsia" w:ascii="宋体" w:hAnsi="宋体" w:cs="宋体"/>
          <w:b/>
          <w:bCs/>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23"/>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23"/>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23"/>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13"/>
        <w:tblW w:w="8932" w:type="dxa"/>
        <w:jc w:val="center"/>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13"/>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11"/>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5" w:leftChars="-255" w:right="-20" w:hanging="490"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6"/>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7"/>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7"/>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7"/>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7"/>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7"/>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8"/>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8"/>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8"/>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8"/>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8"/>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9"/>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9"/>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10"/>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11"/>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2"/>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12"/>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13"/>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13"/>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14"/>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4"/>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4"/>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14"/>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14"/>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13"/>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r>
              <w:rPr>
                <w:rFonts w:hint="eastAsia" w:ascii="宋体" w:hAnsi="宋体" w:cs="宋体"/>
                <w:bCs/>
                <w:kern w:val="0"/>
                <w:szCs w:val="21"/>
              </w:rPr>
              <w:t>项目</w:t>
            </w:r>
          </w:p>
          <w:p>
            <w:pPr>
              <w:pStyle w:val="26"/>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26"/>
              <w:jc w:val="center"/>
              <w:rPr>
                <w:rFonts w:ascii="宋体" w:hAnsi="宋体" w:cs="宋体"/>
                <w:bCs/>
                <w:kern w:val="0"/>
                <w:szCs w:val="21"/>
              </w:rPr>
            </w:pPr>
          </w:p>
        </w:tc>
      </w:tr>
    </w:tbl>
    <w:p>
      <w:pPr>
        <w:pStyle w:val="26"/>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26"/>
        <w:spacing w:before="120" w:beforeLines="50" w:line="360" w:lineRule="auto"/>
        <w:rPr>
          <w:rFonts w:ascii="宋体" w:hAnsi="宋体"/>
        </w:rPr>
      </w:pPr>
    </w:p>
    <w:p>
      <w:pPr>
        <w:pStyle w:val="23"/>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23"/>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（十）投标产品近年（合同签订时间或部分供货期在202  年1月1日至投标截止日期间）的销售业绩一览表</w:t>
      </w:r>
    </w:p>
    <w:tbl>
      <w:tblPr>
        <w:tblStyle w:val="13"/>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 xml:space="preserve"> 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建设单位联系方式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27"/>
        <w:adjustRightInd w:val="0"/>
        <w:snapToGrid w:val="0"/>
        <w:ind w:firstLine="200"/>
        <w:jc w:val="center"/>
        <w:rPr>
          <w:b/>
          <w:sz w:val="10"/>
          <w:szCs w:val="10"/>
        </w:rPr>
      </w:pP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23"/>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5" w:leftChars="-255" w:right="-20" w:hanging="490"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13"/>
        <w:tblW w:w="8521" w:type="dxa"/>
        <w:jc w:val="center"/>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13"/>
        <w:tblW w:w="8521" w:type="dxa"/>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45" w:leftChars="-255" w:right="-20" w:hanging="490" w:hangingChars="223"/>
        <w:jc w:val="center"/>
        <w:rPr>
          <w:rFonts w:ascii="宋体" w:hAnsi="宋体" w:cs="微软雅黑"/>
          <w:kern w:val="0"/>
          <w:sz w:val="22"/>
        </w:rPr>
      </w:pPr>
    </w:p>
    <w:p>
      <w:pPr>
        <w:spacing w:line="360" w:lineRule="auto"/>
        <w:ind w:firstLine="321"/>
        <w:jc w:val="center"/>
        <w:rPr>
          <w:rFonts w:ascii="宋体" w:hAnsi="宋体" w:cs="宋体"/>
          <w:b/>
          <w:sz w:val="32"/>
          <w:szCs w:val="32"/>
        </w:rPr>
      </w:pPr>
    </w:p>
    <w:p>
      <w:pPr>
        <w:pStyle w:val="23"/>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我单位将承担实际损失赔偿责任。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23"/>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23"/>
        <w:spacing w:line="360" w:lineRule="auto"/>
        <w:jc w:val="center"/>
        <w:rPr>
          <w:rFonts w:ascii="宋体" w:hAnsi="宋体" w:cs="宋体"/>
          <w:b/>
          <w:sz w:val="32"/>
          <w:szCs w:val="32"/>
        </w:rPr>
      </w:pPr>
      <w:r>
        <w:rPr>
          <w:rFonts w:hint="eastAsia" w:ascii="宋体" w:hAnsi="宋体" w:cs="宋体"/>
          <w:b/>
          <w:sz w:val="32"/>
          <w:szCs w:val="32"/>
        </w:rPr>
        <w:t>九、技术方案</w:t>
      </w:r>
    </w:p>
    <w:p>
      <w:pPr>
        <w:pStyle w:val="28"/>
        <w:spacing w:line="360" w:lineRule="auto"/>
        <w:ind w:firstLine="440" w:firstLineChars="200"/>
        <w:rPr>
          <w:rFonts w:ascii="宋体" w:hAnsi="宋体" w:cs="宋体"/>
          <w:sz w:val="22"/>
        </w:rPr>
      </w:pPr>
    </w:p>
    <w:p>
      <w:pPr>
        <w:pStyle w:val="28"/>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15"/>
        </w:numPr>
        <w:spacing w:line="360" w:lineRule="auto"/>
        <w:rPr>
          <w:rFonts w:ascii="宋体" w:hAnsi="宋体" w:cs="宋体"/>
          <w:sz w:val="22"/>
        </w:rPr>
      </w:pPr>
      <w:r>
        <w:rPr>
          <w:rFonts w:hint="eastAsia" w:ascii="宋体" w:hAnsi="宋体" w:cs="宋体"/>
          <w:sz w:val="22"/>
        </w:rPr>
        <w:t>货物说明一览表；</w:t>
      </w:r>
    </w:p>
    <w:p>
      <w:pPr>
        <w:numPr>
          <w:ilvl w:val="0"/>
          <w:numId w:val="15"/>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15"/>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15"/>
        </w:numPr>
        <w:spacing w:line="360" w:lineRule="auto"/>
        <w:rPr>
          <w:rFonts w:ascii="宋体" w:hAnsi="宋体" w:cs="宋体"/>
          <w:sz w:val="22"/>
        </w:rPr>
      </w:pPr>
      <w:r>
        <w:rPr>
          <w:rFonts w:hint="eastAsia" w:ascii="宋体" w:hAnsi="宋体" w:cs="宋体"/>
          <w:sz w:val="22"/>
        </w:rPr>
        <w:t>货物主要生产工艺流程；</w:t>
      </w:r>
    </w:p>
    <w:p>
      <w:pPr>
        <w:numPr>
          <w:ilvl w:val="0"/>
          <w:numId w:val="15"/>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15"/>
        </w:numPr>
        <w:spacing w:line="360" w:lineRule="auto"/>
        <w:rPr>
          <w:rFonts w:ascii="宋体" w:hAnsi="宋体" w:cs="宋体"/>
          <w:sz w:val="22"/>
        </w:rPr>
      </w:pPr>
      <w:r>
        <w:rPr>
          <w:rFonts w:hint="eastAsia" w:ascii="宋体" w:hAnsi="宋体" w:cs="宋体"/>
          <w:sz w:val="22"/>
        </w:rPr>
        <w:t>项目实施进度控制计划；</w:t>
      </w:r>
    </w:p>
    <w:p>
      <w:pPr>
        <w:numPr>
          <w:ilvl w:val="0"/>
          <w:numId w:val="15"/>
        </w:numPr>
        <w:spacing w:line="360" w:lineRule="auto"/>
        <w:rPr>
          <w:rFonts w:ascii="宋体" w:hAnsi="宋体" w:cs="宋体"/>
          <w:sz w:val="22"/>
        </w:rPr>
      </w:pPr>
      <w:r>
        <w:rPr>
          <w:rFonts w:hint="eastAsia" w:ascii="宋体" w:hAnsi="宋体" w:cs="宋体"/>
          <w:sz w:val="22"/>
        </w:rPr>
        <w:t>相关服务实施方案；</w:t>
      </w:r>
    </w:p>
    <w:p>
      <w:pPr>
        <w:numPr>
          <w:ilvl w:val="0"/>
          <w:numId w:val="15"/>
        </w:numPr>
        <w:spacing w:line="360" w:lineRule="auto"/>
        <w:rPr>
          <w:rFonts w:ascii="宋体" w:hAnsi="宋体" w:cs="宋体"/>
          <w:sz w:val="22"/>
        </w:rPr>
      </w:pPr>
      <w:r>
        <w:rPr>
          <w:rFonts w:hint="eastAsia" w:ascii="宋体" w:hAnsi="宋体" w:cs="宋体"/>
          <w:sz w:val="22"/>
        </w:rPr>
        <w:t>设备运行维护成本分析；</w:t>
      </w:r>
    </w:p>
    <w:p>
      <w:pPr>
        <w:numPr>
          <w:ilvl w:val="0"/>
          <w:numId w:val="15"/>
        </w:numPr>
        <w:spacing w:line="360" w:lineRule="auto"/>
        <w:rPr>
          <w:rFonts w:ascii="宋体" w:hAnsi="宋体" w:cs="宋体"/>
          <w:sz w:val="22"/>
        </w:rPr>
      </w:pPr>
      <w:r>
        <w:rPr>
          <w:rFonts w:hint="eastAsia" w:ascii="宋体" w:hAnsi="宋体" w:cs="宋体"/>
          <w:sz w:val="22"/>
        </w:rPr>
        <w:t>备品备件的详细配置说明；</w:t>
      </w:r>
    </w:p>
    <w:p>
      <w:pPr>
        <w:numPr>
          <w:ilvl w:val="0"/>
          <w:numId w:val="15"/>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15"/>
        </w:numPr>
        <w:spacing w:line="360" w:lineRule="auto"/>
        <w:rPr>
          <w:rFonts w:ascii="宋体" w:hAnsi="宋体" w:cs="宋体"/>
          <w:sz w:val="22"/>
        </w:rPr>
      </w:pPr>
      <w:r>
        <w:rPr>
          <w:rFonts w:hint="eastAsia" w:ascii="宋体" w:hAnsi="宋体" w:cs="宋体"/>
          <w:sz w:val="22"/>
        </w:rPr>
        <w:t>技术文件清单</w:t>
      </w:r>
    </w:p>
    <w:p>
      <w:pPr>
        <w:numPr>
          <w:ilvl w:val="0"/>
          <w:numId w:val="15"/>
        </w:numPr>
        <w:spacing w:line="360" w:lineRule="auto"/>
        <w:rPr>
          <w:rFonts w:ascii="宋体" w:hAnsi="宋体" w:cs="宋体"/>
          <w:sz w:val="22"/>
        </w:rPr>
      </w:pPr>
      <w:r>
        <w:rPr>
          <w:rFonts w:hint="eastAsia" w:ascii="宋体" w:hAnsi="宋体" w:cs="宋体"/>
          <w:sz w:val="22"/>
        </w:rPr>
        <w:t>技术支持及售后服务方案；</w:t>
      </w:r>
    </w:p>
    <w:p>
      <w:pPr>
        <w:numPr>
          <w:ilvl w:val="0"/>
          <w:numId w:val="15"/>
        </w:numPr>
        <w:spacing w:line="360" w:lineRule="auto"/>
        <w:rPr>
          <w:rFonts w:ascii="宋体" w:hAnsi="宋体" w:cs="宋体"/>
          <w:sz w:val="22"/>
        </w:rPr>
      </w:pPr>
      <w:r>
        <w:rPr>
          <w:rFonts w:hint="eastAsia" w:ascii="宋体" w:hAnsi="宋体" w:cs="宋体"/>
          <w:sz w:val="22"/>
        </w:rPr>
        <w:t>人员培训计划。</w:t>
      </w:r>
    </w:p>
    <w:p>
      <w:pPr>
        <w:pStyle w:val="29"/>
        <w:rPr>
          <w:rFonts w:ascii="宋体" w:hAnsi="宋体" w:cs="宋体"/>
          <w:sz w:val="22"/>
        </w:rPr>
      </w:pPr>
    </w:p>
    <w:p>
      <w:pPr>
        <w:pStyle w:val="23"/>
        <w:spacing w:line="360" w:lineRule="auto"/>
        <w:jc w:val="center"/>
        <w:rPr>
          <w:rFonts w:ascii="宋体" w:hAnsi="宋体" w:cs="宋体"/>
          <w:b/>
          <w:sz w:val="32"/>
          <w:szCs w:val="32"/>
        </w:rPr>
      </w:pPr>
    </w:p>
    <w:p>
      <w:pPr>
        <w:pStyle w:val="23"/>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29"/>
        <w:jc w:val="center"/>
        <w:rPr>
          <w:rFonts w:ascii="宋体" w:hAnsi="宋体" w:cs="宋体"/>
          <w:bCs/>
          <w:sz w:val="32"/>
          <w:szCs w:val="32"/>
        </w:rPr>
      </w:pPr>
      <w:r>
        <w:rPr>
          <w:rFonts w:hint="eastAsia" w:ascii="宋体" w:hAnsi="宋体" w:cs="宋体"/>
          <w:b/>
          <w:sz w:val="30"/>
          <w:szCs w:val="30"/>
        </w:rPr>
        <w:t>项目部主要成员履历表</w:t>
      </w:r>
    </w:p>
    <w:p>
      <w:pPr>
        <w:pStyle w:val="30"/>
        <w:spacing w:before="120" w:beforeLines="50" w:line="360" w:lineRule="auto"/>
        <w:ind w:firstLine="480" w:firstLineChars="200"/>
        <w:rPr>
          <w:rFonts w:ascii="宋体" w:hAnsi="宋体" w:eastAsia="宋体" w:cs="宋体"/>
          <w:sz w:val="24"/>
          <w:szCs w:val="21"/>
        </w:rPr>
      </w:pPr>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29"/>
              <w:jc w:val="center"/>
              <w:rPr>
                <w:rFonts w:ascii="宋体" w:hAnsi="宋体" w:cs="宋体"/>
              </w:rPr>
            </w:pPr>
            <w:r>
              <w:rPr>
                <w:rFonts w:hint="eastAsia" w:ascii="宋体" w:hAnsi="宋体" w:cs="宋体"/>
              </w:rPr>
              <w:t>序号</w:t>
            </w:r>
          </w:p>
        </w:tc>
        <w:tc>
          <w:tcPr>
            <w:tcW w:w="665" w:type="dxa"/>
            <w:vAlign w:val="center"/>
          </w:tcPr>
          <w:p>
            <w:pPr>
              <w:pStyle w:val="29"/>
              <w:jc w:val="center"/>
              <w:rPr>
                <w:rFonts w:ascii="宋体" w:hAnsi="宋体" w:cs="宋体"/>
              </w:rPr>
            </w:pPr>
            <w:r>
              <w:rPr>
                <w:rFonts w:hint="eastAsia" w:ascii="宋体" w:hAnsi="宋体" w:cs="宋体"/>
              </w:rPr>
              <w:t>姓名</w:t>
            </w:r>
          </w:p>
        </w:tc>
        <w:tc>
          <w:tcPr>
            <w:tcW w:w="665" w:type="dxa"/>
            <w:vAlign w:val="center"/>
          </w:tcPr>
          <w:p>
            <w:pPr>
              <w:pStyle w:val="29"/>
              <w:jc w:val="center"/>
              <w:rPr>
                <w:rFonts w:ascii="宋体" w:hAnsi="宋体" w:cs="宋体"/>
              </w:rPr>
            </w:pPr>
            <w:r>
              <w:rPr>
                <w:rFonts w:hint="eastAsia" w:ascii="宋体" w:hAnsi="宋体" w:cs="宋体"/>
              </w:rPr>
              <w:t>性别</w:t>
            </w:r>
          </w:p>
        </w:tc>
        <w:tc>
          <w:tcPr>
            <w:tcW w:w="665" w:type="dxa"/>
            <w:vAlign w:val="center"/>
          </w:tcPr>
          <w:p>
            <w:pPr>
              <w:pStyle w:val="29"/>
              <w:jc w:val="center"/>
              <w:rPr>
                <w:rFonts w:ascii="宋体" w:hAnsi="宋体" w:cs="宋体"/>
              </w:rPr>
            </w:pPr>
            <w:r>
              <w:rPr>
                <w:rFonts w:hint="eastAsia" w:ascii="宋体" w:hAnsi="宋体" w:cs="宋体"/>
              </w:rPr>
              <w:t>年龄</w:t>
            </w:r>
          </w:p>
        </w:tc>
        <w:tc>
          <w:tcPr>
            <w:tcW w:w="664" w:type="dxa"/>
            <w:vAlign w:val="center"/>
          </w:tcPr>
          <w:p>
            <w:pPr>
              <w:pStyle w:val="29"/>
              <w:jc w:val="center"/>
              <w:rPr>
                <w:rFonts w:ascii="宋体" w:hAnsi="宋体" w:cs="宋体"/>
              </w:rPr>
            </w:pPr>
            <w:r>
              <w:rPr>
                <w:rFonts w:hint="eastAsia" w:ascii="宋体" w:hAnsi="宋体" w:cs="宋体"/>
              </w:rPr>
              <w:t>学历</w:t>
            </w:r>
          </w:p>
        </w:tc>
        <w:tc>
          <w:tcPr>
            <w:tcW w:w="664" w:type="dxa"/>
            <w:vAlign w:val="center"/>
          </w:tcPr>
          <w:p>
            <w:pPr>
              <w:pStyle w:val="29"/>
              <w:jc w:val="center"/>
              <w:rPr>
                <w:rFonts w:ascii="宋体" w:hAnsi="宋体" w:cs="宋体"/>
              </w:rPr>
            </w:pPr>
            <w:r>
              <w:rPr>
                <w:rFonts w:hint="eastAsia" w:ascii="宋体" w:hAnsi="宋体" w:cs="宋体"/>
              </w:rPr>
              <w:t>专业</w:t>
            </w:r>
          </w:p>
        </w:tc>
        <w:tc>
          <w:tcPr>
            <w:tcW w:w="1673" w:type="dxa"/>
            <w:vAlign w:val="center"/>
          </w:tcPr>
          <w:p>
            <w:pPr>
              <w:pStyle w:val="29"/>
              <w:jc w:val="center"/>
              <w:rPr>
                <w:rFonts w:ascii="宋体" w:hAnsi="宋体" w:cs="宋体"/>
              </w:rPr>
            </w:pPr>
            <w:r>
              <w:rPr>
                <w:rFonts w:hint="eastAsia" w:ascii="宋体" w:hAnsi="宋体" w:cs="宋体"/>
              </w:rPr>
              <w:t>执业资格/职称</w:t>
            </w:r>
          </w:p>
        </w:tc>
        <w:tc>
          <w:tcPr>
            <w:tcW w:w="1157" w:type="dxa"/>
            <w:vAlign w:val="center"/>
          </w:tcPr>
          <w:p>
            <w:pPr>
              <w:pStyle w:val="29"/>
              <w:jc w:val="center"/>
              <w:rPr>
                <w:rFonts w:ascii="宋体" w:hAnsi="宋体" w:cs="宋体"/>
              </w:rPr>
            </w:pPr>
            <w:r>
              <w:rPr>
                <w:rFonts w:hint="eastAsia" w:ascii="宋体" w:hAnsi="宋体" w:cs="宋体"/>
              </w:rPr>
              <w:t>工作年限</w:t>
            </w:r>
          </w:p>
        </w:tc>
        <w:tc>
          <w:tcPr>
            <w:tcW w:w="1673" w:type="dxa"/>
            <w:vAlign w:val="center"/>
          </w:tcPr>
          <w:p>
            <w:pPr>
              <w:pStyle w:val="29"/>
              <w:jc w:val="center"/>
              <w:rPr>
                <w:rFonts w:ascii="宋体" w:hAnsi="宋体" w:cs="宋体"/>
              </w:rPr>
            </w:pPr>
            <w:r>
              <w:rPr>
                <w:rFonts w:hint="eastAsia" w:ascii="宋体" w:hAnsi="宋体" w:cs="宋体"/>
              </w:rPr>
              <w:t>拟在本项目担任的职务</w:t>
            </w:r>
          </w:p>
        </w:tc>
        <w:tc>
          <w:tcPr>
            <w:tcW w:w="1364" w:type="dxa"/>
            <w:vAlign w:val="center"/>
          </w:tcPr>
          <w:p>
            <w:pPr>
              <w:pStyle w:val="2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157" w:type="dxa"/>
            <w:tcBorders>
              <w:bottom w:val="single" w:color="auto" w:sz="4" w:space="0"/>
            </w:tcBorders>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364" w:type="dxa"/>
            <w:tcBorders>
              <w:bottom w:val="single" w:color="auto" w:sz="4" w:space="0"/>
            </w:tcBorders>
            <w:vAlign w:val="center"/>
          </w:tcPr>
          <w:p>
            <w:pPr>
              <w:pStyle w:val="2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157" w:type="dxa"/>
            <w:tcBorders>
              <w:bottom w:val="single" w:color="auto" w:sz="4" w:space="0"/>
            </w:tcBorders>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364" w:type="dxa"/>
            <w:tcBorders>
              <w:bottom w:val="single" w:color="auto" w:sz="4" w:space="0"/>
            </w:tcBorders>
            <w:vAlign w:val="center"/>
          </w:tcPr>
          <w:p>
            <w:pPr>
              <w:pStyle w:val="2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157" w:type="dxa"/>
            <w:tcBorders>
              <w:bottom w:val="single" w:color="auto" w:sz="4" w:space="0"/>
            </w:tcBorders>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364" w:type="dxa"/>
            <w:tcBorders>
              <w:bottom w:val="single" w:color="auto" w:sz="4" w:space="0"/>
            </w:tcBorders>
            <w:vAlign w:val="center"/>
          </w:tcPr>
          <w:p>
            <w:pPr>
              <w:pStyle w:val="2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157" w:type="dxa"/>
            <w:tcBorders>
              <w:bottom w:val="single" w:color="auto" w:sz="4" w:space="0"/>
            </w:tcBorders>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364" w:type="dxa"/>
            <w:tcBorders>
              <w:bottom w:val="single" w:color="auto" w:sz="4" w:space="0"/>
            </w:tcBorders>
            <w:vAlign w:val="center"/>
          </w:tcPr>
          <w:p>
            <w:pPr>
              <w:pStyle w:val="2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157" w:type="dxa"/>
            <w:tcBorders>
              <w:bottom w:val="single" w:color="auto" w:sz="4" w:space="0"/>
            </w:tcBorders>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364" w:type="dxa"/>
            <w:tcBorders>
              <w:bottom w:val="single" w:color="auto" w:sz="4" w:space="0"/>
            </w:tcBorders>
            <w:vAlign w:val="center"/>
          </w:tcPr>
          <w:p>
            <w:pPr>
              <w:pStyle w:val="2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5"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664" w:type="dxa"/>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157" w:type="dxa"/>
            <w:tcBorders>
              <w:bottom w:val="single" w:color="auto" w:sz="4" w:space="0"/>
            </w:tcBorders>
            <w:vAlign w:val="center"/>
          </w:tcPr>
          <w:p>
            <w:pPr>
              <w:pStyle w:val="29"/>
              <w:jc w:val="center"/>
              <w:rPr>
                <w:rFonts w:ascii="宋体" w:hAnsi="宋体" w:cs="宋体"/>
              </w:rPr>
            </w:pPr>
          </w:p>
        </w:tc>
        <w:tc>
          <w:tcPr>
            <w:tcW w:w="1673" w:type="dxa"/>
            <w:tcBorders>
              <w:bottom w:val="single" w:color="auto" w:sz="4" w:space="0"/>
            </w:tcBorders>
            <w:vAlign w:val="center"/>
          </w:tcPr>
          <w:p>
            <w:pPr>
              <w:pStyle w:val="29"/>
              <w:jc w:val="center"/>
              <w:rPr>
                <w:rFonts w:ascii="宋体" w:hAnsi="宋体" w:cs="宋体"/>
              </w:rPr>
            </w:pPr>
          </w:p>
        </w:tc>
        <w:tc>
          <w:tcPr>
            <w:tcW w:w="1364" w:type="dxa"/>
            <w:tcBorders>
              <w:bottom w:val="single" w:color="auto" w:sz="4" w:space="0"/>
            </w:tcBorders>
            <w:vAlign w:val="center"/>
          </w:tcPr>
          <w:p>
            <w:pPr>
              <w:pStyle w:val="29"/>
              <w:jc w:val="center"/>
              <w:rPr>
                <w:rFonts w:ascii="宋体" w:hAnsi="宋体" w:cs="宋体"/>
              </w:rPr>
            </w:pPr>
          </w:p>
        </w:tc>
      </w:tr>
    </w:tbl>
    <w:p>
      <w:pPr>
        <w:pStyle w:val="3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31"/>
        <w:spacing w:line="400" w:lineRule="exact"/>
        <w:rPr>
          <w:rFonts w:ascii="宋体" w:hAnsi="宋体" w:cs="宋体"/>
          <w:sz w:val="24"/>
          <w:szCs w:val="21"/>
        </w:rPr>
      </w:pPr>
    </w:p>
    <w:p>
      <w:pPr>
        <w:pStyle w:val="2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29"/>
              <w:ind w:left="113"/>
              <w:jc w:val="center"/>
              <w:rPr>
                <w:rFonts w:ascii="宋体" w:hAnsi="宋体" w:cs="宋体"/>
              </w:rPr>
            </w:pPr>
            <w:r>
              <w:rPr>
                <w:rFonts w:hint="eastAsia" w:ascii="宋体" w:hAnsi="宋体" w:cs="宋体"/>
              </w:rPr>
              <w:t>售后服务体系情况</w:t>
            </w:r>
          </w:p>
        </w:tc>
        <w:tc>
          <w:tcPr>
            <w:tcW w:w="3335" w:type="dxa"/>
            <w:vAlign w:val="center"/>
          </w:tcPr>
          <w:p>
            <w:pPr>
              <w:pStyle w:val="29"/>
              <w:jc w:val="center"/>
              <w:rPr>
                <w:rFonts w:ascii="宋体" w:hAnsi="宋体" w:cs="宋体"/>
              </w:rPr>
            </w:pPr>
            <w:r>
              <w:rPr>
                <w:rFonts w:hint="eastAsia" w:ascii="宋体" w:hAnsi="宋体" w:cs="宋体"/>
              </w:rPr>
              <w:t>售后服务人数：</w:t>
            </w:r>
          </w:p>
        </w:tc>
        <w:tc>
          <w:tcPr>
            <w:tcW w:w="5515" w:type="dxa"/>
            <w:vAlign w:val="center"/>
          </w:tcPr>
          <w:p>
            <w:pPr>
              <w:pStyle w:val="2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29"/>
              <w:ind w:left="113"/>
              <w:jc w:val="center"/>
              <w:rPr>
                <w:rFonts w:ascii="宋体" w:hAnsi="宋体" w:cs="宋体"/>
              </w:rPr>
            </w:pPr>
          </w:p>
        </w:tc>
        <w:tc>
          <w:tcPr>
            <w:tcW w:w="3335" w:type="dxa"/>
            <w:vAlign w:val="center"/>
          </w:tcPr>
          <w:p>
            <w:pPr>
              <w:pStyle w:val="29"/>
              <w:jc w:val="center"/>
              <w:rPr>
                <w:rFonts w:ascii="宋体" w:hAnsi="宋体" w:cs="宋体"/>
              </w:rPr>
            </w:pPr>
            <w:r>
              <w:rPr>
                <w:rFonts w:hint="eastAsia" w:ascii="宋体" w:hAnsi="宋体" w:cs="宋体"/>
              </w:rPr>
              <w:t>职称：</w:t>
            </w:r>
          </w:p>
        </w:tc>
        <w:tc>
          <w:tcPr>
            <w:tcW w:w="5515" w:type="dxa"/>
            <w:vAlign w:val="center"/>
          </w:tcPr>
          <w:p>
            <w:pPr>
              <w:pStyle w:val="2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29"/>
              <w:ind w:left="113"/>
              <w:jc w:val="center"/>
              <w:rPr>
                <w:rFonts w:ascii="宋体" w:hAnsi="宋体" w:cs="宋体"/>
              </w:rPr>
            </w:pPr>
          </w:p>
        </w:tc>
        <w:tc>
          <w:tcPr>
            <w:tcW w:w="3335" w:type="dxa"/>
            <w:vAlign w:val="center"/>
          </w:tcPr>
          <w:p>
            <w:pPr>
              <w:pStyle w:val="29"/>
              <w:jc w:val="center"/>
              <w:rPr>
                <w:rFonts w:ascii="宋体" w:hAnsi="宋体" w:cs="宋体"/>
              </w:rPr>
            </w:pPr>
            <w:r>
              <w:rPr>
                <w:rFonts w:hint="eastAsia" w:ascii="宋体" w:hAnsi="宋体" w:cs="宋体"/>
              </w:rPr>
              <w:t>固定场所地址：</w:t>
            </w:r>
          </w:p>
        </w:tc>
        <w:tc>
          <w:tcPr>
            <w:tcW w:w="5515" w:type="dxa"/>
            <w:vAlign w:val="center"/>
          </w:tcPr>
          <w:p>
            <w:pPr>
              <w:pStyle w:val="2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1005" w:type="dxa"/>
            <w:textDirection w:val="tbRlV"/>
            <w:vAlign w:val="center"/>
          </w:tcPr>
          <w:p>
            <w:pPr>
              <w:pStyle w:val="2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29"/>
              <w:rPr>
                <w:rFonts w:ascii="宋体" w:hAnsi="宋体" w:cs="宋体"/>
              </w:rPr>
            </w:pPr>
            <w:r>
              <w:rPr>
                <w:rFonts w:hint="eastAsia" w:ascii="宋体" w:hAnsi="宋体" w:cs="宋体"/>
              </w:rPr>
              <w:t>1.</w:t>
            </w:r>
          </w:p>
          <w:p>
            <w:pPr>
              <w:pStyle w:val="29"/>
              <w:rPr>
                <w:rFonts w:ascii="宋体" w:hAnsi="宋体" w:cs="宋体"/>
              </w:rPr>
            </w:pPr>
            <w:r>
              <w:rPr>
                <w:rFonts w:hint="eastAsia" w:ascii="宋体" w:hAnsi="宋体" w:cs="宋体"/>
              </w:rPr>
              <w:t>2.</w:t>
            </w:r>
          </w:p>
          <w:p>
            <w:pPr>
              <w:pStyle w:val="2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1005" w:type="dxa"/>
            <w:textDirection w:val="tbRlV"/>
            <w:vAlign w:val="center"/>
          </w:tcPr>
          <w:p>
            <w:pPr>
              <w:pStyle w:val="2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29"/>
              <w:rPr>
                <w:rFonts w:ascii="宋体" w:hAnsi="宋体" w:cs="宋体"/>
              </w:rPr>
            </w:pPr>
            <w:r>
              <w:rPr>
                <w:rFonts w:hint="eastAsia" w:ascii="宋体" w:hAnsi="宋体" w:cs="宋体"/>
              </w:rPr>
              <w:t>1.</w:t>
            </w:r>
          </w:p>
          <w:p>
            <w:pPr>
              <w:pStyle w:val="29"/>
              <w:rPr>
                <w:rFonts w:ascii="宋体" w:hAnsi="宋体" w:cs="宋体"/>
              </w:rPr>
            </w:pPr>
            <w:r>
              <w:rPr>
                <w:rFonts w:hint="eastAsia" w:ascii="宋体" w:hAnsi="宋体" w:cs="宋体"/>
              </w:rPr>
              <w:t>2.</w:t>
            </w:r>
          </w:p>
          <w:p>
            <w:pPr>
              <w:pStyle w:val="2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trPr>
        <w:tc>
          <w:tcPr>
            <w:tcW w:w="1005" w:type="dxa"/>
            <w:textDirection w:val="tbRlV"/>
            <w:vAlign w:val="center"/>
          </w:tcPr>
          <w:p>
            <w:pPr>
              <w:pStyle w:val="2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29"/>
              <w:rPr>
                <w:rFonts w:ascii="宋体" w:hAnsi="宋体" w:cs="宋体"/>
              </w:rPr>
            </w:pPr>
            <w:r>
              <w:rPr>
                <w:rFonts w:hint="eastAsia" w:ascii="宋体" w:hAnsi="宋体" w:cs="宋体"/>
              </w:rPr>
              <w:t>1.</w:t>
            </w:r>
          </w:p>
          <w:p>
            <w:pPr>
              <w:pStyle w:val="29"/>
              <w:rPr>
                <w:rFonts w:ascii="宋体" w:hAnsi="宋体" w:cs="宋体"/>
              </w:rPr>
            </w:pPr>
            <w:r>
              <w:rPr>
                <w:rFonts w:hint="eastAsia" w:ascii="宋体" w:hAnsi="宋体" w:cs="宋体"/>
              </w:rPr>
              <w:t>2.</w:t>
            </w:r>
          </w:p>
          <w:p>
            <w:pPr>
              <w:pStyle w:val="2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005" w:type="dxa"/>
            <w:textDirection w:val="tbRlV"/>
            <w:vAlign w:val="center"/>
          </w:tcPr>
          <w:p>
            <w:pPr>
              <w:pStyle w:val="2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29"/>
              <w:rPr>
                <w:rFonts w:ascii="宋体" w:hAnsi="宋体" w:cs="宋体"/>
              </w:rPr>
            </w:pPr>
            <w:r>
              <w:rPr>
                <w:rFonts w:hint="eastAsia" w:ascii="宋体" w:hAnsi="宋体" w:cs="宋体"/>
              </w:rPr>
              <w:t>1.</w:t>
            </w:r>
          </w:p>
          <w:p>
            <w:pPr>
              <w:pStyle w:val="29"/>
              <w:rPr>
                <w:rFonts w:ascii="宋体" w:hAnsi="宋体" w:cs="宋体"/>
              </w:rPr>
            </w:pPr>
            <w:r>
              <w:rPr>
                <w:rFonts w:hint="eastAsia" w:ascii="宋体" w:hAnsi="宋体" w:cs="宋体"/>
              </w:rPr>
              <w:t>2.</w:t>
            </w:r>
          </w:p>
          <w:p>
            <w:pPr>
              <w:pStyle w:val="2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005" w:type="dxa"/>
            <w:textDirection w:val="tbRlV"/>
            <w:vAlign w:val="center"/>
          </w:tcPr>
          <w:p>
            <w:pPr>
              <w:pStyle w:val="2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29"/>
              <w:rPr>
                <w:rFonts w:ascii="宋体" w:hAnsi="宋体" w:cs="宋体"/>
              </w:rPr>
            </w:pPr>
            <w:r>
              <w:rPr>
                <w:rFonts w:hint="eastAsia" w:ascii="宋体" w:hAnsi="宋体" w:cs="宋体"/>
              </w:rPr>
              <w:t>1.</w:t>
            </w:r>
          </w:p>
          <w:p>
            <w:pPr>
              <w:pStyle w:val="29"/>
              <w:rPr>
                <w:rFonts w:ascii="宋体" w:hAnsi="宋体" w:cs="宋体"/>
              </w:rPr>
            </w:pPr>
            <w:r>
              <w:rPr>
                <w:rFonts w:hint="eastAsia" w:ascii="宋体" w:hAnsi="宋体" w:cs="宋体"/>
              </w:rPr>
              <w:t>2.</w:t>
            </w:r>
          </w:p>
          <w:p>
            <w:pPr>
              <w:pStyle w:val="29"/>
              <w:rPr>
                <w:rFonts w:ascii="宋体" w:hAnsi="宋体" w:cs="宋体"/>
              </w:rPr>
            </w:pPr>
            <w:r>
              <w:rPr>
                <w:rFonts w:hint="eastAsia" w:ascii="宋体" w:hAnsi="宋体" w:cs="宋体"/>
              </w:rPr>
              <w:t>3.</w:t>
            </w:r>
          </w:p>
        </w:tc>
      </w:tr>
    </w:tbl>
    <w:p>
      <w:pPr>
        <w:pStyle w:val="29"/>
        <w:spacing w:line="360" w:lineRule="auto"/>
        <w:rPr>
          <w:rFonts w:ascii="宋体" w:hAnsi="宋体" w:cs="宋体"/>
          <w:b/>
          <w:szCs w:val="21"/>
        </w:rPr>
      </w:pPr>
    </w:p>
    <w:p>
      <w:pPr>
        <w:pStyle w:val="2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29"/>
        <w:rPr>
          <w:rFonts w:ascii="宋体" w:hAnsi="宋体" w:cs="宋体"/>
        </w:rPr>
      </w:pPr>
    </w:p>
    <w:p>
      <w:pPr>
        <w:pStyle w:val="29"/>
        <w:rPr>
          <w:rFonts w:ascii="宋体" w:hAnsi="宋体" w:cs="宋体"/>
        </w:rPr>
      </w:pPr>
    </w:p>
    <w:p>
      <w:pPr>
        <w:pStyle w:val="29"/>
        <w:rPr>
          <w:rFonts w:ascii="宋体" w:hAnsi="宋体" w:cs="宋体"/>
        </w:rPr>
      </w:pPr>
      <w:r>
        <w:rPr>
          <w:rFonts w:hint="eastAsia" w:ascii="宋体" w:hAnsi="宋体" w:cs="宋体"/>
        </w:rPr>
        <w:t>致：</w:t>
      </w:r>
    </w:p>
    <w:p>
      <w:pPr>
        <w:pStyle w:val="29"/>
        <w:rPr>
          <w:rFonts w:ascii="宋体" w:hAnsi="宋体" w:cs="宋体"/>
        </w:rPr>
      </w:pPr>
    </w:p>
    <w:p>
      <w:pPr>
        <w:pStyle w:val="29"/>
        <w:spacing w:line="360" w:lineRule="auto"/>
        <w:ind w:firstLine="315" w:firstLineChars="150"/>
        <w:rPr>
          <w:rFonts w:ascii="宋体" w:hAnsi="宋体" w:cs="宋体"/>
        </w:rPr>
      </w:pPr>
      <w:r>
        <w:rPr>
          <w:rFonts w:hint="eastAsia" w:ascii="宋体" w:hAnsi="宋体" w:cs="宋体"/>
        </w:rPr>
        <w:t>我方同意：</w:t>
      </w:r>
    </w:p>
    <w:p>
      <w:pPr>
        <w:pStyle w:val="29"/>
        <w:numPr>
          <w:ilvl w:val="0"/>
          <w:numId w:val="16"/>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29"/>
        <w:numPr>
          <w:ilvl w:val="0"/>
          <w:numId w:val="16"/>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29"/>
        <w:spacing w:line="360" w:lineRule="auto"/>
        <w:ind w:left="360"/>
        <w:rPr>
          <w:rFonts w:ascii="宋体" w:hAnsi="宋体" w:cs="宋体"/>
        </w:rPr>
      </w:pPr>
    </w:p>
    <w:p>
      <w:pPr>
        <w:pStyle w:val="29"/>
        <w:spacing w:line="360" w:lineRule="auto"/>
        <w:ind w:left="360"/>
        <w:rPr>
          <w:rFonts w:ascii="宋体" w:hAnsi="宋体" w:cs="宋体"/>
        </w:rPr>
      </w:pPr>
    </w:p>
    <w:p>
      <w:pPr>
        <w:pStyle w:val="29"/>
        <w:spacing w:line="360" w:lineRule="auto"/>
        <w:ind w:left="360"/>
        <w:rPr>
          <w:rFonts w:ascii="宋体" w:hAnsi="宋体" w:cs="宋体"/>
        </w:rPr>
      </w:pPr>
      <w:r>
        <w:rPr>
          <w:rFonts w:hint="eastAsia" w:ascii="宋体" w:hAnsi="宋体" w:cs="宋体"/>
        </w:rPr>
        <w:t>特此承诺！</w:t>
      </w:r>
    </w:p>
    <w:p>
      <w:pPr>
        <w:pStyle w:val="29"/>
        <w:spacing w:line="360" w:lineRule="auto"/>
        <w:ind w:left="360"/>
        <w:rPr>
          <w:rFonts w:ascii="宋体" w:hAnsi="宋体" w:cs="宋体"/>
        </w:rPr>
      </w:pPr>
    </w:p>
    <w:p>
      <w:pPr>
        <w:pStyle w:val="29"/>
        <w:spacing w:line="360" w:lineRule="auto"/>
        <w:ind w:left="360"/>
        <w:rPr>
          <w:rFonts w:ascii="宋体" w:hAnsi="宋体" w:cs="宋体"/>
        </w:rPr>
      </w:pPr>
    </w:p>
    <w:p>
      <w:pPr>
        <w:pStyle w:val="29"/>
        <w:spacing w:line="360" w:lineRule="auto"/>
        <w:ind w:left="360"/>
        <w:rPr>
          <w:rFonts w:ascii="宋体" w:hAnsi="宋体" w:cs="宋体"/>
        </w:rPr>
      </w:pPr>
    </w:p>
    <w:p>
      <w:pPr>
        <w:pStyle w:val="23"/>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23"/>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23"/>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23"/>
        <w:spacing w:line="360" w:lineRule="auto"/>
        <w:jc w:val="center"/>
        <w:rPr>
          <w:rFonts w:ascii="宋体" w:hAnsi="宋体" w:cs="宋体"/>
          <w:b/>
          <w:sz w:val="32"/>
          <w:szCs w:val="32"/>
        </w:rPr>
      </w:pPr>
      <w:r>
        <w:rPr>
          <w:rFonts w:hint="eastAsia" w:ascii="宋体" w:hAnsi="宋体" w:cs="宋体"/>
          <w:b/>
          <w:sz w:val="32"/>
          <w:szCs w:val="32"/>
        </w:rPr>
        <w:t>十、投标单位优势及其他</w:t>
      </w:r>
    </w:p>
    <w:p>
      <w:pPr>
        <w:pStyle w:val="23"/>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23"/>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ˎ̥">
    <w:altName w:val="MV Boli"/>
    <w:panose1 w:val="00000000000000000000"/>
    <w:charset w:val="00"/>
    <w:family w:val="roman"/>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t xml:space="preserve"> 14 -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5"/>
      </w:rPr>
    </w:pPr>
    <w:r>
      <w:fldChar w:fldCharType="begin"/>
    </w:r>
    <w:r>
      <w:rPr>
        <w:rStyle w:val="15"/>
      </w:rPr>
      <w:instrText xml:space="preserve">PAGE  </w:instrText>
    </w:r>
    <w:r>
      <w:fldChar w:fldCharType="separate"/>
    </w:r>
    <w:r>
      <w:rPr>
        <w:rStyle w:val="15"/>
      </w:rPr>
      <w:t>29</w:t>
    </w:r>
    <w:r>
      <w:fldChar w:fldCharType="end"/>
    </w:r>
  </w:p>
  <w:p>
    <w:pPr>
      <w:pStyle w:val="9"/>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5"/>
      </w:rPr>
    </w:pPr>
    <w:r>
      <w:fldChar w:fldCharType="begin"/>
    </w:r>
    <w:r>
      <w:rPr>
        <w:rStyle w:val="15"/>
      </w:rPr>
      <w:instrText xml:space="preserve">PAGE  </w:instrText>
    </w:r>
    <w:r>
      <w:fldChar w:fldCharType="separate"/>
    </w:r>
    <w:r>
      <w:rPr>
        <w:rStyle w:val="15"/>
      </w:rPr>
      <w:t>3</w:t>
    </w:r>
    <w:r>
      <w:fldChar w:fldCharType="end"/>
    </w:r>
  </w:p>
  <w:p>
    <w:pPr>
      <w:pStyle w:val="9"/>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5"/>
      </w:rPr>
    </w:pPr>
    <w:r>
      <w:fldChar w:fldCharType="begin"/>
    </w:r>
    <w:r>
      <w:rPr>
        <w:rStyle w:val="15"/>
      </w:rPr>
      <w:instrText xml:space="preserve">PAGE  </w:instrText>
    </w:r>
    <w:r>
      <w:fldChar w:fldCharType="separate"/>
    </w:r>
    <w:r>
      <w:rPr>
        <w:rStyle w:val="15"/>
      </w:rPr>
      <w:t>- 59 -</w:t>
    </w:r>
    <w:r>
      <w:fldChar w:fldCharType="end"/>
    </w:r>
  </w:p>
  <w:p>
    <w:pPr>
      <w:pStyle w:val="9"/>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5"/>
      </w:rPr>
    </w:pPr>
    <w:r>
      <w:fldChar w:fldCharType="begin"/>
    </w:r>
    <w:r>
      <w:rPr>
        <w:rStyle w:val="15"/>
      </w:rPr>
      <w:instrText xml:space="preserve">PAGE  </w:instrText>
    </w:r>
    <w:r>
      <w:fldChar w:fldCharType="separate"/>
    </w:r>
    <w:r>
      <w:rPr>
        <w:rStyle w:val="15"/>
      </w:rPr>
      <w:t>3</w:t>
    </w:r>
    <w:r>
      <w:fldChar w:fldCharType="end"/>
    </w:r>
  </w:p>
  <w:p>
    <w:pPr>
      <w:pStyle w:val="9"/>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9"/>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1">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4">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5">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6">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7">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8">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9">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0">
    <w:nsid w:val="047F288C"/>
    <w:multiLevelType w:val="multilevel"/>
    <w:tmpl w:val="047F288C"/>
    <w:lvl w:ilvl="0" w:tentative="0">
      <w:start w:val="1"/>
      <w:numFmt w:val="decimal"/>
      <w:lvlText w:val="%1、"/>
      <w:lvlJc w:val="left"/>
      <w:pPr>
        <w:ind w:left="360" w:hanging="36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9C4BD6E"/>
    <w:multiLevelType w:val="singleLevel"/>
    <w:tmpl w:val="59C4BD6E"/>
    <w:lvl w:ilvl="0" w:tentative="0">
      <w:start w:val="1"/>
      <w:numFmt w:val="decimal"/>
      <w:suff w:val="nothing"/>
      <w:lvlText w:val="（%1）"/>
      <w:lvlJc w:val="left"/>
    </w:lvl>
  </w:abstractNum>
  <w:abstractNum w:abstractNumId="13">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4">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5">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2"/>
  </w:num>
  <w:num w:numId="2">
    <w:abstractNumId w:val="10"/>
  </w:num>
  <w:num w:numId="3">
    <w:abstractNumId w:val="13"/>
  </w:num>
  <w:num w:numId="4">
    <w:abstractNumId w:val="14"/>
  </w:num>
  <w:num w:numId="5">
    <w:abstractNumId w:val="1"/>
  </w:num>
  <w:num w:numId="6">
    <w:abstractNumId w:val="4"/>
  </w:num>
  <w:num w:numId="7">
    <w:abstractNumId w:val="6"/>
  </w:num>
  <w:num w:numId="8">
    <w:abstractNumId w:val="3"/>
  </w:num>
  <w:num w:numId="9">
    <w:abstractNumId w:val="0"/>
  </w:num>
  <w:num w:numId="10">
    <w:abstractNumId w:val="9"/>
  </w:num>
  <w:num w:numId="11">
    <w:abstractNumId w:val="2"/>
  </w:num>
  <w:num w:numId="12">
    <w:abstractNumId w:val="8"/>
  </w:num>
  <w:num w:numId="13">
    <w:abstractNumId w:val="5"/>
  </w:num>
  <w:num w:numId="14">
    <w:abstractNumId w:val="7"/>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A545B"/>
    <w:rsid w:val="799A6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line="360" w:lineRule="auto"/>
      <w:ind w:firstLine="200" w:firstLineChars="200"/>
      <w:outlineLvl w:val="2"/>
    </w:pPr>
    <w:rPr>
      <w:b/>
      <w:bCs/>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annotation text"/>
    <w:basedOn w:val="1"/>
    <w:qFormat/>
    <w:uiPriority w:val="0"/>
    <w:pPr>
      <w:jc w:val="left"/>
    </w:pPr>
    <w:rPr>
      <w:szCs w:val="24"/>
    </w:r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0"/>
    <w:pPr>
      <w:widowControl/>
      <w:spacing w:before="100" w:beforeAutospacing="1" w:after="100" w:afterAutospacing="1"/>
      <w:jc w:val="left"/>
    </w:pPr>
    <w:rPr>
      <w:kern w:val="0"/>
      <w:sz w:val="24"/>
    </w:rPr>
  </w:style>
  <w:style w:type="character" w:styleId="15">
    <w:name w:val="page number"/>
    <w:qFormat/>
    <w:uiPriority w:val="0"/>
  </w:style>
  <w:style w:type="character" w:styleId="16">
    <w:name w:val="Hyperlink"/>
    <w:unhideWhenUsed/>
    <w:qFormat/>
    <w:uiPriority w:val="99"/>
    <w:rPr>
      <w:color w:val="0000FF"/>
      <w:u w:val="single"/>
    </w:rPr>
  </w:style>
  <w:style w:type="character" w:customStyle="1" w:styleId="17">
    <w:name w:val="标题 1 字符1"/>
    <w:link w:val="2"/>
    <w:qFormat/>
    <w:uiPriority w:val="0"/>
    <w:rPr>
      <w:b/>
      <w:bCs/>
      <w:kern w:val="44"/>
      <w:sz w:val="44"/>
      <w:szCs w:val="44"/>
    </w:rPr>
  </w:style>
  <w:style w:type="character" w:customStyle="1" w:styleId="18">
    <w:name w:val="zbggmain style9"/>
    <w:qFormat/>
    <w:uiPriority w:val="0"/>
  </w:style>
  <w:style w:type="paragraph" w:customStyle="1" w:styleId="19">
    <w:name w:val="Table Paragraph"/>
    <w:basedOn w:val="1"/>
    <w:qFormat/>
    <w:uiPriority w:val="1"/>
  </w:style>
  <w:style w:type="paragraph" w:customStyle="1" w:styleId="20">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列表段落1"/>
    <w:basedOn w:val="1"/>
    <w:qFormat/>
    <w:uiPriority w:val="0"/>
    <w:pPr>
      <w:ind w:firstLine="420" w:firstLineChars="200"/>
    </w:pPr>
    <w:rPr>
      <w:szCs w:val="20"/>
    </w:rPr>
  </w:style>
  <w:style w:type="paragraph" w:customStyle="1" w:styleId="23">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纯文本_0"/>
    <w:basedOn w:val="23"/>
    <w:qFormat/>
    <w:uiPriority w:val="0"/>
    <w:rPr>
      <w:rFonts w:ascii="宋体" w:hAnsi="Courier New"/>
      <w:szCs w:val="21"/>
    </w:rPr>
  </w:style>
  <w:style w:type="paragraph" w:customStyle="1" w:styleId="25">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日期_0"/>
    <w:basedOn w:val="29"/>
    <w:next w:val="29"/>
    <w:qFormat/>
    <w:uiPriority w:val="0"/>
    <w:rPr>
      <w:rFonts w:eastAsia="仿宋_GB2312"/>
      <w:sz w:val="28"/>
      <w:szCs w:val="20"/>
    </w:rPr>
  </w:style>
  <w:style w:type="paragraph" w:customStyle="1" w:styleId="31">
    <w:name w:val="正文_4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李聪</cp:lastModifiedBy>
  <dcterms:modified xsi:type="dcterms:W3CDTF">2020-06-08T06:12:04Z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