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p>
    <w:p>
      <w:pPr>
        <w:autoSpaceDE w:val="0"/>
        <w:autoSpaceDN w:val="0"/>
        <w:adjustRightInd w:val="0"/>
        <w:snapToGri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竞争性谈判文件</w:t>
      </w:r>
    </w:p>
    <w:p>
      <w:pPr>
        <w:autoSpaceDE w:val="0"/>
        <w:autoSpaceDN w:val="0"/>
        <w:adjustRightInd w:val="0"/>
        <w:snapToGrid w:val="0"/>
        <w:spacing w:line="360" w:lineRule="auto"/>
        <w:ind w:left="2201" w:hanging="1760"/>
        <w:rPr>
          <w:rFonts w:ascii="仿宋_GB2312" w:eastAsia="仿宋_GB2312"/>
          <w:color w:val="000000"/>
          <w:sz w:val="36"/>
          <w:szCs w:val="36"/>
          <w:lang w:val="zh-CN"/>
        </w:rPr>
      </w:pPr>
    </w:p>
    <w:p>
      <w:pPr>
        <w:autoSpaceDE w:val="0"/>
        <w:autoSpaceDN w:val="0"/>
        <w:adjustRightInd w:val="0"/>
        <w:snapToGrid w:val="0"/>
        <w:spacing w:line="360" w:lineRule="auto"/>
        <w:ind w:left="2201" w:hanging="1760"/>
        <w:rPr>
          <w:rFonts w:ascii="黑体" w:eastAsia="黑体"/>
          <w:color w:val="000000"/>
          <w:sz w:val="36"/>
          <w:szCs w:val="36"/>
          <w:lang w:val="zh-CN"/>
        </w:rPr>
      </w:pPr>
    </w:p>
    <w:p>
      <w:pPr>
        <w:autoSpaceDE w:val="0"/>
        <w:autoSpaceDN w:val="0"/>
        <w:adjustRightInd w:val="0"/>
        <w:snapToGri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项目名称:</w:t>
      </w:r>
    </w:p>
    <w:p>
      <w:pPr>
        <w:autoSpaceDE w:val="0"/>
        <w:autoSpaceDN w:val="0"/>
        <w:adjustRightInd w:val="0"/>
        <w:snapToGri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浙江省机场集团有限公司</w:t>
      </w:r>
    </w:p>
    <w:p>
      <w:pPr>
        <w:autoSpaceDE w:val="0"/>
        <w:autoSpaceDN w:val="0"/>
        <w:adjustRightInd w:val="0"/>
        <w:snapToGrid w:val="0"/>
        <w:spacing w:line="360" w:lineRule="auto"/>
        <w:jc w:val="center"/>
        <w:rPr>
          <w:rFonts w:ascii="仿宋_GB2312" w:eastAsia="仿宋_GB2312"/>
          <w:color w:val="000000"/>
          <w:sz w:val="30"/>
          <w:szCs w:val="30"/>
          <w:lang w:val="zh-CN"/>
        </w:rPr>
      </w:pPr>
      <w:r>
        <w:rPr>
          <w:rFonts w:hint="eastAsia" w:ascii="黑体" w:eastAsia="黑体"/>
          <w:color w:val="000000"/>
          <w:sz w:val="36"/>
          <w:szCs w:val="36"/>
          <w:lang w:val="zh-CN"/>
        </w:rPr>
        <w:t>增选超短期融资券发行的承销商项目</w:t>
      </w: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rPr>
          <w:rFonts w:ascii="仿宋_GB2312" w:eastAsia="仿宋_GB2312"/>
          <w:color w:val="000000"/>
          <w:sz w:val="30"/>
          <w:szCs w:val="30"/>
          <w:lang w:val="zh-CN"/>
        </w:rPr>
      </w:pPr>
    </w:p>
    <w:p>
      <w:pPr>
        <w:autoSpaceDE w:val="0"/>
        <w:autoSpaceDN w:val="0"/>
        <w:adjustRightInd w:val="0"/>
        <w:snapToGrid w:val="0"/>
        <w:spacing w:line="360" w:lineRule="auto"/>
        <w:jc w:val="center"/>
        <w:outlineLvl w:val="0"/>
        <w:rPr>
          <w:rFonts w:ascii="仿宋_GB2312" w:eastAsia="仿宋_GB2312"/>
          <w:b/>
          <w:color w:val="000000"/>
          <w:sz w:val="30"/>
          <w:szCs w:val="30"/>
          <w:lang w:val="zh-CN"/>
        </w:rPr>
      </w:pPr>
      <w:r>
        <w:rPr>
          <w:rFonts w:hint="eastAsia" w:ascii="仿宋_GB2312" w:eastAsia="仿宋_GB2312"/>
          <w:b/>
          <w:color w:val="000000"/>
          <w:sz w:val="30"/>
          <w:szCs w:val="30"/>
          <w:lang w:val="zh-CN"/>
        </w:rPr>
        <w:t>浙江省机场集团有限公司</w:t>
      </w:r>
    </w:p>
    <w:p>
      <w:pPr>
        <w:autoSpaceDE w:val="0"/>
        <w:autoSpaceDN w:val="0"/>
        <w:adjustRightInd w:val="0"/>
        <w:snapToGrid w:val="0"/>
        <w:spacing w:line="360" w:lineRule="auto"/>
        <w:jc w:val="center"/>
        <w:rPr>
          <w:rFonts w:ascii="仿宋_GB2312" w:eastAsia="仿宋_GB2312"/>
          <w:b/>
          <w:color w:val="000000"/>
          <w:sz w:val="30"/>
          <w:szCs w:val="30"/>
          <w:lang w:val="zh-CN"/>
        </w:rPr>
      </w:pPr>
      <w:r>
        <w:rPr>
          <w:rFonts w:hint="eastAsia" w:ascii="仿宋_GB2312" w:eastAsia="仿宋_GB2312"/>
          <w:b/>
          <w:color w:val="000000"/>
          <w:sz w:val="30"/>
          <w:szCs w:val="30"/>
          <w:lang w:val="zh-CN"/>
        </w:rPr>
        <w:t>二○二○年七月</w:t>
      </w:r>
    </w:p>
    <w:p>
      <w:pPr>
        <w:autoSpaceDE w:val="0"/>
        <w:autoSpaceDN w:val="0"/>
        <w:adjustRightInd w:val="0"/>
        <w:snapToGrid w:val="0"/>
        <w:spacing w:line="360" w:lineRule="auto"/>
        <w:rPr>
          <w:rFonts w:ascii="仿宋_GB2312" w:eastAsia="仿宋_GB2312"/>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2"/>
          <w:szCs w:val="30"/>
        </w:rPr>
      </w:pPr>
      <w:r>
        <w:rPr>
          <w:rFonts w:hint="eastAsia" w:ascii="仿宋_GB2312" w:hAnsi="Verdana" w:eastAsia="仿宋_GB2312" w:cs="Arial"/>
          <w:b/>
          <w:color w:val="000000"/>
          <w:sz w:val="32"/>
          <w:szCs w:val="30"/>
        </w:rPr>
        <w:t>文件目录</w:t>
      </w:r>
    </w:p>
    <w:p>
      <w:pPr>
        <w:tabs>
          <w:tab w:val="left" w:pos="900"/>
        </w:tabs>
        <w:autoSpaceDE w:val="0"/>
        <w:autoSpaceDN w:val="0"/>
        <w:adjustRightInd w:val="0"/>
        <w:snapToGrid w:val="0"/>
        <w:spacing w:line="360" w:lineRule="auto"/>
        <w:rPr>
          <w:rFonts w:ascii="仿宋_GB2312" w:hAnsi="Verdana" w:eastAsia="仿宋_GB2312" w:cs="Arial"/>
          <w:color w:val="000000"/>
          <w:sz w:val="32"/>
          <w:szCs w:val="30"/>
        </w:rPr>
      </w:pPr>
    </w:p>
    <w:p>
      <w:pPr>
        <w:tabs>
          <w:tab w:val="left" w:pos="900"/>
        </w:tabs>
        <w:autoSpaceDE w:val="0"/>
        <w:autoSpaceDN w:val="0"/>
        <w:adjustRightInd w:val="0"/>
        <w:snapToGrid w:val="0"/>
        <w:spacing w:line="360" w:lineRule="auto"/>
        <w:ind w:firstLine="640" w:firstLineChars="200"/>
        <w:rPr>
          <w:rFonts w:ascii="仿宋_GB2312" w:hAnsi="Verdana" w:eastAsia="仿宋_GB2312" w:cs="Arial"/>
          <w:color w:val="000000"/>
          <w:sz w:val="32"/>
          <w:szCs w:val="30"/>
        </w:rPr>
      </w:pPr>
      <w:r>
        <w:rPr>
          <w:rFonts w:hint="eastAsia" w:ascii="仿宋_GB2312" w:hAnsi="Verdana" w:eastAsia="仿宋_GB2312" w:cs="Arial"/>
          <w:color w:val="000000"/>
          <w:sz w:val="32"/>
          <w:szCs w:val="30"/>
        </w:rPr>
        <w:t>一、项目概况</w:t>
      </w:r>
    </w:p>
    <w:p>
      <w:pPr>
        <w:autoSpaceDE w:val="0"/>
        <w:autoSpaceDN w:val="0"/>
        <w:adjustRightInd w:val="0"/>
        <w:snapToGrid w:val="0"/>
        <w:spacing w:line="360" w:lineRule="auto"/>
        <w:ind w:firstLine="640" w:firstLineChars="200"/>
        <w:jc w:val="left"/>
        <w:rPr>
          <w:rFonts w:ascii="仿宋_GB2312" w:eastAsia="仿宋_GB2312"/>
          <w:color w:val="000000"/>
          <w:sz w:val="32"/>
          <w:szCs w:val="30"/>
          <w:lang w:val="zh-CN"/>
        </w:rPr>
      </w:pPr>
      <w:r>
        <w:rPr>
          <w:rFonts w:hint="eastAsia" w:ascii="仿宋_GB2312" w:hAnsi="Verdana" w:eastAsia="仿宋_GB2312" w:cs="Arial"/>
          <w:color w:val="000000"/>
          <w:sz w:val="32"/>
          <w:szCs w:val="30"/>
        </w:rPr>
        <w:t>二、报价人须知</w:t>
      </w:r>
    </w:p>
    <w:p>
      <w:pPr>
        <w:tabs>
          <w:tab w:val="left" w:pos="900"/>
        </w:tabs>
        <w:autoSpaceDE w:val="0"/>
        <w:autoSpaceDN w:val="0"/>
        <w:adjustRightInd w:val="0"/>
        <w:snapToGrid w:val="0"/>
        <w:spacing w:line="360" w:lineRule="auto"/>
        <w:ind w:firstLine="640" w:firstLineChars="200"/>
        <w:rPr>
          <w:rFonts w:ascii="仿宋_GB2312" w:hAnsi="Verdana" w:eastAsia="仿宋_GB2312" w:cs="Arial"/>
          <w:color w:val="000000"/>
          <w:sz w:val="32"/>
          <w:szCs w:val="30"/>
        </w:rPr>
      </w:pPr>
      <w:r>
        <w:rPr>
          <w:rFonts w:hint="eastAsia" w:ascii="仿宋_GB2312" w:hAnsi="宋体" w:eastAsia="仿宋_GB2312"/>
          <w:color w:val="000000"/>
          <w:sz w:val="32"/>
          <w:szCs w:val="30"/>
        </w:rPr>
        <w:t>三、谈判程序和</w:t>
      </w:r>
      <w:r>
        <w:rPr>
          <w:rFonts w:hint="eastAsia" w:ascii="仿宋_GB2312" w:hAnsi="Verdana" w:eastAsia="仿宋_GB2312" w:cs="Arial"/>
          <w:color w:val="000000"/>
          <w:sz w:val="32"/>
          <w:szCs w:val="30"/>
        </w:rPr>
        <w:t>评审方法</w:t>
      </w:r>
    </w:p>
    <w:p>
      <w:pPr>
        <w:tabs>
          <w:tab w:val="left" w:pos="900"/>
        </w:tabs>
        <w:autoSpaceDE w:val="0"/>
        <w:autoSpaceDN w:val="0"/>
        <w:adjustRightInd w:val="0"/>
        <w:snapToGrid w:val="0"/>
        <w:spacing w:line="360" w:lineRule="auto"/>
        <w:ind w:firstLine="640" w:firstLineChars="200"/>
        <w:rPr>
          <w:rFonts w:ascii="仿宋_GB2312" w:hAnsi="宋体" w:eastAsia="仿宋_GB2312"/>
          <w:color w:val="000000"/>
          <w:sz w:val="32"/>
          <w:szCs w:val="30"/>
        </w:rPr>
      </w:pPr>
      <w:r>
        <w:rPr>
          <w:rFonts w:hint="eastAsia" w:ascii="仿宋_GB2312" w:hAnsi="宋体" w:eastAsia="仿宋_GB2312"/>
          <w:color w:val="000000"/>
          <w:sz w:val="32"/>
          <w:szCs w:val="30"/>
        </w:rPr>
        <w:t>四、合同的谈判和签订</w:t>
      </w:r>
    </w:p>
    <w:p>
      <w:pPr>
        <w:tabs>
          <w:tab w:val="left" w:pos="900"/>
        </w:tabs>
        <w:autoSpaceDE w:val="0"/>
        <w:autoSpaceDN w:val="0"/>
        <w:adjustRightInd w:val="0"/>
        <w:snapToGrid w:val="0"/>
        <w:spacing w:line="360" w:lineRule="auto"/>
        <w:ind w:firstLine="640" w:firstLineChars="200"/>
        <w:rPr>
          <w:rFonts w:ascii="仿宋_GB2312" w:eastAsia="仿宋_GB2312"/>
          <w:color w:val="000000"/>
          <w:sz w:val="32"/>
          <w:szCs w:val="30"/>
        </w:rPr>
      </w:pPr>
      <w:r>
        <w:rPr>
          <w:rFonts w:hint="eastAsia" w:ascii="仿宋_GB2312" w:hAnsi="宋体" w:eastAsia="仿宋_GB2312"/>
          <w:color w:val="000000"/>
          <w:sz w:val="32"/>
          <w:szCs w:val="30"/>
        </w:rPr>
        <w:t>五、响应性文件的有关格式</w:t>
      </w:r>
    </w:p>
    <w:p>
      <w:pPr>
        <w:spacing w:line="560" w:lineRule="exact"/>
        <w:rPr>
          <w:rFonts w:ascii="黑体" w:hAnsi="黑体" w:eastAsia="黑体"/>
          <w:color w:val="000000"/>
          <w:sz w:val="28"/>
          <w:szCs w:val="28"/>
          <w:lang w:val="zh-CN"/>
        </w:rPr>
      </w:pPr>
      <w:r>
        <w:rPr>
          <w:sz w:val="30"/>
          <w:szCs w:val="30"/>
        </w:rPr>
        <w:br w:type="page"/>
      </w:r>
      <w:r>
        <w:rPr>
          <w:rFonts w:hint="eastAsia" w:ascii="黑体" w:hAnsi="黑体" w:eastAsia="黑体"/>
          <w:sz w:val="28"/>
          <w:szCs w:val="28"/>
        </w:rPr>
        <w:t>一、</w:t>
      </w:r>
      <w:r>
        <w:rPr>
          <w:rFonts w:hint="eastAsia" w:ascii="黑体" w:hAnsi="黑体" w:eastAsia="黑体"/>
          <w:color w:val="000000"/>
          <w:sz w:val="28"/>
          <w:szCs w:val="28"/>
          <w:lang w:val="zh-CN"/>
        </w:rPr>
        <w:t>项目</w:t>
      </w:r>
      <w:bookmarkStart w:id="0" w:name="_Toc122750882"/>
      <w:bookmarkStart w:id="1" w:name="_Toc184397088"/>
      <w:r>
        <w:rPr>
          <w:rFonts w:hint="eastAsia" w:ascii="黑体" w:hAnsi="黑体" w:eastAsia="黑体"/>
          <w:color w:val="000000"/>
          <w:sz w:val="28"/>
          <w:szCs w:val="28"/>
          <w:lang w:val="zh-CN"/>
        </w:rPr>
        <w:t>概况</w:t>
      </w:r>
      <w:bookmarkEnd w:id="0"/>
      <w:bookmarkEnd w:id="1"/>
    </w:p>
    <w:p>
      <w:pPr>
        <w:autoSpaceDE w:val="0"/>
        <w:autoSpaceDN w:val="0"/>
        <w:adjustRightInd w:val="0"/>
        <w:snapToGrid w:val="0"/>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（一）项目主要内容</w:t>
      </w:r>
    </w:p>
    <w:p>
      <w:pPr>
        <w:spacing w:line="560" w:lineRule="exact"/>
        <w:ind w:firstLine="646"/>
        <w:rPr>
          <w:rFonts w:ascii="仿宋_GB2312" w:eastAsia="仿宋_GB2312"/>
          <w:sz w:val="28"/>
          <w:szCs w:val="28"/>
        </w:rPr>
      </w:pPr>
      <w:r>
        <w:rPr>
          <w:rFonts w:hint="eastAsia" w:ascii="仿宋_GB2312" w:eastAsia="仿宋_GB2312"/>
          <w:sz w:val="28"/>
          <w:szCs w:val="28"/>
        </w:rPr>
        <w:t>浙江省机场集团有限公司是浙江省属国有企业，系省级民航基础设施建设、机场运营管理和航空产业发展的大平台，公司已注册20亿元的超短期融资券债务融资工具（以下简称“超短融”），现有超短融承销团中共有3家金融机构。为确保上述债务融资工具更加顺利的发行，我公司拟定于2020年7月采用竞争性谈判方式增选5家金融机构，以扩充公司的超短融承销团至8家。</w:t>
      </w:r>
    </w:p>
    <w:p>
      <w:pPr>
        <w:autoSpaceDE w:val="0"/>
        <w:autoSpaceDN w:val="0"/>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（二）服务期限</w:t>
      </w:r>
    </w:p>
    <w:p>
      <w:pPr>
        <w:autoSpaceDE w:val="0"/>
        <w:autoSpaceDN w:val="0"/>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本次增选的超短融承销商服务期限与公司原超短融承销团一致（即与本次债务融资工具注册有效期一致至2021年8月9日）。</w:t>
      </w:r>
    </w:p>
    <w:p>
      <w:pPr>
        <w:snapToGrid w:val="0"/>
        <w:spacing w:line="560" w:lineRule="exact"/>
        <w:ind w:firstLine="560" w:firstLineChars="200"/>
        <w:rPr>
          <w:rFonts w:ascii="黑体" w:hAnsi="黑体" w:eastAsia="黑体"/>
          <w:sz w:val="28"/>
          <w:szCs w:val="28"/>
          <w:lang w:val="zh-CN"/>
        </w:rPr>
      </w:pPr>
      <w:r>
        <w:rPr>
          <w:rFonts w:hint="eastAsia" w:ascii="黑体" w:hAnsi="黑体" w:eastAsia="黑体"/>
          <w:sz w:val="28"/>
          <w:szCs w:val="28"/>
          <w:lang w:val="zh-CN"/>
        </w:rPr>
        <w:t>二、报价人须知</w:t>
      </w:r>
    </w:p>
    <w:p>
      <w:pPr>
        <w:autoSpaceDE w:val="0"/>
        <w:autoSpaceDN w:val="0"/>
        <w:adjustRightInd w:val="0"/>
        <w:snapToGrid w:val="0"/>
        <w:spacing w:line="560" w:lineRule="exact"/>
        <w:ind w:firstLine="420" w:firstLineChars="150"/>
        <w:rPr>
          <w:rFonts w:ascii="仿宋_GB2312" w:eastAsia="仿宋_GB2312"/>
          <w:color w:val="000000"/>
          <w:sz w:val="28"/>
          <w:szCs w:val="28"/>
          <w:lang w:val="zh-CN"/>
        </w:rPr>
      </w:pPr>
      <w:r>
        <w:rPr>
          <w:rFonts w:hint="eastAsia" w:ascii="仿宋_GB2312" w:eastAsia="仿宋_GB2312"/>
          <w:color w:val="000000"/>
          <w:sz w:val="28"/>
          <w:szCs w:val="28"/>
          <w:lang w:val="zh-CN"/>
        </w:rPr>
        <w:t>（一）合格的报价人</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1.具有独立法人资格，持有有效营业执照，需提供营业执照复印件并加盖报价人公章作为证明材料，原件备查。如营业执照未登记注册资本的，须另外提供企业在“全国企业信用信息公示系统”中自行公示的出资实缴情况，附相关公示网页复制件，并加盖报价人公章。</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2</w:t>
      </w:r>
      <w:r>
        <w:rPr>
          <w:rFonts w:ascii="仿宋_GB2312" w:eastAsia="仿宋_GB2312"/>
          <w:color w:val="000000"/>
          <w:sz w:val="28"/>
          <w:szCs w:val="28"/>
          <w:lang w:val="zh-CN"/>
        </w:rPr>
        <w:t>.</w:t>
      </w:r>
      <w:r>
        <w:rPr>
          <w:rFonts w:hint="eastAsia" w:ascii="仿宋_GB2312" w:eastAsia="仿宋_GB2312"/>
          <w:color w:val="000000"/>
          <w:sz w:val="28"/>
          <w:szCs w:val="28"/>
          <w:lang w:val="zh-CN"/>
        </w:rPr>
        <w:t>依据最高人民法院等九部门《关于在招标投标活动中对失信被执行人实施联合惩戒的通知》，报价人不得为失信被执行人。（通过信用中国网站www.creditchina.gov.cn 查询，查询结果以网站页面显示内容为准，投标时提供查询结果并加盖报价人公章作为证明材料或在投标函中承诺报价人不是失信被执行人）。若在中标候选人公示期间发现中标候选人在投标截止日前为失信被执行人的，招标人将依法取消其中标候选人资格，并有权没收其投标保证金。</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ascii="仿宋_GB2312" w:eastAsia="仿宋_GB2312"/>
          <w:color w:val="000000"/>
          <w:sz w:val="28"/>
          <w:szCs w:val="28"/>
          <w:lang w:val="zh-CN"/>
        </w:rPr>
        <w:t>3.</w:t>
      </w:r>
      <w:r>
        <w:rPr>
          <w:rFonts w:hint="eastAsia" w:ascii="仿宋_GB2312" w:eastAsia="仿宋_GB2312"/>
          <w:color w:val="000000"/>
          <w:sz w:val="28"/>
          <w:szCs w:val="28"/>
          <w:lang w:val="zh-CN"/>
        </w:rPr>
        <w:t>近年（</w:t>
      </w:r>
      <w:r>
        <w:rPr>
          <w:rFonts w:ascii="仿宋_GB2312" w:eastAsia="仿宋_GB2312"/>
          <w:color w:val="000000"/>
          <w:sz w:val="28"/>
          <w:szCs w:val="28"/>
          <w:lang w:val="zh-CN"/>
        </w:rPr>
        <w:t>2017</w:t>
      </w:r>
      <w:r>
        <w:rPr>
          <w:rFonts w:hint="eastAsia" w:ascii="仿宋_GB2312" w:eastAsia="仿宋_GB2312"/>
          <w:color w:val="000000"/>
          <w:sz w:val="28"/>
          <w:szCs w:val="28"/>
          <w:lang w:val="zh-CN"/>
        </w:rPr>
        <w:t>年</w:t>
      </w:r>
      <w:r>
        <w:rPr>
          <w:rFonts w:hint="eastAsia" w:ascii="仿宋_GB2312" w:eastAsia="仿宋_GB2312"/>
          <w:color w:val="000000"/>
          <w:sz w:val="28"/>
          <w:szCs w:val="28"/>
        </w:rPr>
        <w:t>1</w:t>
      </w:r>
      <w:r>
        <w:rPr>
          <w:rFonts w:hint="eastAsia" w:ascii="仿宋_GB2312" w:eastAsia="仿宋_GB2312"/>
          <w:color w:val="000000"/>
          <w:sz w:val="28"/>
          <w:szCs w:val="28"/>
          <w:lang w:val="zh-CN"/>
        </w:rPr>
        <w:t>月1日至投标截止日）无行贿犯罪记录(通过中国裁判文书网http://wenshu.court.gov.cn查询，查询结果以网站页面显示内容为准，投标时提供查询结果并加盖报价人公章作为证明材料或在投标函中承诺报价人在规定期限内无行贿犯罪记录)。若在中标候选人公示期间发现中标候选人在投标截止日前存在行贿犯罪记录的，招标人将依法取消其中标候选人资格，并有权没收其投标保证金。</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4</w:t>
      </w:r>
      <w:r>
        <w:rPr>
          <w:rFonts w:ascii="仿宋_GB2312" w:eastAsia="仿宋_GB2312"/>
          <w:color w:val="000000"/>
          <w:sz w:val="28"/>
          <w:szCs w:val="28"/>
          <w:lang w:val="zh-CN"/>
        </w:rPr>
        <w:t>.</w:t>
      </w:r>
      <w:r>
        <w:rPr>
          <w:rFonts w:hint="eastAsia" w:ascii="仿宋_GB2312" w:eastAsia="仿宋_GB2312"/>
          <w:color w:val="000000"/>
          <w:sz w:val="28"/>
          <w:szCs w:val="28"/>
          <w:lang w:val="zh-CN"/>
        </w:rPr>
        <w:t>具有一般纳税人资格，可提供增值税专用发票（需提供下列四项证明材料中任意一项并加盖公章，1、主管税务部门出具的一般纳税人资格认定《税务事项通知书》；2、《增值税一般纳税人登记表》；3、打印报价人电子税务局一般纳税人资格查询网页；4、在投标函中承诺报价人具有一般纳税人资格，可提供增值税专用发票）。若在中标候选人公示期间发现中标候选人不具有一般纳税人资格，招标人将依法取消其中标候选人资格，并有权没收其投标保证金。</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5</w:t>
      </w:r>
      <w:r>
        <w:rPr>
          <w:rFonts w:ascii="仿宋_GB2312" w:eastAsia="仿宋_GB2312"/>
          <w:color w:val="000000"/>
          <w:sz w:val="28"/>
          <w:szCs w:val="28"/>
          <w:lang w:val="zh-CN"/>
        </w:rPr>
        <w:t>.本次招标不接受联合体投标。</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6</w:t>
      </w:r>
      <w:r>
        <w:rPr>
          <w:rFonts w:ascii="仿宋_GB2312" w:eastAsia="仿宋_GB2312"/>
          <w:color w:val="000000"/>
          <w:sz w:val="28"/>
          <w:szCs w:val="28"/>
          <w:lang w:val="zh-CN"/>
        </w:rPr>
        <w:t>.</w:t>
      </w:r>
      <w:r>
        <w:rPr>
          <w:rFonts w:hint="eastAsia" w:ascii="仿宋_GB2312" w:eastAsia="仿宋_GB2312"/>
          <w:color w:val="000000"/>
          <w:sz w:val="28"/>
          <w:szCs w:val="28"/>
          <w:lang w:val="zh-CN"/>
        </w:rPr>
        <w:t>根据《中华人民共和国招标投标法》、《中华人民共和国招标投标法实施条例》等相关法律法规和浙江省机场集团有限公司有关规定，被浙江省机场集团有限公司或下属子公司列入禁止交易名单或不良信用记录名单的单位和个人不得参与本项目的投标。</w:t>
      </w:r>
    </w:p>
    <w:p>
      <w:pPr>
        <w:autoSpaceDE w:val="0"/>
        <w:autoSpaceDN w:val="0"/>
        <w:adjustRightInd w:val="0"/>
        <w:snapToGrid w:val="0"/>
        <w:spacing w:line="5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lang w:val="zh-CN"/>
        </w:rPr>
        <w:t>7.</w:t>
      </w:r>
      <w:r>
        <w:rPr>
          <w:rFonts w:hint="eastAsia" w:ascii="仿宋_GB2312" w:eastAsia="仿宋_GB2312"/>
          <w:b/>
          <w:sz w:val="28"/>
          <w:szCs w:val="28"/>
        </w:rPr>
        <w:t xml:space="preserve"> 具有债务融资工具A类主承销资质的金融机构。</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（二）响应文件要求。</w:t>
      </w:r>
    </w:p>
    <w:p>
      <w:pPr>
        <w:spacing w:line="520" w:lineRule="exact"/>
        <w:ind w:firstLine="646"/>
        <w:rPr>
          <w:rFonts w:ascii="仿宋_GB2312" w:eastAsia="仿宋_GB2312"/>
          <w:sz w:val="28"/>
          <w:szCs w:val="28"/>
        </w:rPr>
      </w:pPr>
      <w:r>
        <w:rPr>
          <w:rFonts w:hint="eastAsia" w:ascii="仿宋_GB2312" w:eastAsia="仿宋_GB2312"/>
          <w:sz w:val="28"/>
          <w:szCs w:val="28"/>
        </w:rPr>
        <w:t>就以下主要事项（包括但不限于）提供相关资料或做出明确响应：</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1．综合实力</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公司介绍以及发行债务融资工具的资质证明材料；</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2．承销业绩与实力</w:t>
      </w:r>
    </w:p>
    <w:p>
      <w:pPr>
        <w:pStyle w:val="33"/>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竞标人近一年主承销的浙江省内企业债务融资工具的发行业绩，及其中主体评级为AAA的发行票面利率低于交易商协会当期同期限估值</w:t>
      </w:r>
      <w:r>
        <w:rPr>
          <w:rFonts w:hint="eastAsia" w:ascii="仿宋_GB2312" w:eastAsia="仿宋_GB2312"/>
          <w:b/>
          <w:color w:val="auto"/>
          <w:sz w:val="28"/>
          <w:szCs w:val="28"/>
        </w:rPr>
        <w:t>（本公告中涉及超短融的发行票面利率比较标准均为交易商协会公布的当期一年期短融估值做对比）</w:t>
      </w:r>
      <w:r>
        <w:rPr>
          <w:rFonts w:hint="eastAsia" w:ascii="仿宋_GB2312" w:eastAsia="仿宋_GB2312"/>
          <w:color w:val="auto"/>
          <w:sz w:val="28"/>
          <w:szCs w:val="28"/>
        </w:rPr>
        <w:t>的发行业绩，项目发行情况Wind截屏证明及交易商协会网站指导价截屏证明（以上数据不包括作为联席主承销发行的数据，统计时间截止到2020年6月30日）；</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3．承销工作安排</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承销项目周期安排、承销团队及人员配置；</w:t>
      </w:r>
    </w:p>
    <w:p>
      <w:pPr>
        <w:pStyle w:val="33"/>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4．承销费报价</w:t>
      </w:r>
    </w:p>
    <w:p>
      <w:pPr>
        <w:pStyle w:val="33"/>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本次承销费报价包含与承销商相关的所有费用，</w:t>
      </w:r>
      <w:r>
        <w:rPr>
          <w:rFonts w:hint="eastAsia" w:ascii="仿宋_GB2312" w:eastAsia="仿宋_GB2312"/>
          <w:sz w:val="28"/>
          <w:szCs w:val="28"/>
        </w:rPr>
        <w:t>所有投标价格均为人民币最终报价</w:t>
      </w:r>
      <w:r>
        <w:rPr>
          <w:rFonts w:hint="eastAsia" w:ascii="仿宋_GB2312" w:eastAsia="仿宋_GB2312"/>
          <w:color w:val="auto"/>
          <w:sz w:val="28"/>
          <w:szCs w:val="28"/>
        </w:rPr>
        <w:t>；</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5．预期票面利率</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预期票面利率低于交易商协会当期同期限估值多少BPs, 并提供预期依据，及未能达到预期目标的弥补措施。</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6．增值服务</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sz w:val="28"/>
          <w:szCs w:val="28"/>
        </w:rPr>
        <w:t>发挥金融机构集团化优势，为企业推介多种融资渠道、融资方案等一系列配套服务；</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（三）响应性文件递交。</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响应性文件需提供正本一份、副本二份，且须单位法定代表人或其委托人签署。</w:t>
      </w:r>
    </w:p>
    <w:p>
      <w:pPr>
        <w:autoSpaceDE w:val="0"/>
        <w:autoSpaceDN w:val="0"/>
        <w:adjustRightInd w:val="0"/>
        <w:snapToGrid w:val="0"/>
        <w:spacing w:line="560" w:lineRule="exact"/>
        <w:rPr>
          <w:rFonts w:ascii="仿宋_GB2312" w:eastAsia="仿宋_GB2312"/>
          <w:color w:val="000000"/>
          <w:sz w:val="28"/>
          <w:szCs w:val="28"/>
          <w:lang w:val="zh-CN"/>
        </w:rPr>
      </w:pPr>
      <w:r>
        <w:rPr>
          <w:rFonts w:hint="eastAsia" w:ascii="仿宋_GB2312" w:eastAsia="仿宋_GB2312"/>
          <w:color w:val="000000"/>
          <w:sz w:val="28"/>
          <w:szCs w:val="28"/>
          <w:lang w:val="zh-CN"/>
        </w:rPr>
        <w:t xml:space="preserve">    （四）不论结果如何，报价人均需自行承担所有与编写和递交谈判响应文件及所有参与过程中的全部费用。</w:t>
      </w:r>
    </w:p>
    <w:p>
      <w:pPr>
        <w:numPr>
          <w:ilvl w:val="0"/>
          <w:numId w:val="2"/>
        </w:numPr>
        <w:autoSpaceDE w:val="0"/>
        <w:autoSpaceDN w:val="0"/>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响应性文件及报价的有效期：谈判之日起120天。</w:t>
      </w:r>
    </w:p>
    <w:p>
      <w:pPr>
        <w:autoSpaceDE w:val="0"/>
        <w:autoSpaceDN w:val="0"/>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eastAsia="zh-CN"/>
        </w:rPr>
        <w:t>六</w:t>
      </w:r>
      <w:r>
        <w:rPr>
          <w:rFonts w:hint="eastAsia" w:ascii="仿宋_GB2312" w:hAnsi="宋体" w:eastAsia="仿宋_GB2312"/>
          <w:color w:val="000000"/>
          <w:sz w:val="28"/>
          <w:szCs w:val="28"/>
        </w:rPr>
        <w:t>）报价文件当面递交或以特快专递方式提交密封投标，逾期送达的或者未送达指定地点的投标文件，招标人不予受理。</w:t>
      </w:r>
    </w:p>
    <w:p>
      <w:pPr>
        <w:autoSpaceDE w:val="0"/>
        <w:autoSpaceDN w:val="0"/>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投递地址：杭州萧山国际机场有限公司机场翔越路综合服务楼园区招标中心</w:t>
      </w:r>
    </w:p>
    <w:p>
      <w:pPr>
        <w:autoSpaceDE w:val="0"/>
        <w:autoSpaceDN w:val="0"/>
        <w:adjustRightInd w:val="0"/>
        <w:snapToGrid w:val="0"/>
        <w:spacing w:line="560" w:lineRule="exact"/>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（七）为便于公司安排谈判时间，请于2020年7月17日16:00前将谈判意向以电子邮件的方式发送至公司联系人。</w:t>
      </w:r>
    </w:p>
    <w:p>
      <w:pPr>
        <w:autoSpaceDE w:val="0"/>
        <w:autoSpaceDN w:val="0"/>
        <w:adjustRightInd w:val="0"/>
        <w:snapToGrid w:val="0"/>
        <w:spacing w:line="560" w:lineRule="exact"/>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投标联系电话：83837612      </w:t>
      </w:r>
      <w:r>
        <w:rPr>
          <w:rFonts w:hint="eastAsia" w:ascii="仿宋_GB2312" w:hAnsi="宋体" w:eastAsia="仿宋_GB2312"/>
          <w:color w:val="000000"/>
          <w:sz w:val="28"/>
          <w:szCs w:val="28"/>
          <w:lang w:val="en-US" w:eastAsia="zh-CN"/>
        </w:rPr>
        <w:t>·</w:t>
      </w:r>
      <w:bookmarkStart w:id="123" w:name="_GoBack"/>
      <w:bookmarkEnd w:id="123"/>
      <w:r>
        <w:rPr>
          <w:rFonts w:hint="eastAsia" w:ascii="仿宋_GB2312" w:hAnsi="宋体" w:eastAsia="仿宋_GB2312"/>
          <w:color w:val="000000"/>
          <w:sz w:val="28"/>
          <w:szCs w:val="28"/>
          <w:lang w:eastAsia="zh-CN"/>
        </w:rPr>
        <w:t>     邮编：311207</w:t>
      </w:r>
    </w:p>
    <w:p>
      <w:pPr>
        <w:autoSpaceDE w:val="0"/>
        <w:autoSpaceDN w:val="0"/>
        <w:adjustRightInd w:val="0"/>
        <w:snapToGrid w:val="0"/>
        <w:spacing w:line="560" w:lineRule="exact"/>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电子邮箱：zbzx@hzairport.com</w:t>
      </w:r>
    </w:p>
    <w:p>
      <w:pPr>
        <w:widowControl/>
        <w:spacing w:line="560" w:lineRule="exact"/>
        <w:jc w:val="left"/>
        <w:rPr>
          <w:rFonts w:ascii="黑体" w:hAnsi="黑体" w:eastAsia="黑体"/>
          <w:b/>
          <w:sz w:val="28"/>
          <w:szCs w:val="28"/>
          <w:lang w:val="zh-CN"/>
        </w:rPr>
      </w:pPr>
      <w:r>
        <w:rPr>
          <w:rFonts w:hint="eastAsia" w:ascii="黑体" w:hAnsi="黑体" w:eastAsia="黑体"/>
          <w:bCs/>
          <w:sz w:val="28"/>
          <w:szCs w:val="28"/>
          <w:lang w:val="zh-CN"/>
        </w:rPr>
        <w:t>三</w:t>
      </w:r>
      <w:r>
        <w:rPr>
          <w:rFonts w:hint="eastAsia" w:ascii="黑体" w:hAnsi="黑体" w:eastAsia="黑体"/>
          <w:sz w:val="28"/>
          <w:szCs w:val="28"/>
          <w:lang w:val="zh-CN"/>
        </w:rPr>
        <w:t>、谈判程序和评审方法</w:t>
      </w:r>
    </w:p>
    <w:p>
      <w:pPr>
        <w:tabs>
          <w:tab w:val="left" w:pos="720"/>
        </w:tabs>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（一）谈判小组</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谈判小组由招标人</w:t>
      </w:r>
      <w:r>
        <w:rPr>
          <w:rFonts w:ascii="仿宋_GB2312" w:eastAsia="仿宋_GB2312"/>
          <w:sz w:val="28"/>
          <w:szCs w:val="28"/>
          <w:lang w:val="zh-CN"/>
        </w:rPr>
        <w:t>自行组建</w:t>
      </w:r>
      <w:r>
        <w:rPr>
          <w:rFonts w:hint="eastAsia" w:ascii="仿宋_GB2312" w:eastAsia="仿宋_GB2312"/>
          <w:sz w:val="28"/>
          <w:szCs w:val="28"/>
          <w:lang w:val="zh-CN"/>
        </w:rPr>
        <w:t>。</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（二）谈判报价人</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参加谈判的报价人代表应是单位法定代表人或其授权委托人，并携带本人身份证件和企业营业复印件，授权委托人还应携带授权委托书。</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（三）谈判程序</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 xml:space="preserve">1.谈判小组所有成员集中与报价人进行谈判； </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2.参加谈判的报价人须按报价人规定的时间内进行报价，参加谈判的报价人应当对谈判的承诺和最后报价以书面形式确认，并由法定代表人或其授权人签署。谈判小组根据参与谈判竞投人的响应性文件及谈判结果进行综合评审，以书面报告形式提交评审意见；</w:t>
      </w:r>
    </w:p>
    <w:p>
      <w:pPr>
        <w:autoSpaceDE w:val="0"/>
        <w:autoSpaceDN w:val="0"/>
        <w:adjustRightInd w:val="0"/>
        <w:snapToGrid w:val="0"/>
        <w:spacing w:line="560" w:lineRule="exact"/>
        <w:ind w:firstLine="560" w:firstLineChars="200"/>
        <w:rPr>
          <w:rFonts w:ascii="仿宋_GB2312" w:eastAsia="仿宋_GB2312"/>
          <w:sz w:val="28"/>
          <w:szCs w:val="28"/>
          <w:lang w:val="zh-CN"/>
        </w:rPr>
      </w:pPr>
      <w:r>
        <w:rPr>
          <w:rFonts w:hint="eastAsia" w:ascii="仿宋_GB2312" w:eastAsia="仿宋_GB2312"/>
          <w:sz w:val="28"/>
          <w:szCs w:val="28"/>
          <w:lang w:val="zh-CN"/>
        </w:rPr>
        <w:t>3.本次谈判地点为集团公司招标中心，具体安排另行通知。</w:t>
      </w:r>
    </w:p>
    <w:p>
      <w:pPr>
        <w:autoSpaceDE w:val="0"/>
        <w:autoSpaceDN w:val="0"/>
        <w:adjustRightInd w:val="0"/>
        <w:snapToGrid w:val="0"/>
        <w:spacing w:line="560" w:lineRule="exact"/>
        <w:ind w:firstLine="420" w:firstLineChars="150"/>
        <w:rPr>
          <w:rFonts w:ascii="仿宋_GB2312" w:eastAsia="仿宋_GB2312"/>
          <w:sz w:val="28"/>
          <w:szCs w:val="28"/>
          <w:lang w:val="zh-CN"/>
        </w:rPr>
      </w:pPr>
      <w:r>
        <w:rPr>
          <w:rFonts w:hint="eastAsia" w:ascii="仿宋_GB2312" w:eastAsia="仿宋_GB2312"/>
          <w:sz w:val="28"/>
          <w:szCs w:val="28"/>
          <w:lang w:val="zh-CN"/>
        </w:rPr>
        <w:t>（四）评审方法</w:t>
      </w:r>
    </w:p>
    <w:p>
      <w:pPr>
        <w:spacing w:line="520" w:lineRule="exact"/>
        <w:ind w:firstLine="560" w:firstLineChars="200"/>
        <w:rPr>
          <w:rFonts w:ascii="仿宋_GB2312" w:eastAsia="仿宋_GB2312"/>
          <w:sz w:val="28"/>
          <w:szCs w:val="28"/>
          <w:lang w:val="zh-CN"/>
        </w:rPr>
      </w:pPr>
      <w:r>
        <w:rPr>
          <w:rFonts w:hint="eastAsia" w:ascii="仿宋_GB2312" w:eastAsia="仿宋_GB2312"/>
          <w:sz w:val="28"/>
          <w:szCs w:val="28"/>
        </w:rPr>
        <w:t>本次竞争性谈判项目采用综合评估法，包括竞标人综合实力、承销实力、承销费报价、承销工作安排、预期票面利率（包括但不限于承销定价能力、补贴机制、余额包销能力及债券过桥、滚动发行等服务）、与本公司历史合作以及其他综合配套服务。竞标人竞标材料中除对以上内容进行明确响应外，还应提供必要的证明材料</w:t>
      </w:r>
      <w:r>
        <w:rPr>
          <w:rFonts w:hint="eastAsia" w:ascii="仿宋_GB2312" w:eastAsia="仿宋_GB2312"/>
          <w:sz w:val="28"/>
          <w:szCs w:val="28"/>
          <w:lang w:val="zh-CN"/>
        </w:rPr>
        <w:t>。</w:t>
      </w:r>
    </w:p>
    <w:p>
      <w:pPr>
        <w:spacing w:line="520" w:lineRule="exact"/>
        <w:ind w:firstLine="560" w:firstLineChars="200"/>
        <w:rPr>
          <w:rFonts w:ascii="仿宋_GB2312" w:hAnsi="宋体" w:eastAsia="仿宋_GB2312" w:cs="宋体"/>
          <w:bCs/>
          <w:color w:val="000000"/>
          <w:sz w:val="28"/>
          <w:szCs w:val="28"/>
        </w:rPr>
      </w:pPr>
      <w:r>
        <w:rPr>
          <w:rFonts w:hint="eastAsia" w:ascii="仿宋_GB2312" w:eastAsia="仿宋_GB2312"/>
          <w:sz w:val="28"/>
          <w:szCs w:val="28"/>
          <w:lang w:val="zh-CN"/>
        </w:rPr>
        <w:t>具体如下：</w:t>
      </w:r>
      <w:r>
        <w:rPr>
          <w:rFonts w:hint="eastAsia" w:ascii="仿宋_GB2312" w:hAnsi="宋体" w:eastAsia="仿宋_GB2312" w:cs="宋体"/>
          <w:bCs/>
          <w:color w:val="000000"/>
          <w:sz w:val="28"/>
          <w:szCs w:val="28"/>
        </w:rPr>
        <w:t>评估总分为100分，其中商务报价占权重50%（承销费占20%，预期发行票面利率占30%）、技术报价占50%，分值保留到小数点后两位，第三位小数四舍五入。</w:t>
      </w:r>
    </w:p>
    <w:p>
      <w:pPr>
        <w:spacing w:line="520" w:lineRule="exact"/>
        <w:ind w:firstLine="482" w:firstLineChars="200"/>
        <w:rPr>
          <w:rFonts w:ascii="Calibri" w:hAnsi="宋体" w:eastAsia="宋体" w:cs="Times New Roman"/>
          <w:b/>
          <w:kern w:val="58"/>
          <w:sz w:val="24"/>
        </w:rPr>
      </w:pPr>
      <w:r>
        <w:rPr>
          <w:rFonts w:hint="eastAsia" w:hAnsi="宋体"/>
          <w:b/>
          <w:kern w:val="58"/>
          <w:sz w:val="24"/>
        </w:rPr>
        <w:t>评分标准</w:t>
      </w:r>
    </w:p>
    <w:tbl>
      <w:tblPr>
        <w:tblStyle w:val="19"/>
        <w:tblW w:w="8280" w:type="dxa"/>
        <w:jc w:val="center"/>
        <w:tblInd w:w="0" w:type="dxa"/>
        <w:tblLayout w:type="fixed"/>
        <w:tblCellMar>
          <w:top w:w="0" w:type="dxa"/>
          <w:left w:w="108" w:type="dxa"/>
          <w:bottom w:w="0" w:type="dxa"/>
          <w:right w:w="108" w:type="dxa"/>
        </w:tblCellMar>
      </w:tblPr>
      <w:tblGrid>
        <w:gridCol w:w="680"/>
        <w:gridCol w:w="1182"/>
        <w:gridCol w:w="1417"/>
        <w:gridCol w:w="5001"/>
      </w:tblGrid>
      <w:tr>
        <w:tblPrEx>
          <w:tblLayout w:type="fixed"/>
          <w:tblCellMar>
            <w:top w:w="0" w:type="dxa"/>
            <w:left w:w="108" w:type="dxa"/>
            <w:bottom w:w="0" w:type="dxa"/>
            <w:right w:w="108" w:type="dxa"/>
          </w:tblCellMar>
        </w:tblPrEx>
        <w:trPr>
          <w:trHeight w:val="402"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序号</w:t>
            </w:r>
          </w:p>
        </w:tc>
        <w:tc>
          <w:tcPr>
            <w:tcW w:w="2599" w:type="dxa"/>
            <w:gridSpan w:val="2"/>
            <w:tcBorders>
              <w:top w:val="single" w:color="auto" w:sz="4" w:space="0"/>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评分内容</w:t>
            </w:r>
          </w:p>
        </w:tc>
        <w:tc>
          <w:tcPr>
            <w:tcW w:w="5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评分标准</w:t>
            </w:r>
          </w:p>
        </w:tc>
      </w:tr>
      <w:tr>
        <w:tblPrEx>
          <w:tblLayout w:type="fixed"/>
          <w:tblCellMar>
            <w:top w:w="0" w:type="dxa"/>
            <w:left w:w="108" w:type="dxa"/>
            <w:bottom w:w="0" w:type="dxa"/>
            <w:right w:w="108" w:type="dxa"/>
          </w:tblCellMar>
        </w:tblPrEx>
        <w:trPr>
          <w:trHeight w:val="402"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182" w:type="dxa"/>
            <w:tcBorders>
              <w:top w:val="nil"/>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一级指标</w:t>
            </w:r>
          </w:p>
        </w:tc>
        <w:tc>
          <w:tcPr>
            <w:tcW w:w="1417" w:type="dxa"/>
            <w:tcBorders>
              <w:top w:val="nil"/>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二级指标</w:t>
            </w:r>
          </w:p>
        </w:tc>
        <w:tc>
          <w:tcPr>
            <w:tcW w:w="5001"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r>
      <w:tr>
        <w:tblPrEx>
          <w:tblLayout w:type="fixed"/>
          <w:tblCellMar>
            <w:top w:w="0" w:type="dxa"/>
            <w:left w:w="108" w:type="dxa"/>
            <w:bottom w:w="0" w:type="dxa"/>
            <w:right w:w="108" w:type="dxa"/>
          </w:tblCellMar>
        </w:tblPrEx>
        <w:trPr>
          <w:trHeight w:val="1308"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1</w:t>
            </w:r>
          </w:p>
        </w:tc>
        <w:tc>
          <w:tcPr>
            <w:tcW w:w="1182" w:type="dxa"/>
            <w:tcBorders>
              <w:top w:val="single" w:color="auto" w:sz="4" w:space="0"/>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综合实力（15分）</w:t>
            </w:r>
          </w:p>
        </w:tc>
        <w:tc>
          <w:tcPr>
            <w:tcW w:w="1417" w:type="dxa"/>
            <w:tcBorders>
              <w:top w:val="nil"/>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公司介绍</w:t>
            </w:r>
          </w:p>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（15分）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竞标人的基本情况、股东背景、分支机构设立情况，近年（合同</w:t>
            </w:r>
            <w:r>
              <w:rPr>
                <w:rFonts w:ascii="微软雅黑" w:hAnsi="微软雅黑" w:eastAsia="微软雅黑" w:cs="宋体"/>
                <w:color w:val="000000"/>
                <w:sz w:val="22"/>
              </w:rPr>
              <w:t>签订时间或</w:t>
            </w:r>
            <w:r>
              <w:rPr>
                <w:rFonts w:hint="eastAsia" w:ascii="微软雅黑" w:hAnsi="微软雅黑" w:eastAsia="微软雅黑" w:cs="宋体"/>
                <w:color w:val="000000"/>
                <w:sz w:val="22"/>
              </w:rPr>
              <w:t>部分</w:t>
            </w:r>
            <w:r>
              <w:rPr>
                <w:rFonts w:ascii="微软雅黑" w:hAnsi="微软雅黑" w:eastAsia="微软雅黑" w:cs="宋体"/>
                <w:color w:val="000000"/>
                <w:sz w:val="22"/>
              </w:rPr>
              <w:t>服务期</w:t>
            </w:r>
            <w:r>
              <w:rPr>
                <w:rFonts w:hint="eastAsia" w:ascii="微软雅黑" w:hAnsi="微软雅黑" w:eastAsia="微软雅黑" w:cs="宋体"/>
                <w:color w:val="000000"/>
                <w:sz w:val="22"/>
              </w:rPr>
              <w:t>在2017年1月</w:t>
            </w:r>
            <w:r>
              <w:rPr>
                <w:rFonts w:ascii="微软雅黑" w:hAnsi="微软雅黑" w:eastAsia="微软雅黑" w:cs="宋体"/>
                <w:color w:val="000000"/>
                <w:sz w:val="22"/>
              </w:rPr>
              <w:t>1</w:t>
            </w:r>
            <w:r>
              <w:rPr>
                <w:rFonts w:hint="eastAsia" w:ascii="微软雅黑" w:hAnsi="微软雅黑" w:eastAsia="微软雅黑" w:cs="宋体"/>
                <w:color w:val="000000"/>
                <w:sz w:val="22"/>
              </w:rPr>
              <w:t>日至</w:t>
            </w:r>
            <w:r>
              <w:rPr>
                <w:rFonts w:ascii="微软雅黑" w:hAnsi="微软雅黑" w:eastAsia="微软雅黑" w:cs="宋体"/>
                <w:color w:val="000000"/>
                <w:sz w:val="22"/>
              </w:rPr>
              <w:t>投标截止日</w:t>
            </w:r>
            <w:r>
              <w:rPr>
                <w:rFonts w:hint="eastAsia" w:ascii="微软雅黑" w:hAnsi="微软雅黑" w:eastAsia="微软雅黑" w:cs="宋体"/>
                <w:color w:val="000000"/>
                <w:sz w:val="22"/>
              </w:rPr>
              <w:t>）获得的成绩、荣誉和历史合作等，由谈判小组视竞标人公司实力及提供相应资格证明材料进行酌情评分。</w:t>
            </w:r>
          </w:p>
        </w:tc>
      </w:tr>
      <w:tr>
        <w:tblPrEx>
          <w:tblLayout w:type="fixed"/>
          <w:tblCellMar>
            <w:top w:w="0" w:type="dxa"/>
            <w:left w:w="108" w:type="dxa"/>
            <w:bottom w:w="0" w:type="dxa"/>
            <w:right w:w="108" w:type="dxa"/>
          </w:tblCellMar>
        </w:tblPrEx>
        <w:trPr>
          <w:trHeight w:val="1257"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2</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承销业绩与实力（20分）</w:t>
            </w:r>
          </w:p>
        </w:tc>
        <w:tc>
          <w:tcPr>
            <w:tcW w:w="1417" w:type="dxa"/>
            <w:tcBorders>
              <w:top w:val="nil"/>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承销业绩</w:t>
            </w:r>
          </w:p>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（6分）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Arial"/>
                <w:snapToGrid w:val="0"/>
                <w:sz w:val="22"/>
              </w:rPr>
              <w:t>竞标人近一年（</w:t>
            </w:r>
            <w:r>
              <w:rPr>
                <w:rFonts w:hint="eastAsia" w:ascii="微软雅黑" w:hAnsi="微软雅黑" w:eastAsia="微软雅黑" w:cs="宋体"/>
                <w:color w:val="000000"/>
                <w:sz w:val="22"/>
              </w:rPr>
              <w:t>合同</w:t>
            </w:r>
            <w:r>
              <w:rPr>
                <w:rFonts w:ascii="微软雅黑" w:hAnsi="微软雅黑" w:eastAsia="微软雅黑" w:cs="宋体"/>
                <w:color w:val="000000"/>
                <w:sz w:val="22"/>
              </w:rPr>
              <w:t>签订时间或</w:t>
            </w:r>
            <w:r>
              <w:rPr>
                <w:rFonts w:hint="eastAsia" w:ascii="微软雅黑" w:hAnsi="微软雅黑" w:eastAsia="微软雅黑" w:cs="宋体"/>
                <w:color w:val="000000"/>
                <w:sz w:val="22"/>
              </w:rPr>
              <w:t>部分</w:t>
            </w:r>
            <w:r>
              <w:rPr>
                <w:rFonts w:ascii="微软雅黑" w:hAnsi="微软雅黑" w:eastAsia="微软雅黑" w:cs="宋体"/>
                <w:color w:val="000000"/>
                <w:sz w:val="22"/>
              </w:rPr>
              <w:t>服务期</w:t>
            </w:r>
            <w:r>
              <w:rPr>
                <w:rFonts w:hint="eastAsia" w:ascii="微软雅黑" w:hAnsi="微软雅黑" w:eastAsia="微软雅黑" w:cs="宋体"/>
                <w:color w:val="000000"/>
                <w:sz w:val="22"/>
              </w:rPr>
              <w:t>在201</w:t>
            </w:r>
            <w:r>
              <w:rPr>
                <w:rFonts w:ascii="微软雅黑" w:hAnsi="微软雅黑" w:eastAsia="微软雅黑" w:cs="宋体"/>
                <w:color w:val="000000"/>
                <w:sz w:val="22"/>
              </w:rPr>
              <w:t>9</w:t>
            </w:r>
            <w:r>
              <w:rPr>
                <w:rFonts w:hint="eastAsia" w:ascii="微软雅黑" w:hAnsi="微软雅黑" w:eastAsia="微软雅黑" w:cs="宋体"/>
                <w:color w:val="000000"/>
                <w:sz w:val="22"/>
              </w:rPr>
              <w:t>年1月</w:t>
            </w:r>
            <w:r>
              <w:rPr>
                <w:rFonts w:ascii="微软雅黑" w:hAnsi="微软雅黑" w:eastAsia="微软雅黑" w:cs="宋体"/>
                <w:color w:val="000000"/>
                <w:sz w:val="22"/>
              </w:rPr>
              <w:t>1</w:t>
            </w:r>
            <w:r>
              <w:rPr>
                <w:rFonts w:hint="eastAsia" w:ascii="微软雅黑" w:hAnsi="微软雅黑" w:eastAsia="微软雅黑" w:cs="宋体"/>
                <w:color w:val="000000"/>
                <w:sz w:val="22"/>
              </w:rPr>
              <w:t>日至</w:t>
            </w:r>
            <w:r>
              <w:rPr>
                <w:rFonts w:ascii="微软雅黑" w:hAnsi="微软雅黑" w:eastAsia="微软雅黑" w:cs="宋体"/>
                <w:color w:val="000000"/>
                <w:sz w:val="22"/>
              </w:rPr>
              <w:t>投标截止日</w:t>
            </w:r>
            <w:r>
              <w:rPr>
                <w:rFonts w:hint="eastAsia" w:ascii="微软雅黑" w:hAnsi="微软雅黑" w:eastAsia="微软雅黑" w:cs="Arial"/>
                <w:snapToGrid w:val="0"/>
                <w:sz w:val="22"/>
              </w:rPr>
              <w:t>）主承销并成功发行的浙江省内企业债务融资工具的业绩按规模及笔数分别排名酌情评分，以WIND资讯公布数据为准。</w:t>
            </w:r>
          </w:p>
        </w:tc>
      </w:tr>
      <w:tr>
        <w:tblPrEx>
          <w:tblLayout w:type="fixed"/>
          <w:tblCellMar>
            <w:top w:w="0" w:type="dxa"/>
            <w:left w:w="108" w:type="dxa"/>
            <w:bottom w:w="0" w:type="dxa"/>
            <w:right w:w="108" w:type="dxa"/>
          </w:tblCellMar>
        </w:tblPrEx>
        <w:trPr>
          <w:trHeight w:val="1556"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417" w:type="dxa"/>
            <w:tcBorders>
              <w:top w:val="nil"/>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承销实力</w:t>
            </w:r>
          </w:p>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（14分）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Arial"/>
                <w:snapToGrid w:val="0"/>
                <w:sz w:val="22"/>
              </w:rPr>
              <w:t>竞标人在近一年（</w:t>
            </w:r>
            <w:r>
              <w:rPr>
                <w:rFonts w:hint="eastAsia" w:ascii="微软雅黑" w:hAnsi="微软雅黑" w:eastAsia="微软雅黑" w:cs="宋体"/>
                <w:color w:val="000000"/>
                <w:sz w:val="22"/>
              </w:rPr>
              <w:t>合同</w:t>
            </w:r>
            <w:r>
              <w:rPr>
                <w:rFonts w:ascii="微软雅黑" w:hAnsi="微软雅黑" w:eastAsia="微软雅黑" w:cs="宋体"/>
                <w:color w:val="000000"/>
                <w:sz w:val="22"/>
              </w:rPr>
              <w:t>签订时间或</w:t>
            </w:r>
            <w:r>
              <w:rPr>
                <w:rFonts w:hint="eastAsia" w:ascii="微软雅黑" w:hAnsi="微软雅黑" w:eastAsia="微软雅黑" w:cs="宋体"/>
                <w:color w:val="000000"/>
                <w:sz w:val="22"/>
              </w:rPr>
              <w:t>部分</w:t>
            </w:r>
            <w:r>
              <w:rPr>
                <w:rFonts w:ascii="微软雅黑" w:hAnsi="微软雅黑" w:eastAsia="微软雅黑" w:cs="宋体"/>
                <w:color w:val="000000"/>
                <w:sz w:val="22"/>
              </w:rPr>
              <w:t>服务期</w:t>
            </w:r>
            <w:r>
              <w:rPr>
                <w:rFonts w:hint="eastAsia" w:ascii="微软雅黑" w:hAnsi="微软雅黑" w:eastAsia="微软雅黑" w:cs="宋体"/>
                <w:color w:val="000000"/>
                <w:sz w:val="22"/>
              </w:rPr>
              <w:t>在201</w:t>
            </w:r>
            <w:r>
              <w:rPr>
                <w:rFonts w:ascii="微软雅黑" w:hAnsi="微软雅黑" w:eastAsia="微软雅黑" w:cs="宋体"/>
                <w:color w:val="000000"/>
                <w:sz w:val="22"/>
              </w:rPr>
              <w:t>9</w:t>
            </w:r>
            <w:r>
              <w:rPr>
                <w:rFonts w:hint="eastAsia" w:ascii="微软雅黑" w:hAnsi="微软雅黑" w:eastAsia="微软雅黑" w:cs="宋体"/>
                <w:color w:val="000000"/>
                <w:sz w:val="22"/>
              </w:rPr>
              <w:t>年1月</w:t>
            </w:r>
            <w:r>
              <w:rPr>
                <w:rFonts w:ascii="微软雅黑" w:hAnsi="微软雅黑" w:eastAsia="微软雅黑" w:cs="宋体"/>
                <w:color w:val="000000"/>
                <w:sz w:val="22"/>
              </w:rPr>
              <w:t>1</w:t>
            </w:r>
            <w:r>
              <w:rPr>
                <w:rFonts w:hint="eastAsia" w:ascii="微软雅黑" w:hAnsi="微软雅黑" w:eastAsia="微软雅黑" w:cs="宋体"/>
                <w:color w:val="000000"/>
                <w:sz w:val="22"/>
              </w:rPr>
              <w:t>日至</w:t>
            </w:r>
            <w:r>
              <w:rPr>
                <w:rFonts w:ascii="微软雅黑" w:hAnsi="微软雅黑" w:eastAsia="微软雅黑" w:cs="宋体"/>
                <w:color w:val="000000"/>
                <w:sz w:val="22"/>
              </w:rPr>
              <w:t>投标截止日</w:t>
            </w:r>
            <w:r>
              <w:rPr>
                <w:rFonts w:hint="eastAsia" w:ascii="微软雅黑" w:hAnsi="微软雅黑" w:eastAsia="微软雅黑" w:cs="Arial"/>
                <w:snapToGrid w:val="0"/>
                <w:sz w:val="22"/>
              </w:rPr>
              <w:t>）主承销的主体评级为AAA的浙江省内企业债务融资工具发行价格低于交易商协会当期同期限估值的发行业绩按规模及笔数分别排名酌情评分，以WIND资讯公布数据为准。</w:t>
            </w:r>
          </w:p>
        </w:tc>
      </w:tr>
      <w:tr>
        <w:tblPrEx>
          <w:tblLayout w:type="fixed"/>
          <w:tblCellMar>
            <w:top w:w="0" w:type="dxa"/>
            <w:left w:w="108" w:type="dxa"/>
            <w:bottom w:w="0" w:type="dxa"/>
            <w:right w:w="108" w:type="dxa"/>
          </w:tblCellMar>
        </w:tblPrEx>
        <w:trPr>
          <w:trHeight w:val="1798" w:hRule="atLeast"/>
          <w:jc w:val="center"/>
        </w:trPr>
        <w:tc>
          <w:tcPr>
            <w:tcW w:w="680" w:type="dxa"/>
            <w:tcBorders>
              <w:top w:val="single" w:color="auto" w:sz="4" w:space="0"/>
              <w:left w:val="single" w:color="auto" w:sz="4" w:space="0"/>
              <w:bottom w:val="nil"/>
              <w:right w:val="single" w:color="auto" w:sz="4" w:space="0"/>
            </w:tcBorders>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3</w:t>
            </w:r>
          </w:p>
        </w:tc>
        <w:tc>
          <w:tcPr>
            <w:tcW w:w="1182" w:type="dxa"/>
            <w:vMerge w:val="restart"/>
            <w:tcBorders>
              <w:top w:val="single" w:color="auto" w:sz="4" w:space="0"/>
              <w:left w:val="single" w:color="auto" w:sz="4" w:space="0"/>
              <w:bottom w:val="single" w:color="000000" w:sz="4" w:space="0"/>
              <w:right w:val="single" w:color="auto" w:sz="4" w:space="0"/>
            </w:tcBorders>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承销工作安排（10分）</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工作安排（5分）</w:t>
            </w:r>
          </w:p>
        </w:tc>
        <w:tc>
          <w:tcPr>
            <w:tcW w:w="5001" w:type="dxa"/>
            <w:tcBorders>
              <w:top w:val="single" w:color="auto" w:sz="4" w:space="0"/>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Arial"/>
                <w:snapToGrid w:val="0"/>
                <w:sz w:val="22"/>
              </w:rPr>
            </w:pPr>
            <w:r>
              <w:rPr>
                <w:rFonts w:hint="eastAsia" w:ascii="微软雅黑" w:hAnsi="微软雅黑" w:eastAsia="微软雅黑" w:cs="Arial"/>
                <w:snapToGrid w:val="0"/>
                <w:sz w:val="22"/>
              </w:rPr>
              <w:t>评委视竞标人对发行人的研究、分析的透彻性、准确性以及对本次发行方案设计的科学性、合理性、完整性酌情评分。</w:t>
            </w:r>
          </w:p>
        </w:tc>
      </w:tr>
      <w:tr>
        <w:tblPrEx>
          <w:tblLayout w:type="fixed"/>
          <w:tblCellMar>
            <w:top w:w="0" w:type="dxa"/>
            <w:left w:w="108" w:type="dxa"/>
            <w:bottom w:w="0" w:type="dxa"/>
            <w:right w:w="108" w:type="dxa"/>
          </w:tblCellMar>
        </w:tblPrEx>
        <w:trPr>
          <w:trHeight w:val="1408" w:hRule="atLeast"/>
          <w:jc w:val="center"/>
        </w:trPr>
        <w:tc>
          <w:tcPr>
            <w:tcW w:w="680" w:type="dxa"/>
            <w:tcBorders>
              <w:top w:val="single" w:color="auto" w:sz="4" w:space="0"/>
              <w:left w:val="single" w:color="auto" w:sz="4" w:space="0"/>
              <w:bottom w:val="single" w:color="000000" w:sz="4" w:space="0"/>
              <w:right w:val="single" w:color="auto" w:sz="4" w:space="0"/>
            </w:tcBorders>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4</w:t>
            </w:r>
          </w:p>
        </w:tc>
        <w:tc>
          <w:tcPr>
            <w:tcW w:w="1182" w:type="dxa"/>
            <w:vMerge w:val="continue"/>
            <w:tcBorders>
              <w:top w:val="single" w:color="auto" w:sz="4" w:space="0"/>
              <w:left w:val="single" w:color="auto" w:sz="4" w:space="0"/>
              <w:bottom w:val="single" w:color="000000"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承销团队（5分）</w:t>
            </w:r>
          </w:p>
        </w:tc>
        <w:tc>
          <w:tcPr>
            <w:tcW w:w="5001" w:type="dxa"/>
            <w:tcBorders>
              <w:top w:val="single" w:color="auto" w:sz="4" w:space="0"/>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Arial"/>
                <w:snapToGrid w:val="0"/>
                <w:sz w:val="22"/>
              </w:rPr>
            </w:pPr>
            <w:r>
              <w:rPr>
                <w:rFonts w:hint="eastAsia" w:ascii="微软雅黑" w:hAnsi="微软雅黑" w:eastAsia="微软雅黑" w:cs="Arial"/>
                <w:snapToGrid w:val="0"/>
                <w:sz w:val="22"/>
              </w:rPr>
              <w:t>评委视竞标人对本次发行工作的重视程度、准备工作的充分程度，及团队配置情况酌情评分。</w:t>
            </w:r>
          </w:p>
        </w:tc>
      </w:tr>
      <w:tr>
        <w:tblPrEx>
          <w:tblLayout w:type="fixed"/>
          <w:tblCellMar>
            <w:top w:w="0" w:type="dxa"/>
            <w:left w:w="108" w:type="dxa"/>
            <w:bottom w:w="0" w:type="dxa"/>
            <w:right w:w="108" w:type="dxa"/>
          </w:tblCellMar>
        </w:tblPrEx>
        <w:trPr>
          <w:trHeight w:val="1408" w:hRule="atLeast"/>
          <w:jc w:val="center"/>
        </w:trPr>
        <w:tc>
          <w:tcPr>
            <w:tcW w:w="680" w:type="dxa"/>
            <w:tcBorders>
              <w:top w:val="single" w:color="auto" w:sz="4" w:space="0"/>
              <w:left w:val="single" w:color="auto" w:sz="4" w:space="0"/>
              <w:bottom w:val="single" w:color="000000" w:sz="4" w:space="0"/>
              <w:right w:val="single" w:color="auto" w:sz="4" w:space="0"/>
            </w:tcBorders>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5</w:t>
            </w:r>
          </w:p>
        </w:tc>
        <w:tc>
          <w:tcPr>
            <w:tcW w:w="1182" w:type="dxa"/>
            <w:tcBorders>
              <w:top w:val="single" w:color="auto" w:sz="4" w:space="0"/>
              <w:left w:val="single" w:color="auto" w:sz="4" w:space="0"/>
              <w:bottom w:val="single" w:color="000000" w:sz="4" w:space="0"/>
              <w:right w:val="single" w:color="auto" w:sz="4" w:space="0"/>
            </w:tcBorders>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增值服务（5分）</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其它增值</w:t>
            </w:r>
          </w:p>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服务（5分）</w:t>
            </w:r>
          </w:p>
        </w:tc>
        <w:tc>
          <w:tcPr>
            <w:tcW w:w="5001" w:type="dxa"/>
            <w:tcBorders>
              <w:top w:val="single" w:color="auto" w:sz="4" w:space="0"/>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由竞标人</w:t>
            </w:r>
            <w:r>
              <w:rPr>
                <w:rFonts w:hint="eastAsia" w:ascii="微软雅黑" w:hAnsi="微软雅黑" w:eastAsia="微软雅黑" w:cs="Arial"/>
                <w:snapToGrid w:val="0"/>
                <w:sz w:val="22"/>
              </w:rPr>
              <w:t>发挥金融机构集团化优势，为我公司推介多种融资渠道、融资方案等一系列</w:t>
            </w:r>
            <w:r>
              <w:rPr>
                <w:rFonts w:hint="eastAsia" w:ascii="微软雅黑" w:hAnsi="微软雅黑" w:eastAsia="微软雅黑" w:cs="宋体"/>
                <w:color w:val="000000"/>
                <w:sz w:val="22"/>
              </w:rPr>
              <w:t>增值服务，评委视增值服务项目的优惠程度、可行性、与本公司的实际需求契合度等进行评分，最高得分为5分。</w:t>
            </w:r>
          </w:p>
        </w:tc>
      </w:tr>
      <w:tr>
        <w:tblPrEx>
          <w:tblLayout w:type="fixed"/>
          <w:tblCellMar>
            <w:top w:w="0" w:type="dxa"/>
            <w:left w:w="108" w:type="dxa"/>
            <w:bottom w:w="0" w:type="dxa"/>
            <w:right w:w="108" w:type="dxa"/>
          </w:tblCellMar>
        </w:tblPrEx>
        <w:trPr>
          <w:trHeight w:val="1399" w:hRule="atLeast"/>
          <w:jc w:val="center"/>
        </w:trPr>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6</w:t>
            </w:r>
          </w:p>
        </w:tc>
        <w:tc>
          <w:tcPr>
            <w:tcW w:w="1182" w:type="dxa"/>
            <w:vMerge w:val="restart"/>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商务报价（50分）</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承销费（20分）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对满足竞标文件要求的报价费率偏离交易商协会指导价75%（不含）以上的不得分，各竞标人报价的最低值为基准值，报价比基准值每高5%扣0.3分，扣完为止，报价为基准值的得20分。</w:t>
            </w:r>
          </w:p>
        </w:tc>
      </w:tr>
      <w:tr>
        <w:tblPrEx>
          <w:tblLayout w:type="fixed"/>
          <w:tblCellMar>
            <w:top w:w="0" w:type="dxa"/>
            <w:left w:w="108" w:type="dxa"/>
            <w:bottom w:w="0" w:type="dxa"/>
            <w:right w:w="108" w:type="dxa"/>
          </w:tblCellMar>
        </w:tblPrEx>
        <w:trPr>
          <w:trHeight w:val="195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182" w:type="dxa"/>
            <w:vMerge w:val="continue"/>
            <w:tcBorders>
              <w:top w:val="nil"/>
              <w:left w:val="nil"/>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417" w:type="dxa"/>
            <w:tcBorders>
              <w:top w:val="single" w:color="auto" w:sz="4" w:space="0"/>
              <w:left w:val="nil"/>
              <w:bottom w:val="nil"/>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预期发行票面利率（20分）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以银行间市场交易商协会公布的离发行日最近一期同期限同评级非金融企业债务融资工具定价估值为基准值，投标人预期发行的票面利率比基准值每下降1个BP得0.1分，最高得分20分。</w:t>
            </w:r>
          </w:p>
        </w:tc>
      </w:tr>
      <w:tr>
        <w:tblPrEx>
          <w:tblLayout w:type="fixed"/>
          <w:tblCellMar>
            <w:top w:w="0" w:type="dxa"/>
            <w:left w:w="108" w:type="dxa"/>
            <w:bottom w:w="0" w:type="dxa"/>
            <w:right w:w="108" w:type="dxa"/>
          </w:tblCellMar>
        </w:tblPrEx>
        <w:trPr>
          <w:trHeight w:val="182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182" w:type="dxa"/>
            <w:vMerge w:val="continue"/>
            <w:tcBorders>
              <w:top w:val="nil"/>
              <w:left w:val="nil"/>
              <w:bottom w:val="single" w:color="auto" w:sz="4" w:space="0"/>
              <w:right w:val="single" w:color="auto" w:sz="4" w:space="0"/>
            </w:tcBorders>
            <w:vAlign w:val="center"/>
          </w:tcPr>
          <w:p>
            <w:pPr>
              <w:spacing w:line="520" w:lineRule="exact"/>
              <w:rPr>
                <w:rFonts w:ascii="微软雅黑" w:hAnsi="微软雅黑" w:eastAsia="微软雅黑" w:cs="宋体"/>
                <w:color w:val="000000"/>
                <w:sz w:val="22"/>
              </w:rPr>
            </w:pPr>
          </w:p>
        </w:tc>
        <w:tc>
          <w:tcPr>
            <w:tcW w:w="1417" w:type="dxa"/>
            <w:tcBorders>
              <w:top w:val="single" w:color="auto" w:sz="4" w:space="0"/>
              <w:left w:val="single" w:color="auto" w:sz="4" w:space="0"/>
              <w:bottom w:val="single" w:color="auto" w:sz="4" w:space="0"/>
              <w:right w:val="single" w:color="000000"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对预期发行票面利率的评估弥补措施</w:t>
            </w:r>
          </w:p>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（10分）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评委视竞标人对预期发行票面利率的合理性、弥补机制、余额包销能力及债券过桥等服务酌情评分</w:t>
            </w:r>
          </w:p>
        </w:tc>
      </w:tr>
      <w:tr>
        <w:tblPrEx>
          <w:tblLayout w:type="fixed"/>
          <w:tblCellMar>
            <w:top w:w="0" w:type="dxa"/>
            <w:left w:w="108" w:type="dxa"/>
            <w:bottom w:w="0" w:type="dxa"/>
            <w:right w:w="108" w:type="dxa"/>
          </w:tblCellMar>
        </w:tblPrEx>
        <w:trPr>
          <w:trHeight w:val="510" w:hRule="atLeast"/>
          <w:jc w:val="center"/>
        </w:trPr>
        <w:tc>
          <w:tcPr>
            <w:tcW w:w="680" w:type="dxa"/>
            <w:tcBorders>
              <w:top w:val="nil"/>
              <w:left w:val="single" w:color="auto" w:sz="4" w:space="0"/>
              <w:bottom w:val="single" w:color="auto" w:sz="4" w:space="0"/>
              <w:right w:val="single" w:color="auto"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合计</w:t>
            </w:r>
          </w:p>
        </w:tc>
        <w:tc>
          <w:tcPr>
            <w:tcW w:w="2599" w:type="dxa"/>
            <w:gridSpan w:val="2"/>
            <w:tcBorders>
              <w:top w:val="single" w:color="auto" w:sz="4" w:space="0"/>
              <w:left w:val="nil"/>
              <w:bottom w:val="single" w:color="auto" w:sz="4" w:space="0"/>
              <w:right w:val="single" w:color="000000" w:sz="4" w:space="0"/>
            </w:tcBorders>
            <w:shd w:val="clear" w:color="auto" w:fill="FFFFFF"/>
            <w:vAlign w:val="center"/>
          </w:tcPr>
          <w:p>
            <w:pPr>
              <w:spacing w:line="520" w:lineRule="exact"/>
              <w:jc w:val="center"/>
              <w:rPr>
                <w:rFonts w:ascii="微软雅黑" w:hAnsi="微软雅黑" w:eastAsia="微软雅黑" w:cs="宋体"/>
                <w:color w:val="000000"/>
                <w:sz w:val="22"/>
              </w:rPr>
            </w:pPr>
            <w:r>
              <w:rPr>
                <w:rFonts w:hint="eastAsia" w:ascii="微软雅黑" w:hAnsi="微软雅黑" w:eastAsia="微软雅黑" w:cs="宋体"/>
                <w:color w:val="000000"/>
                <w:sz w:val="22"/>
              </w:rPr>
              <w:t>100分</w:t>
            </w:r>
          </w:p>
        </w:tc>
        <w:tc>
          <w:tcPr>
            <w:tcW w:w="5001" w:type="dxa"/>
            <w:tcBorders>
              <w:top w:val="nil"/>
              <w:left w:val="nil"/>
              <w:bottom w:val="single" w:color="auto" w:sz="4" w:space="0"/>
              <w:right w:val="single" w:color="auto" w:sz="4" w:space="0"/>
            </w:tcBorders>
            <w:shd w:val="clear" w:color="auto" w:fill="FFFFFF"/>
            <w:vAlign w:val="center"/>
          </w:tcPr>
          <w:p>
            <w:pPr>
              <w:spacing w:line="520" w:lineRule="exact"/>
              <w:rPr>
                <w:rFonts w:ascii="微软雅黑" w:hAnsi="微软雅黑" w:eastAsia="微软雅黑" w:cs="宋体"/>
                <w:color w:val="000000"/>
                <w:sz w:val="22"/>
              </w:rPr>
            </w:pPr>
            <w:r>
              <w:rPr>
                <w:rFonts w:hint="eastAsia" w:ascii="微软雅黑" w:hAnsi="微软雅黑" w:eastAsia="微软雅黑" w:cs="宋体"/>
                <w:color w:val="000000"/>
                <w:sz w:val="22"/>
              </w:rPr>
              <w:t>　</w:t>
            </w:r>
          </w:p>
        </w:tc>
      </w:tr>
    </w:tbl>
    <w:p>
      <w:pPr>
        <w:autoSpaceDE w:val="0"/>
        <w:autoSpaceDN w:val="0"/>
        <w:adjustRightInd w:val="0"/>
        <w:snapToGrid w:val="0"/>
        <w:spacing w:line="560" w:lineRule="exact"/>
        <w:ind w:firstLine="560"/>
        <w:rPr>
          <w:rFonts w:ascii="仿宋_GB2312" w:eastAsia="仿宋_GB2312"/>
          <w:sz w:val="28"/>
          <w:szCs w:val="28"/>
          <w:lang w:val="zh-CN"/>
        </w:rPr>
      </w:pPr>
      <w:r>
        <w:rPr>
          <w:rFonts w:hint="eastAsia" w:ascii="仿宋_GB2312" w:eastAsia="仿宋_GB2312"/>
          <w:sz w:val="28"/>
          <w:szCs w:val="28"/>
          <w:lang w:val="zh-CN"/>
        </w:rPr>
        <w:t>特别说明：</w:t>
      </w:r>
    </w:p>
    <w:p>
      <w:pPr>
        <w:pStyle w:val="33"/>
        <w:spacing w:line="520" w:lineRule="exact"/>
        <w:ind w:firstLine="560" w:firstLineChars="200"/>
        <w:jc w:val="both"/>
        <w:rPr>
          <w:rFonts w:ascii="仿宋_GB2312" w:eastAsia="仿宋_GB2312" w:cs="Times New Roman"/>
          <w:color w:val="auto"/>
          <w:kern w:val="2"/>
          <w:sz w:val="28"/>
          <w:szCs w:val="28"/>
        </w:rPr>
      </w:pPr>
      <w:r>
        <w:rPr>
          <w:rFonts w:hint="eastAsia" w:ascii="仿宋_GB2312" w:eastAsia="仿宋_GB2312" w:cs="Times New Roman"/>
          <w:color w:val="auto"/>
          <w:kern w:val="2"/>
          <w:sz w:val="28"/>
          <w:szCs w:val="28"/>
        </w:rPr>
        <w:t>1.竞标人所提供资料如有不实，一经发现取消本次竞标资格，并在两年内不得参与本公司的公开招投标项目；</w:t>
      </w:r>
    </w:p>
    <w:p>
      <w:pPr>
        <w:pStyle w:val="33"/>
        <w:spacing w:line="520" w:lineRule="exact"/>
        <w:ind w:firstLine="560" w:firstLineChars="200"/>
        <w:jc w:val="both"/>
        <w:rPr>
          <w:rFonts w:ascii="仿宋_GB2312" w:eastAsia="仿宋_GB2312" w:cs="Times New Roman"/>
          <w:color w:val="auto"/>
          <w:kern w:val="2"/>
          <w:sz w:val="28"/>
          <w:szCs w:val="28"/>
        </w:rPr>
      </w:pPr>
      <w:r>
        <w:rPr>
          <w:rFonts w:hint="eastAsia" w:ascii="仿宋_GB2312" w:eastAsia="仿宋_GB2312" w:cs="Times New Roman"/>
          <w:color w:val="auto"/>
          <w:kern w:val="2"/>
          <w:sz w:val="28"/>
          <w:szCs w:val="28"/>
        </w:rPr>
        <w:t>2.本次竞争性谈判最终确定的选聘结果分先后排名，排名将影响本注册期内同等条件下发行主承销商的优先选择权。</w:t>
      </w:r>
    </w:p>
    <w:p>
      <w:pPr>
        <w:pStyle w:val="33"/>
        <w:spacing w:line="520" w:lineRule="exact"/>
        <w:ind w:firstLine="560" w:firstLineChars="200"/>
        <w:jc w:val="both"/>
        <w:rPr>
          <w:rFonts w:ascii="仿宋_GB2312" w:eastAsia="仿宋_GB2312"/>
          <w:sz w:val="28"/>
          <w:szCs w:val="28"/>
        </w:rPr>
      </w:pPr>
      <w:r>
        <w:rPr>
          <w:rFonts w:hint="eastAsia" w:ascii="仿宋_GB2312" w:eastAsia="仿宋_GB2312" w:cs="Times New Roman"/>
          <w:color w:val="auto"/>
          <w:kern w:val="2"/>
          <w:sz w:val="28"/>
          <w:szCs w:val="28"/>
        </w:rPr>
        <w:t>3.</w:t>
      </w:r>
      <w:r>
        <w:rPr>
          <w:rFonts w:hint="eastAsia" w:ascii="仿宋_GB2312" w:eastAsia="仿宋_GB2312"/>
          <w:sz w:val="28"/>
          <w:szCs w:val="28"/>
        </w:rPr>
        <w:t>敬请将发言时间控制在10分钟以内。</w:t>
      </w:r>
    </w:p>
    <w:p>
      <w:pPr>
        <w:pStyle w:val="14"/>
        <w:snapToGrid w:val="0"/>
        <w:ind w:firstLine="560"/>
        <w:rPr>
          <w:rFonts w:ascii="黑体" w:hAnsi="黑体" w:eastAsia="黑体"/>
          <w:b w:val="0"/>
          <w:sz w:val="28"/>
          <w:szCs w:val="28"/>
          <w:lang w:val="zh-CN"/>
        </w:rPr>
      </w:pPr>
      <w:r>
        <w:rPr>
          <w:rFonts w:hint="eastAsia" w:ascii="黑体" w:hAnsi="黑体" w:eastAsia="黑体"/>
          <w:b w:val="0"/>
          <w:sz w:val="28"/>
          <w:szCs w:val="28"/>
          <w:lang w:val="zh-CN"/>
        </w:rPr>
        <w:t>四、合同谈判与签订</w:t>
      </w:r>
    </w:p>
    <w:p>
      <w:pPr>
        <w:autoSpaceDE w:val="0"/>
        <w:autoSpaceDN w:val="0"/>
        <w:adjustRightInd w:val="0"/>
        <w:snapToGrid w:val="0"/>
        <w:spacing w:line="560"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招标人确定竞投人后，将明确合同签订的时间和地点。报价人在接到报价人通知书后，必须在规定的时间内派代表与招标人进行合同的谈判和签署工作。合同文本如下（合同为中国银行间市场交易商协会2013版，届时如有更新，以协会最新版本为准）：</w:t>
      </w:r>
    </w:p>
    <w:p>
      <w:pPr>
        <w:spacing w:before="156" w:after="156" w:line="360" w:lineRule="auto"/>
        <w:rPr>
          <w:rFonts w:ascii="仿宋_GB2312" w:hAnsi="宋体" w:eastAsia="仿宋_GB2312"/>
          <w:b/>
          <w:spacing w:val="20"/>
          <w:sz w:val="32"/>
          <w:szCs w:val="32"/>
        </w:rPr>
      </w:pPr>
    </w:p>
    <w:p>
      <w:pPr>
        <w:spacing w:before="156" w:after="156"/>
        <w:jc w:val="center"/>
        <w:rPr>
          <w:rFonts w:ascii="黑体" w:hAnsi="黑体" w:eastAsia="黑体"/>
          <w:b/>
          <w:spacing w:val="20"/>
          <w:sz w:val="44"/>
          <w:szCs w:val="44"/>
        </w:rPr>
      </w:pPr>
      <w:r>
        <w:rPr>
          <w:rFonts w:hint="eastAsia" w:ascii="黑体" w:hAnsi="黑体" w:eastAsia="黑体"/>
          <w:b/>
          <w:spacing w:val="20"/>
          <w:sz w:val="44"/>
          <w:szCs w:val="44"/>
        </w:rPr>
        <w:t>银行间债券市场</w:t>
      </w:r>
    </w:p>
    <w:p>
      <w:pPr>
        <w:spacing w:before="156" w:after="156"/>
        <w:jc w:val="center"/>
        <w:rPr>
          <w:rFonts w:ascii="黑体" w:hAnsi="黑体" w:eastAsia="黑体"/>
          <w:b/>
          <w:spacing w:val="20"/>
          <w:sz w:val="44"/>
          <w:szCs w:val="44"/>
        </w:rPr>
      </w:pPr>
    </w:p>
    <w:p>
      <w:pPr>
        <w:spacing w:before="156" w:after="156"/>
        <w:jc w:val="center"/>
        <w:rPr>
          <w:rFonts w:ascii="黑体" w:hAnsi="黑体" w:eastAsia="黑体"/>
          <w:b/>
          <w:spacing w:val="20"/>
          <w:sz w:val="44"/>
          <w:szCs w:val="44"/>
        </w:rPr>
      </w:pPr>
      <w:r>
        <w:rPr>
          <w:rFonts w:hint="eastAsia" w:ascii="黑体" w:hAnsi="黑体" w:eastAsia="黑体"/>
          <w:b/>
          <w:spacing w:val="20"/>
          <w:sz w:val="44"/>
          <w:szCs w:val="44"/>
        </w:rPr>
        <w:t>非金融企业债务融资工具承销协议文本</w:t>
      </w:r>
    </w:p>
    <w:p>
      <w:pPr>
        <w:spacing w:line="360" w:lineRule="auto"/>
        <w:jc w:val="center"/>
        <w:rPr>
          <w:rFonts w:ascii="黑体" w:hAnsi="黑体" w:eastAsia="黑体"/>
          <w:b/>
          <w:spacing w:val="20"/>
          <w:sz w:val="44"/>
          <w:szCs w:val="44"/>
        </w:rPr>
      </w:pPr>
    </w:p>
    <w:p>
      <w:pPr>
        <w:spacing w:line="360" w:lineRule="auto"/>
        <w:jc w:val="center"/>
        <w:rPr>
          <w:rFonts w:ascii="黑体" w:hAnsi="黑体" w:eastAsia="黑体"/>
          <w:b/>
          <w:spacing w:val="20"/>
          <w:sz w:val="44"/>
          <w:szCs w:val="44"/>
        </w:rPr>
      </w:pPr>
      <w:r>
        <w:rPr>
          <w:rFonts w:hint="eastAsia" w:ascii="黑体" w:hAnsi="黑体" w:eastAsia="黑体"/>
          <w:b/>
          <w:spacing w:val="20"/>
          <w:sz w:val="44"/>
          <w:szCs w:val="44"/>
        </w:rPr>
        <w:t>（2013版）</w:t>
      </w:r>
    </w:p>
    <w:p>
      <w:pPr>
        <w:spacing w:before="156" w:after="156" w:line="360" w:lineRule="auto"/>
        <w:rPr>
          <w:rFonts w:ascii="仿宋_GB2312" w:eastAsia="仿宋_GB2312"/>
          <w:b/>
          <w:spacing w:val="20"/>
          <w:sz w:val="28"/>
          <w:szCs w:val="28"/>
        </w:rPr>
      </w:pPr>
    </w:p>
    <w:p>
      <w:pPr>
        <w:spacing w:before="156" w:after="156" w:line="360" w:lineRule="auto"/>
        <w:rPr>
          <w:rFonts w:ascii="仿宋_GB2312" w:eastAsia="仿宋_GB2312"/>
          <w:b/>
          <w:spacing w:val="20"/>
          <w:sz w:val="28"/>
          <w:szCs w:val="28"/>
        </w:rPr>
      </w:pPr>
    </w:p>
    <w:p>
      <w:pPr>
        <w:spacing w:before="156" w:after="156" w:line="360" w:lineRule="auto"/>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jc w:val="center"/>
        <w:rPr>
          <w:rFonts w:ascii="仿宋_GB2312" w:eastAsia="仿宋_GB2312"/>
          <w:spacing w:val="20"/>
          <w:sz w:val="28"/>
          <w:szCs w:val="28"/>
        </w:rPr>
      </w:pPr>
      <w:r>
        <w:rPr>
          <w:rFonts w:hint="eastAsia" w:ascii="仿宋_GB2312" w:eastAsia="仿宋_GB2312"/>
          <w:spacing w:val="20"/>
          <w:sz w:val="28"/>
          <w:szCs w:val="28"/>
        </w:rPr>
        <w:t>版权所有：中国银行间市场交易商协会 2013</w:t>
      </w:r>
    </w:p>
    <w:p>
      <w:pPr>
        <w:spacing w:before="156" w:after="156" w:line="360" w:lineRule="auto"/>
        <w:ind w:firstLine="440"/>
        <w:jc w:val="center"/>
        <w:rPr>
          <w:rFonts w:ascii="黑体" w:hAnsi="黑体" w:eastAsia="黑体"/>
          <w:spacing w:val="20"/>
          <w:sz w:val="36"/>
          <w:szCs w:val="36"/>
        </w:rPr>
      </w:pPr>
    </w:p>
    <w:p>
      <w:pPr>
        <w:spacing w:before="156" w:after="156" w:line="360" w:lineRule="auto"/>
        <w:ind w:firstLine="440"/>
        <w:jc w:val="center"/>
        <w:rPr>
          <w:rFonts w:ascii="黑体" w:hAnsi="黑体" w:eastAsia="黑体"/>
          <w:spacing w:val="20"/>
          <w:sz w:val="36"/>
          <w:szCs w:val="36"/>
        </w:rPr>
      </w:pPr>
      <w:r>
        <w:rPr>
          <w:rFonts w:hint="eastAsia" w:ascii="黑体" w:hAnsi="黑体" w:eastAsia="黑体"/>
          <w:spacing w:val="20"/>
          <w:sz w:val="36"/>
          <w:szCs w:val="36"/>
        </w:rPr>
        <w:t>声  明</w:t>
      </w:r>
    </w:p>
    <w:p>
      <w:pPr>
        <w:pStyle w:val="33"/>
        <w:spacing w:line="360" w:lineRule="auto"/>
        <w:ind w:firstLine="601"/>
        <w:jc w:val="both"/>
        <w:rPr>
          <w:color w:val="auto"/>
          <w:sz w:val="28"/>
          <w:szCs w:val="28"/>
        </w:rPr>
      </w:pPr>
    </w:p>
    <w:p>
      <w:pPr>
        <w:pStyle w:val="33"/>
        <w:spacing w:line="360" w:lineRule="auto"/>
        <w:ind w:firstLine="601"/>
        <w:jc w:val="both"/>
        <w:rPr>
          <w:color w:val="auto"/>
          <w:sz w:val="30"/>
          <w:szCs w:val="30"/>
        </w:rPr>
      </w:pPr>
      <w:r>
        <w:rPr>
          <w:rFonts w:hint="eastAsia"/>
          <w:color w:val="auto"/>
          <w:sz w:val="30"/>
          <w:szCs w:val="30"/>
        </w:rPr>
        <w:t>《银行间债券市场非金融企业债务融资工具承销协议（2013版）》（简称《承销协议》）的著作权属于中国银行间市场交易商协会。除非为本协议下有关业务或进行教学、研究的目的，未经著作权人事先书面同意，任何人不得复制、复印、翻译或分发《承销协议》的纸质、电子或其他形式版本。</w:t>
      </w:r>
    </w:p>
    <w:p>
      <w:pPr>
        <w:pStyle w:val="12"/>
        <w:spacing w:before="156" w:after="156" w:line="360" w:lineRule="auto"/>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协议各方可根据《承销协议》的有关约定并经协商一致，对《承销协议》的相关条款进行补充或修改（但不得修改《承销协议》第二十一条），签署相应补充协议。协议各方应及时将承销协议、补充协议（及其修改）报送中国银行间市场交易商协会。</w:t>
      </w:r>
    </w:p>
    <w:p>
      <w:pPr>
        <w:pStyle w:val="33"/>
        <w:spacing w:line="360" w:lineRule="auto"/>
        <w:ind w:firstLine="601"/>
        <w:jc w:val="both"/>
        <w:rPr>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color w:val="auto"/>
          <w:sz w:val="28"/>
          <w:szCs w:val="28"/>
        </w:rPr>
        <w:t xml:space="preserve"> </w:t>
      </w:r>
    </w:p>
    <w:p>
      <w:pPr>
        <w:spacing w:before="156" w:after="156" w:line="360" w:lineRule="auto"/>
        <w:jc w:val="center"/>
        <w:rPr>
          <w:rFonts w:ascii="黑体" w:hAnsi="黑体" w:eastAsia="黑体"/>
          <w:spacing w:val="20"/>
          <w:sz w:val="36"/>
          <w:szCs w:val="36"/>
        </w:rPr>
      </w:pPr>
      <w:r>
        <w:rPr>
          <w:rFonts w:hint="eastAsia" w:ascii="黑体" w:hAnsi="黑体" w:eastAsia="黑体"/>
          <w:spacing w:val="20"/>
          <w:sz w:val="36"/>
          <w:szCs w:val="36"/>
        </w:rPr>
        <w:t>目  录</w:t>
      </w:r>
    </w:p>
    <w:p>
      <w:pPr>
        <w:spacing w:before="156" w:after="156" w:line="360" w:lineRule="auto"/>
        <w:rPr>
          <w:rFonts w:ascii="仿宋_GB2312" w:eastAsia="仿宋_GB2312"/>
          <w:b/>
          <w:spacing w:val="20"/>
          <w:sz w:val="28"/>
          <w:szCs w:val="28"/>
        </w:rPr>
      </w:pPr>
    </w:p>
    <w:p>
      <w:pPr>
        <w:pStyle w:val="36"/>
        <w:rPr>
          <w:rFonts w:ascii="Calibri" w:hAnsi="Calibri"/>
          <w:sz w:val="24"/>
          <w:szCs w:val="24"/>
        </w:rPr>
      </w:pPr>
      <w:r>
        <w:rPr>
          <w:rFonts w:hint="eastAsia" w:ascii="仿宋_GB2312" w:eastAsia="仿宋_GB2312"/>
          <w:spacing w:val="20"/>
          <w:sz w:val="24"/>
          <w:szCs w:val="24"/>
        </w:rPr>
        <w:fldChar w:fldCharType="begin"/>
      </w:r>
      <w:r>
        <w:rPr>
          <w:rFonts w:hint="eastAsia" w:ascii="仿宋_GB2312" w:eastAsia="仿宋_GB2312"/>
          <w:spacing w:val="20"/>
          <w:sz w:val="24"/>
          <w:szCs w:val="24"/>
        </w:rPr>
        <w:instrText xml:space="preserve"> TOC \o "1-3" \h \z </w:instrText>
      </w:r>
      <w:r>
        <w:rPr>
          <w:rFonts w:hint="eastAsia" w:ascii="仿宋_GB2312" w:eastAsia="仿宋_GB2312"/>
          <w:spacing w:val="20"/>
          <w:sz w:val="24"/>
          <w:szCs w:val="24"/>
        </w:rPr>
        <w:fldChar w:fldCharType="separate"/>
      </w:r>
      <w:r>
        <w:fldChar w:fldCharType="begin"/>
      </w:r>
      <w:r>
        <w:instrText xml:space="preserve"> HYPERLINK \l "_Toc257911870" </w:instrText>
      </w:r>
      <w:r>
        <w:fldChar w:fldCharType="separate"/>
      </w:r>
      <w:r>
        <w:rPr>
          <w:rStyle w:val="17"/>
          <w:rFonts w:hint="eastAsia" w:ascii="仿宋_GB2312" w:eastAsia="仿宋_GB2312"/>
          <w:sz w:val="24"/>
          <w:szCs w:val="24"/>
        </w:rPr>
        <w:t>第一条</w:t>
      </w:r>
      <w:r>
        <w:rPr>
          <w:rFonts w:ascii="Calibri" w:hAnsi="Calibri"/>
          <w:sz w:val="24"/>
          <w:szCs w:val="24"/>
        </w:rPr>
        <w:tab/>
      </w:r>
      <w:r>
        <w:rPr>
          <w:rStyle w:val="17"/>
          <w:rFonts w:hint="eastAsia" w:ascii="仿宋_GB2312" w:eastAsia="仿宋_GB2312"/>
          <w:sz w:val="24"/>
          <w:szCs w:val="24"/>
        </w:rPr>
        <w:t>定义</w:t>
      </w:r>
      <w:r>
        <w:rPr>
          <w:sz w:val="24"/>
          <w:szCs w:val="24"/>
        </w:rPr>
        <w:tab/>
      </w:r>
      <w:r>
        <w:rPr>
          <w:sz w:val="24"/>
          <w:szCs w:val="24"/>
        </w:rPr>
        <w:fldChar w:fldCharType="begin"/>
      </w:r>
      <w:r>
        <w:rPr>
          <w:sz w:val="24"/>
          <w:szCs w:val="24"/>
        </w:rPr>
        <w:instrText xml:space="preserve"> PAGEREF _Toc257911870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"_Toc257911871" </w:instrText>
      </w:r>
      <w:r>
        <w:fldChar w:fldCharType="separate"/>
      </w:r>
      <w:r>
        <w:rPr>
          <w:rStyle w:val="17"/>
          <w:rFonts w:hint="eastAsia" w:ascii="仿宋_GB2312" w:eastAsia="仿宋_GB2312"/>
          <w:sz w:val="24"/>
          <w:szCs w:val="24"/>
        </w:rPr>
        <w:t>第二条</w:t>
      </w:r>
      <w:r>
        <w:rPr>
          <w:rFonts w:ascii="Calibri" w:hAnsi="Calibri"/>
          <w:sz w:val="24"/>
          <w:szCs w:val="24"/>
        </w:rPr>
        <w:tab/>
      </w:r>
      <w:r>
        <w:rPr>
          <w:rStyle w:val="17"/>
          <w:rFonts w:hint="eastAsia" w:ascii="仿宋_GB2312" w:eastAsia="仿宋_GB2312"/>
          <w:sz w:val="24"/>
          <w:szCs w:val="24"/>
        </w:rPr>
        <w:t>协议的构成与效力等级</w:t>
      </w:r>
      <w:r>
        <w:rPr>
          <w:sz w:val="24"/>
          <w:szCs w:val="24"/>
        </w:rPr>
        <w:tab/>
      </w:r>
      <w:r>
        <w:rPr>
          <w:sz w:val="24"/>
          <w:szCs w:val="24"/>
        </w:rPr>
        <w:fldChar w:fldCharType="begin"/>
      </w:r>
      <w:r>
        <w:rPr>
          <w:sz w:val="24"/>
          <w:szCs w:val="24"/>
        </w:rPr>
        <w:instrText xml:space="preserve"> PAGEREF _Toc257911871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"_Toc257911872" </w:instrText>
      </w:r>
      <w:r>
        <w:fldChar w:fldCharType="separate"/>
      </w:r>
      <w:r>
        <w:rPr>
          <w:rStyle w:val="17"/>
          <w:rFonts w:hint="eastAsia" w:ascii="仿宋_GB2312" w:eastAsia="仿宋_GB2312"/>
          <w:sz w:val="24"/>
          <w:szCs w:val="24"/>
        </w:rPr>
        <w:t>第三条</w:t>
      </w:r>
      <w:r>
        <w:rPr>
          <w:rFonts w:ascii="Calibri" w:hAnsi="Calibri"/>
          <w:sz w:val="24"/>
          <w:szCs w:val="24"/>
        </w:rPr>
        <w:tab/>
      </w:r>
      <w:r>
        <w:rPr>
          <w:rStyle w:val="17"/>
          <w:rFonts w:hint="eastAsia" w:ascii="仿宋_GB2312" w:eastAsia="仿宋_GB2312"/>
          <w:sz w:val="24"/>
          <w:szCs w:val="24"/>
        </w:rPr>
        <w:t>对承销方的委任</w:t>
      </w:r>
      <w:r>
        <w:rPr>
          <w:sz w:val="24"/>
          <w:szCs w:val="24"/>
        </w:rPr>
        <w:tab/>
      </w:r>
      <w:r>
        <w:rPr>
          <w:sz w:val="24"/>
          <w:szCs w:val="24"/>
        </w:rPr>
        <w:fldChar w:fldCharType="begin"/>
      </w:r>
      <w:r>
        <w:rPr>
          <w:sz w:val="24"/>
          <w:szCs w:val="24"/>
        </w:rPr>
        <w:instrText xml:space="preserve"> PAGEREF _Toc257911872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"_Toc257911873" </w:instrText>
      </w:r>
      <w:r>
        <w:fldChar w:fldCharType="separate"/>
      </w:r>
      <w:r>
        <w:rPr>
          <w:rStyle w:val="17"/>
          <w:rFonts w:hint="eastAsia" w:ascii="仿宋_GB2312" w:hAnsi="楷体_GB2312" w:eastAsia="仿宋_GB2312"/>
          <w:sz w:val="24"/>
          <w:szCs w:val="24"/>
        </w:rPr>
        <w:t>第四条</w:t>
      </w:r>
      <w:r>
        <w:rPr>
          <w:rFonts w:ascii="Calibri" w:hAnsi="Calibri"/>
          <w:sz w:val="24"/>
          <w:szCs w:val="24"/>
        </w:rPr>
        <w:tab/>
      </w:r>
      <w:r>
        <w:rPr>
          <w:rStyle w:val="17"/>
          <w:rFonts w:hint="eastAsia" w:ascii="仿宋_GB2312" w:hAnsi="楷体_GB2312" w:eastAsia="仿宋_GB2312"/>
          <w:sz w:val="24"/>
          <w:szCs w:val="24"/>
        </w:rPr>
        <w:t>债务融资工具的发行</w:t>
      </w:r>
      <w:r>
        <w:rPr>
          <w:sz w:val="24"/>
          <w:szCs w:val="24"/>
        </w:rPr>
        <w:tab/>
      </w:r>
      <w:r>
        <w:rPr>
          <w:sz w:val="24"/>
          <w:szCs w:val="24"/>
        </w:rPr>
        <w:fldChar w:fldCharType="begin"/>
      </w:r>
      <w:r>
        <w:rPr>
          <w:sz w:val="24"/>
          <w:szCs w:val="24"/>
        </w:rPr>
        <w:instrText xml:space="preserve"> PAGEREF _Toc257911873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"_Toc257911874" </w:instrText>
      </w:r>
      <w:r>
        <w:fldChar w:fldCharType="separate"/>
      </w:r>
      <w:r>
        <w:rPr>
          <w:rStyle w:val="17"/>
          <w:rFonts w:hint="eastAsia" w:ascii="仿宋_GB2312" w:hAnsi="楷体_GB2312" w:eastAsia="仿宋_GB2312"/>
          <w:sz w:val="24"/>
          <w:szCs w:val="24"/>
        </w:rPr>
        <w:t>第五条</w:t>
      </w:r>
      <w:r>
        <w:rPr>
          <w:rFonts w:ascii="Calibri" w:hAnsi="Calibri"/>
          <w:sz w:val="24"/>
          <w:szCs w:val="24"/>
        </w:rPr>
        <w:tab/>
      </w:r>
      <w:r>
        <w:rPr>
          <w:rStyle w:val="17"/>
          <w:rFonts w:hint="eastAsia" w:ascii="仿宋_GB2312" w:hAnsi="楷体_GB2312" w:eastAsia="仿宋_GB2312"/>
          <w:sz w:val="24"/>
          <w:szCs w:val="24"/>
        </w:rPr>
        <w:t>债务融资工具的承销</w:t>
      </w:r>
      <w:r>
        <w:rPr>
          <w:sz w:val="24"/>
          <w:szCs w:val="24"/>
        </w:rPr>
        <w:tab/>
      </w:r>
      <w:r>
        <w:rPr>
          <w:sz w:val="24"/>
          <w:szCs w:val="24"/>
        </w:rPr>
        <w:fldChar w:fldCharType="begin"/>
      </w:r>
      <w:r>
        <w:rPr>
          <w:sz w:val="24"/>
          <w:szCs w:val="24"/>
        </w:rPr>
        <w:instrText xml:space="preserve"> PAGEREF _Toc257911874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"_Toc257911875" </w:instrText>
      </w:r>
      <w:r>
        <w:fldChar w:fldCharType="separate"/>
      </w:r>
      <w:r>
        <w:rPr>
          <w:rStyle w:val="17"/>
          <w:rFonts w:hint="eastAsia" w:ascii="仿宋_GB2312" w:hAnsi="楷体_GB2312" w:eastAsia="仿宋_GB2312"/>
          <w:sz w:val="24"/>
          <w:szCs w:val="24"/>
        </w:rPr>
        <w:t>第六条</w:t>
      </w:r>
      <w:r>
        <w:rPr>
          <w:rFonts w:ascii="Calibri" w:hAnsi="Calibri"/>
          <w:sz w:val="24"/>
          <w:szCs w:val="24"/>
        </w:rPr>
        <w:tab/>
      </w:r>
      <w:r>
        <w:rPr>
          <w:rStyle w:val="17"/>
          <w:rFonts w:hint="eastAsia" w:ascii="仿宋_GB2312" w:hAnsi="楷体_GB2312" w:eastAsia="仿宋_GB2312"/>
          <w:sz w:val="24"/>
          <w:szCs w:val="24"/>
        </w:rPr>
        <w:t>募集资金划付</w:t>
      </w:r>
      <w:r>
        <w:rPr>
          <w:sz w:val="24"/>
          <w:szCs w:val="24"/>
        </w:rPr>
        <w:tab/>
      </w:r>
      <w:r>
        <w:rPr>
          <w:sz w:val="24"/>
          <w:szCs w:val="24"/>
        </w:rPr>
        <w:fldChar w:fldCharType="begin"/>
      </w:r>
      <w:r>
        <w:rPr>
          <w:sz w:val="24"/>
          <w:szCs w:val="24"/>
        </w:rPr>
        <w:instrText xml:space="preserve"> PAGEREF _Toc257911875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"_Toc257911876" </w:instrText>
      </w:r>
      <w:r>
        <w:fldChar w:fldCharType="separate"/>
      </w:r>
      <w:r>
        <w:rPr>
          <w:rStyle w:val="17"/>
          <w:rFonts w:hint="eastAsia" w:ascii="仿宋_GB2312" w:hAnsi="楷体_GB2312" w:eastAsia="仿宋_GB2312"/>
          <w:sz w:val="24"/>
          <w:szCs w:val="24"/>
        </w:rPr>
        <w:t>第七条</w:t>
      </w:r>
      <w:r>
        <w:rPr>
          <w:rFonts w:ascii="Calibri" w:hAnsi="Calibri"/>
          <w:sz w:val="24"/>
          <w:szCs w:val="24"/>
        </w:rPr>
        <w:tab/>
      </w:r>
      <w:r>
        <w:rPr>
          <w:rStyle w:val="17"/>
          <w:rFonts w:hint="eastAsia" w:ascii="仿宋_GB2312" w:hAnsi="楷体_GB2312" w:eastAsia="仿宋_GB2312"/>
          <w:sz w:val="24"/>
          <w:szCs w:val="24"/>
        </w:rPr>
        <w:t>费用及支付</w:t>
      </w:r>
      <w:r>
        <w:rPr>
          <w:sz w:val="24"/>
          <w:szCs w:val="24"/>
        </w:rPr>
        <w:tab/>
      </w:r>
      <w:r>
        <w:rPr>
          <w:sz w:val="24"/>
          <w:szCs w:val="24"/>
        </w:rPr>
        <w:fldChar w:fldCharType="begin"/>
      </w:r>
      <w:r>
        <w:rPr>
          <w:sz w:val="24"/>
          <w:szCs w:val="24"/>
        </w:rPr>
        <w:instrText xml:space="preserve"> PAGEREF _Toc257911876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"_Toc257911877" </w:instrText>
      </w:r>
      <w:r>
        <w:fldChar w:fldCharType="separate"/>
      </w:r>
      <w:r>
        <w:rPr>
          <w:rStyle w:val="17"/>
          <w:rFonts w:hint="eastAsia" w:ascii="仿宋_GB2312" w:hAnsi="楷体_GB2312" w:eastAsia="仿宋_GB2312"/>
          <w:sz w:val="24"/>
          <w:szCs w:val="24"/>
        </w:rPr>
        <w:t>第八条</w:t>
      </w:r>
      <w:r>
        <w:rPr>
          <w:rFonts w:ascii="Calibri" w:hAnsi="Calibri"/>
          <w:sz w:val="24"/>
          <w:szCs w:val="24"/>
        </w:rPr>
        <w:tab/>
      </w:r>
      <w:r>
        <w:rPr>
          <w:rStyle w:val="17"/>
          <w:rFonts w:hint="eastAsia" w:ascii="仿宋_GB2312" w:hAnsi="楷体_GB2312" w:eastAsia="仿宋_GB2312"/>
          <w:sz w:val="24"/>
          <w:szCs w:val="24"/>
        </w:rPr>
        <w:t>信息披露</w:t>
      </w:r>
      <w:r>
        <w:rPr>
          <w:sz w:val="24"/>
          <w:szCs w:val="24"/>
        </w:rPr>
        <w:tab/>
      </w:r>
      <w:r>
        <w:rPr>
          <w:sz w:val="24"/>
          <w:szCs w:val="24"/>
        </w:rPr>
        <w:fldChar w:fldCharType="begin"/>
      </w:r>
      <w:r>
        <w:rPr>
          <w:sz w:val="24"/>
          <w:szCs w:val="24"/>
        </w:rPr>
        <w:instrText xml:space="preserve"> PAGEREF _Toc257911877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"_Toc257911878" </w:instrText>
      </w:r>
      <w:r>
        <w:fldChar w:fldCharType="separate"/>
      </w:r>
      <w:r>
        <w:rPr>
          <w:rStyle w:val="17"/>
          <w:rFonts w:hint="eastAsia" w:ascii="仿宋_GB2312" w:hAnsi="楷体_GB2312" w:eastAsia="仿宋_GB2312"/>
          <w:sz w:val="24"/>
          <w:szCs w:val="24"/>
        </w:rPr>
        <w:t>第九条</w:t>
      </w:r>
      <w:r>
        <w:rPr>
          <w:rFonts w:ascii="Calibri" w:hAnsi="Calibri"/>
          <w:sz w:val="24"/>
          <w:szCs w:val="24"/>
        </w:rPr>
        <w:tab/>
      </w:r>
      <w:r>
        <w:rPr>
          <w:rStyle w:val="17"/>
          <w:rFonts w:hint="eastAsia" w:ascii="仿宋_GB2312" w:hAnsi="楷体_GB2312" w:eastAsia="仿宋_GB2312"/>
          <w:sz w:val="24"/>
          <w:szCs w:val="24"/>
        </w:rPr>
        <w:t>付息和本金兑付</w:t>
      </w:r>
      <w:r>
        <w:rPr>
          <w:sz w:val="24"/>
          <w:szCs w:val="24"/>
        </w:rPr>
        <w:tab/>
      </w:r>
      <w:r>
        <w:rPr>
          <w:sz w:val="24"/>
          <w:szCs w:val="24"/>
        </w:rPr>
        <w:fldChar w:fldCharType="begin"/>
      </w:r>
      <w:r>
        <w:rPr>
          <w:sz w:val="24"/>
          <w:szCs w:val="24"/>
        </w:rPr>
        <w:instrText xml:space="preserve"> PAGEREF _Toc257911878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"_Toc257911879" </w:instrText>
      </w:r>
      <w:r>
        <w:fldChar w:fldCharType="separate"/>
      </w:r>
      <w:r>
        <w:rPr>
          <w:rStyle w:val="17"/>
          <w:rFonts w:hint="eastAsia" w:ascii="仿宋_GB2312" w:hAnsi="楷体_GB2312" w:eastAsia="仿宋_GB2312"/>
          <w:sz w:val="24"/>
          <w:szCs w:val="24"/>
        </w:rPr>
        <w:t>第十条</w:t>
      </w:r>
      <w:r>
        <w:rPr>
          <w:rFonts w:ascii="Calibri" w:hAnsi="Calibri"/>
          <w:sz w:val="24"/>
          <w:szCs w:val="24"/>
        </w:rPr>
        <w:tab/>
      </w:r>
      <w:r>
        <w:rPr>
          <w:rStyle w:val="17"/>
          <w:rFonts w:hint="eastAsia" w:ascii="仿宋_GB2312" w:hAnsi="楷体_GB2312" w:eastAsia="仿宋_GB2312"/>
          <w:sz w:val="24"/>
          <w:szCs w:val="24"/>
        </w:rPr>
        <w:t>债务融资工具的后续管理</w:t>
      </w:r>
      <w:r>
        <w:rPr>
          <w:sz w:val="24"/>
          <w:szCs w:val="24"/>
        </w:rPr>
        <w:tab/>
      </w:r>
      <w:r>
        <w:rPr>
          <w:sz w:val="24"/>
          <w:szCs w:val="24"/>
        </w:rPr>
        <w:fldChar w:fldCharType="begin"/>
      </w:r>
      <w:r>
        <w:rPr>
          <w:sz w:val="24"/>
          <w:szCs w:val="24"/>
        </w:rPr>
        <w:instrText xml:space="preserve"> PAGEREF _Toc257911879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"_Toc257911880" </w:instrText>
      </w:r>
      <w:r>
        <w:fldChar w:fldCharType="separate"/>
      </w:r>
      <w:r>
        <w:rPr>
          <w:rStyle w:val="17"/>
          <w:rFonts w:hint="eastAsia" w:ascii="仿宋_GB2312" w:hAnsi="楷体_GB2312" w:eastAsia="仿宋_GB2312"/>
          <w:sz w:val="24"/>
          <w:szCs w:val="24"/>
        </w:rPr>
        <w:t>第十一条</w:t>
      </w:r>
      <w:r>
        <w:rPr>
          <w:rFonts w:ascii="Calibri" w:hAnsi="Calibri"/>
          <w:sz w:val="24"/>
          <w:szCs w:val="24"/>
        </w:rPr>
        <w:tab/>
      </w:r>
      <w:r>
        <w:rPr>
          <w:rFonts w:hint="eastAsia" w:ascii="Calibri" w:hAnsi="Calibri"/>
          <w:sz w:val="24"/>
          <w:szCs w:val="24"/>
        </w:rPr>
        <w:t xml:space="preserve"> </w:t>
      </w:r>
      <w:r>
        <w:rPr>
          <w:rStyle w:val="17"/>
          <w:rFonts w:hint="eastAsia" w:ascii="仿宋_GB2312" w:hAnsi="楷体_GB2312" w:eastAsia="仿宋_GB2312"/>
          <w:sz w:val="24"/>
          <w:szCs w:val="24"/>
        </w:rPr>
        <w:t>声明、保证和承诺</w:t>
      </w:r>
      <w:r>
        <w:rPr>
          <w:sz w:val="24"/>
          <w:szCs w:val="24"/>
        </w:rPr>
        <w:tab/>
      </w:r>
      <w:r>
        <w:rPr>
          <w:sz w:val="24"/>
          <w:szCs w:val="24"/>
        </w:rPr>
        <w:fldChar w:fldCharType="begin"/>
      </w:r>
      <w:r>
        <w:rPr>
          <w:sz w:val="24"/>
          <w:szCs w:val="24"/>
        </w:rPr>
        <w:instrText xml:space="preserve"> PAGEREF _Toc257911880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"_Toc257911881" </w:instrText>
      </w:r>
      <w:r>
        <w:fldChar w:fldCharType="separate"/>
      </w:r>
      <w:r>
        <w:rPr>
          <w:rStyle w:val="17"/>
          <w:rFonts w:hint="eastAsia" w:ascii="仿宋_GB2312" w:eastAsia="仿宋_GB2312"/>
          <w:sz w:val="24"/>
          <w:szCs w:val="24"/>
        </w:rPr>
        <w:t>第十二条</w:t>
      </w:r>
      <w:r>
        <w:rPr>
          <w:rStyle w:val="17"/>
          <w:rFonts w:ascii="仿宋_GB2312" w:eastAsia="仿宋_GB2312"/>
          <w:sz w:val="24"/>
          <w:szCs w:val="24"/>
        </w:rPr>
        <w:t xml:space="preserve">  </w:t>
      </w:r>
      <w:r>
        <w:rPr>
          <w:rStyle w:val="17"/>
          <w:rFonts w:hint="eastAsia" w:ascii="仿宋_GB2312" w:eastAsia="仿宋_GB2312"/>
          <w:sz w:val="24"/>
          <w:szCs w:val="24"/>
        </w:rPr>
        <w:t>先决条件</w:t>
      </w:r>
      <w:r>
        <w:rPr>
          <w:sz w:val="24"/>
          <w:szCs w:val="24"/>
        </w:rPr>
        <w:tab/>
      </w:r>
      <w:r>
        <w:rPr>
          <w:sz w:val="24"/>
          <w:szCs w:val="24"/>
        </w:rPr>
        <w:fldChar w:fldCharType="begin"/>
      </w:r>
      <w:r>
        <w:rPr>
          <w:sz w:val="24"/>
          <w:szCs w:val="24"/>
        </w:rPr>
        <w:instrText xml:space="preserve"> PAGEREF _Toc257911881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"_Toc257911882" </w:instrText>
      </w:r>
      <w:r>
        <w:fldChar w:fldCharType="separate"/>
      </w:r>
      <w:r>
        <w:rPr>
          <w:rStyle w:val="17"/>
          <w:rFonts w:hint="eastAsia" w:ascii="仿宋_GB2312" w:hAnsi="楷体_GB2312" w:eastAsia="仿宋_GB2312"/>
          <w:sz w:val="24"/>
          <w:szCs w:val="24"/>
        </w:rPr>
        <w:t>第十三条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重大不利事件</w:t>
      </w:r>
      <w:r>
        <w:rPr>
          <w:sz w:val="24"/>
          <w:szCs w:val="24"/>
        </w:rPr>
        <w:tab/>
      </w:r>
      <w:r>
        <w:rPr>
          <w:sz w:val="24"/>
          <w:szCs w:val="24"/>
        </w:rPr>
        <w:fldChar w:fldCharType="begin"/>
      </w:r>
      <w:r>
        <w:rPr>
          <w:sz w:val="24"/>
          <w:szCs w:val="24"/>
        </w:rPr>
        <w:instrText xml:space="preserve"> PAGEREF _Toc257911882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"_Toc257911883" </w:instrText>
      </w:r>
      <w:r>
        <w:fldChar w:fldCharType="separate"/>
      </w:r>
      <w:r>
        <w:rPr>
          <w:rStyle w:val="17"/>
          <w:rFonts w:hint="eastAsia" w:ascii="仿宋_GB2312" w:hAnsi="楷体_GB2312" w:eastAsia="仿宋_GB2312"/>
          <w:sz w:val="24"/>
          <w:szCs w:val="24"/>
        </w:rPr>
        <w:t>第十四条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违约事件及违约责任</w:t>
      </w:r>
      <w:r>
        <w:rPr>
          <w:sz w:val="24"/>
          <w:szCs w:val="24"/>
        </w:rPr>
        <w:tab/>
      </w:r>
      <w:r>
        <w:rPr>
          <w:sz w:val="24"/>
          <w:szCs w:val="24"/>
        </w:rPr>
        <w:fldChar w:fldCharType="begin"/>
      </w:r>
      <w:r>
        <w:rPr>
          <w:sz w:val="24"/>
          <w:szCs w:val="24"/>
        </w:rPr>
        <w:instrText xml:space="preserve"> PAGEREF _Toc257911883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"_Toc257911884" </w:instrText>
      </w:r>
      <w:r>
        <w:fldChar w:fldCharType="separate"/>
      </w:r>
      <w:r>
        <w:rPr>
          <w:rStyle w:val="17"/>
          <w:rFonts w:hint="eastAsia" w:ascii="仿宋_GB2312" w:hAnsi="楷体_GB2312" w:eastAsia="仿宋_GB2312"/>
          <w:sz w:val="24"/>
          <w:szCs w:val="24"/>
        </w:rPr>
        <w:t>第十五条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不可抗力</w:t>
      </w:r>
      <w:r>
        <w:rPr>
          <w:sz w:val="24"/>
          <w:szCs w:val="24"/>
        </w:rPr>
        <w:tab/>
      </w:r>
      <w:r>
        <w:rPr>
          <w:sz w:val="24"/>
          <w:szCs w:val="24"/>
        </w:rPr>
        <w:fldChar w:fldCharType="begin"/>
      </w:r>
      <w:r>
        <w:rPr>
          <w:sz w:val="24"/>
          <w:szCs w:val="24"/>
        </w:rPr>
        <w:instrText xml:space="preserve"> PAGEREF _Toc257911884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"_Toc257911885" </w:instrText>
      </w:r>
      <w:r>
        <w:fldChar w:fldCharType="separate"/>
      </w:r>
      <w:r>
        <w:rPr>
          <w:rStyle w:val="17"/>
          <w:rFonts w:hint="eastAsia" w:ascii="仿宋_GB2312" w:hAnsi="楷体_GB2312" w:eastAsia="仿宋_GB2312"/>
          <w:sz w:val="24"/>
          <w:szCs w:val="24"/>
        </w:rPr>
        <w:t>第十六条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保密</w:t>
      </w:r>
      <w:r>
        <w:rPr>
          <w:sz w:val="24"/>
          <w:szCs w:val="24"/>
        </w:rPr>
        <w:tab/>
      </w:r>
      <w:r>
        <w:rPr>
          <w:sz w:val="24"/>
          <w:szCs w:val="24"/>
        </w:rPr>
        <w:fldChar w:fldCharType="begin"/>
      </w:r>
      <w:r>
        <w:rPr>
          <w:sz w:val="24"/>
          <w:szCs w:val="24"/>
        </w:rPr>
        <w:instrText xml:space="preserve"> PAGEREF _Toc257911885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"_Toc257911886" </w:instrText>
      </w:r>
      <w:r>
        <w:fldChar w:fldCharType="separate"/>
      </w:r>
      <w:r>
        <w:rPr>
          <w:rStyle w:val="17"/>
          <w:rFonts w:hint="eastAsia" w:ascii="仿宋_GB2312" w:hAnsi="楷体_GB2312" w:eastAsia="仿宋_GB2312"/>
          <w:sz w:val="24"/>
          <w:szCs w:val="24"/>
        </w:rPr>
        <w:t>第十七条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转让</w:t>
      </w:r>
      <w:r>
        <w:rPr>
          <w:sz w:val="24"/>
          <w:szCs w:val="24"/>
        </w:rPr>
        <w:tab/>
      </w:r>
      <w:r>
        <w:rPr>
          <w:sz w:val="24"/>
          <w:szCs w:val="24"/>
        </w:rPr>
        <w:fldChar w:fldCharType="begin"/>
      </w:r>
      <w:r>
        <w:rPr>
          <w:sz w:val="24"/>
          <w:szCs w:val="24"/>
        </w:rPr>
        <w:instrText xml:space="preserve"> PAGEREF _Toc257911886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"_Toc257911887" </w:instrText>
      </w:r>
      <w:r>
        <w:fldChar w:fldCharType="separate"/>
      </w:r>
      <w:r>
        <w:rPr>
          <w:rStyle w:val="17"/>
          <w:rFonts w:hint="eastAsia" w:ascii="仿宋_GB2312" w:hAnsi="楷体_GB2312" w:eastAsia="仿宋_GB2312"/>
          <w:sz w:val="24"/>
          <w:szCs w:val="24"/>
        </w:rPr>
        <w:t>第十八条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不放弃权利</w:t>
      </w:r>
      <w:r>
        <w:rPr>
          <w:sz w:val="24"/>
          <w:szCs w:val="24"/>
        </w:rPr>
        <w:tab/>
      </w:r>
      <w:r>
        <w:rPr>
          <w:sz w:val="24"/>
          <w:szCs w:val="24"/>
        </w:rPr>
        <w:fldChar w:fldCharType="begin"/>
      </w:r>
      <w:r>
        <w:rPr>
          <w:sz w:val="24"/>
          <w:szCs w:val="24"/>
        </w:rPr>
        <w:instrText xml:space="preserve"> PAGEREF _Toc257911887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"_Toc257911888" </w:instrText>
      </w:r>
      <w:r>
        <w:fldChar w:fldCharType="separate"/>
      </w:r>
      <w:r>
        <w:rPr>
          <w:rStyle w:val="17"/>
          <w:rFonts w:hint="eastAsia" w:ascii="仿宋_GB2312" w:hAnsi="楷体_GB2312" w:eastAsia="仿宋_GB2312"/>
          <w:sz w:val="24"/>
          <w:szCs w:val="24"/>
        </w:rPr>
        <w:t>第十九条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通知方式及其生效</w:t>
      </w:r>
      <w:r>
        <w:rPr>
          <w:sz w:val="24"/>
          <w:szCs w:val="24"/>
        </w:rPr>
        <w:tab/>
      </w:r>
      <w:r>
        <w:rPr>
          <w:sz w:val="24"/>
          <w:szCs w:val="24"/>
        </w:rPr>
        <w:fldChar w:fldCharType="begin"/>
      </w:r>
      <w:r>
        <w:rPr>
          <w:sz w:val="24"/>
          <w:szCs w:val="24"/>
        </w:rPr>
        <w:instrText xml:space="preserve"> PAGEREF _Toc257911888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"_Toc257911889" </w:instrText>
      </w:r>
      <w:r>
        <w:fldChar w:fldCharType="separate"/>
      </w:r>
      <w:r>
        <w:rPr>
          <w:rStyle w:val="17"/>
          <w:rFonts w:hint="eastAsia" w:ascii="仿宋_GB2312" w:hAnsi="楷体_GB2312" w:eastAsia="仿宋_GB2312"/>
          <w:sz w:val="24"/>
          <w:szCs w:val="24"/>
        </w:rPr>
        <w:t>第二十条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协议的签署和生效</w:t>
      </w:r>
      <w:r>
        <w:rPr>
          <w:sz w:val="24"/>
          <w:szCs w:val="24"/>
        </w:rPr>
        <w:tab/>
      </w:r>
      <w:r>
        <w:rPr>
          <w:sz w:val="24"/>
          <w:szCs w:val="24"/>
        </w:rPr>
        <w:fldChar w:fldCharType="begin"/>
      </w:r>
      <w:r>
        <w:rPr>
          <w:sz w:val="24"/>
          <w:szCs w:val="24"/>
        </w:rPr>
        <w:instrText xml:space="preserve"> PAGEREF _Toc257911889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"_Toc257911890" </w:instrText>
      </w:r>
      <w:r>
        <w:fldChar w:fldCharType="separate"/>
      </w:r>
      <w:r>
        <w:rPr>
          <w:rStyle w:val="17"/>
          <w:rFonts w:hint="eastAsia" w:ascii="仿宋_GB2312" w:hAnsi="楷体_GB2312" w:eastAsia="仿宋_GB2312"/>
          <w:sz w:val="24"/>
          <w:szCs w:val="24"/>
        </w:rPr>
        <w:t>第二十一条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协议的修改</w:t>
      </w:r>
      <w:r>
        <w:rPr>
          <w:sz w:val="24"/>
          <w:szCs w:val="24"/>
        </w:rPr>
        <w:tab/>
      </w:r>
      <w:r>
        <w:rPr>
          <w:sz w:val="24"/>
          <w:szCs w:val="24"/>
        </w:rPr>
        <w:fldChar w:fldCharType="begin"/>
      </w:r>
      <w:r>
        <w:rPr>
          <w:sz w:val="24"/>
          <w:szCs w:val="24"/>
        </w:rPr>
        <w:instrText xml:space="preserve"> PAGEREF _Toc257911890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"_Toc257911891" </w:instrText>
      </w:r>
      <w:r>
        <w:fldChar w:fldCharType="separate"/>
      </w:r>
      <w:r>
        <w:rPr>
          <w:rStyle w:val="17"/>
          <w:rFonts w:hint="eastAsia" w:ascii="仿宋_GB2312" w:hAnsi="楷体_GB2312" w:eastAsia="仿宋_GB2312"/>
          <w:sz w:val="24"/>
          <w:szCs w:val="24"/>
        </w:rPr>
        <w:t>第二十二条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协议的解除和终止</w:t>
      </w:r>
      <w:r>
        <w:rPr>
          <w:sz w:val="24"/>
          <w:szCs w:val="24"/>
        </w:rPr>
        <w:tab/>
      </w:r>
      <w:r>
        <w:rPr>
          <w:sz w:val="24"/>
          <w:szCs w:val="24"/>
        </w:rPr>
        <w:fldChar w:fldCharType="begin"/>
      </w:r>
      <w:r>
        <w:rPr>
          <w:sz w:val="24"/>
          <w:szCs w:val="24"/>
        </w:rPr>
        <w:instrText xml:space="preserve"> PAGEREF _Toc257911891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"_Toc257911892" </w:instrText>
      </w:r>
      <w:r>
        <w:fldChar w:fldCharType="separate"/>
      </w:r>
      <w:r>
        <w:rPr>
          <w:rStyle w:val="17"/>
          <w:rFonts w:hint="eastAsia" w:ascii="仿宋_GB2312" w:hAnsi="楷体_GB2312" w:eastAsia="仿宋_GB2312"/>
          <w:sz w:val="24"/>
          <w:szCs w:val="24"/>
        </w:rPr>
        <w:t>第二十三条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法律适用及争议的解决</w:t>
      </w:r>
      <w:r>
        <w:rPr>
          <w:sz w:val="24"/>
          <w:szCs w:val="24"/>
        </w:rPr>
        <w:tab/>
      </w:r>
      <w:r>
        <w:rPr>
          <w:sz w:val="24"/>
          <w:szCs w:val="24"/>
        </w:rPr>
        <w:fldChar w:fldCharType="begin"/>
      </w:r>
      <w:r>
        <w:rPr>
          <w:sz w:val="24"/>
          <w:szCs w:val="24"/>
        </w:rPr>
        <w:instrText xml:space="preserve"> PAGEREF _Toc257911892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36"/>
        <w:rPr>
          <w:rFonts w:ascii="Calibri" w:hAnsi="Calibri"/>
          <w:sz w:val="24"/>
          <w:szCs w:val="24"/>
        </w:rPr>
      </w:pPr>
      <w:r>
        <w:fldChar w:fldCharType="begin"/>
      </w:r>
      <w:r>
        <w:instrText xml:space="preserve"> HYPERLINK \l "_Toc257911893" </w:instrText>
      </w:r>
      <w:r>
        <w:fldChar w:fldCharType="separate"/>
      </w:r>
      <w:r>
        <w:rPr>
          <w:rStyle w:val="17"/>
          <w:rFonts w:hint="eastAsia" w:ascii="仿宋_GB2312" w:hAnsi="楷体_GB2312" w:eastAsia="仿宋_GB2312"/>
          <w:sz w:val="24"/>
          <w:szCs w:val="24"/>
        </w:rPr>
        <w:t>第二十四条</w:t>
      </w:r>
      <w:r>
        <w:rPr>
          <w:rStyle w:val="17"/>
          <w:rFonts w:ascii="仿宋_GB2312" w:hAnsi="楷体_GB2312" w:eastAsia="仿宋_GB2312"/>
          <w:sz w:val="24"/>
          <w:szCs w:val="24"/>
        </w:rPr>
        <w:t xml:space="preserve">  </w:t>
      </w:r>
      <w:r>
        <w:rPr>
          <w:rStyle w:val="17"/>
          <w:rFonts w:hint="eastAsia" w:ascii="仿宋_GB2312" w:hAnsi="楷体_GB2312" w:eastAsia="仿宋_GB2312"/>
          <w:sz w:val="24"/>
          <w:szCs w:val="24"/>
        </w:rPr>
        <w:t>附则</w:t>
      </w:r>
      <w:r>
        <w:rPr>
          <w:sz w:val="24"/>
          <w:szCs w:val="24"/>
        </w:rPr>
        <w:tab/>
      </w:r>
      <w:r>
        <w:rPr>
          <w:sz w:val="24"/>
          <w:szCs w:val="24"/>
        </w:rPr>
        <w:fldChar w:fldCharType="begin"/>
      </w:r>
      <w:r>
        <w:rPr>
          <w:sz w:val="24"/>
          <w:szCs w:val="24"/>
        </w:rPr>
        <w:instrText xml:space="preserve"> PAGEREF _Toc257911893 \h </w:instrText>
      </w:r>
      <w:r>
        <w:rPr>
          <w:sz w:val="24"/>
          <w:szCs w:val="24"/>
        </w:rPr>
        <w:fldChar w:fldCharType="separate"/>
      </w:r>
      <w:r>
        <w:rPr>
          <w:sz w:val="24"/>
          <w:szCs w:val="24"/>
        </w:rPr>
        <w:t>33</w:t>
      </w:r>
      <w:r>
        <w:rPr>
          <w:sz w:val="24"/>
          <w:szCs w:val="24"/>
        </w:rPr>
        <w:fldChar w:fldCharType="end"/>
      </w:r>
      <w:r>
        <w:rPr>
          <w:sz w:val="24"/>
          <w:szCs w:val="24"/>
        </w:rPr>
        <w:fldChar w:fldCharType="end"/>
      </w:r>
    </w:p>
    <w:p>
      <w:pPr>
        <w:spacing w:before="156" w:after="156" w:line="360" w:lineRule="auto"/>
        <w:rPr>
          <w:rFonts w:ascii="仿宋_GB2312" w:eastAsia="仿宋_GB2312"/>
          <w:spacing w:val="20"/>
          <w:sz w:val="24"/>
          <w:szCs w:val="24"/>
        </w:rPr>
      </w:pPr>
      <w:r>
        <w:rPr>
          <w:rFonts w:hint="eastAsia" w:ascii="仿宋_GB2312" w:eastAsia="仿宋_GB2312"/>
          <w:spacing w:val="20"/>
          <w:sz w:val="24"/>
          <w:szCs w:val="24"/>
        </w:rPr>
        <w:fldChar w:fldCharType="end"/>
      </w: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b/>
          <w:spacing w:val="20"/>
          <w:sz w:val="24"/>
          <w:szCs w:val="24"/>
        </w:rPr>
      </w:pPr>
    </w:p>
    <w:p>
      <w:pPr>
        <w:pStyle w:val="12"/>
        <w:spacing w:before="156" w:after="156" w:line="360" w:lineRule="auto"/>
        <w:jc w:val="center"/>
        <w:rPr>
          <w:rFonts w:ascii="仿宋_GB2312" w:hAnsi="宋体" w:eastAsia="仿宋_GB2312"/>
          <w:b/>
          <w:sz w:val="30"/>
          <w:szCs w:val="30"/>
        </w:rPr>
      </w:pPr>
      <w:r>
        <w:rPr>
          <w:rFonts w:hint="eastAsia" w:ascii="黑体" w:hAnsi="黑体" w:eastAsia="黑体"/>
          <w:sz w:val="32"/>
          <w:szCs w:val="32"/>
        </w:rPr>
        <w:t>银行间债券市场非金融企业债务融资工具承销协议</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为规范非金融企业债务融资工具承销行为，明确发行方和主承销方的权利义务，维护各方合法权益，根据《中华人民共和国合同法》、《银行间债券市场非金融企业债务融资工具管理办法》等相关法律及交易商协会相关自律规范文件，以下各方在平等、自愿的基础上签署本协议：</w:t>
      </w:r>
    </w:p>
    <w:p>
      <w:pPr>
        <w:pStyle w:val="12"/>
        <w:spacing w:before="156" w:after="156" w:line="360" w:lineRule="auto"/>
        <w:ind w:firstLine="480"/>
        <w:rPr>
          <w:rFonts w:ascii="仿宋_GB2312" w:hAnsi="宋体" w:eastAsia="仿宋_GB2312"/>
          <w:sz w:val="30"/>
          <w:szCs w:val="30"/>
          <w:u w:val="single"/>
        </w:rPr>
      </w:pPr>
      <w:r>
        <w:rPr>
          <w:rFonts w:hint="eastAsia" w:ascii="仿宋_GB2312" w:hAnsi="宋体" w:eastAsia="仿宋_GB2312"/>
          <w:sz w:val="30"/>
          <w:szCs w:val="30"/>
        </w:rPr>
        <w:t>甲方/发行方：</w:t>
      </w:r>
      <w:r>
        <w:rPr>
          <w:rFonts w:hint="eastAsia" w:ascii="仿宋_GB2312" w:hAnsi="宋体" w:eastAsia="仿宋_GB2312"/>
          <w:sz w:val="30"/>
          <w:szCs w:val="30"/>
          <w:u w:val="single"/>
        </w:rPr>
        <w:t>浙江省机场集团有限公司</w:t>
      </w:r>
    </w:p>
    <w:p>
      <w:pPr>
        <w:pStyle w:val="12"/>
        <w:spacing w:before="156" w:after="156" w:line="360" w:lineRule="auto"/>
        <w:ind w:firstLine="480"/>
        <w:rPr>
          <w:rFonts w:ascii="仿宋_GB2312" w:hAnsi="宋体" w:eastAsia="仿宋_GB2312"/>
          <w:sz w:val="30"/>
          <w:szCs w:val="30"/>
          <w:u w:val="single"/>
        </w:rPr>
      </w:pPr>
      <w:r>
        <w:rPr>
          <w:rFonts w:hint="eastAsia" w:eastAsia="仿宋_GB2312" w:cs="仿宋_GB2312"/>
          <w:sz w:val="30"/>
          <w:szCs w:val="30"/>
        </w:rPr>
        <w:t>乙方一</w:t>
      </w:r>
      <w:r>
        <w:rPr>
          <w:rFonts w:hint="eastAsia" w:ascii="仿宋_GB2312" w:hAnsi="宋体" w:eastAsia="仿宋_GB2312"/>
          <w:sz w:val="30"/>
          <w:szCs w:val="30"/>
        </w:rPr>
        <w:t>/主承销方：</w:t>
      </w:r>
      <w:r>
        <w:rPr>
          <w:rFonts w:hint="eastAsia" w:ascii="仿宋_GB2312" w:hAnsi="宋体" w:eastAsia="仿宋_GB2312"/>
          <w:sz w:val="30"/>
          <w:szCs w:val="30"/>
          <w:u w:val="single"/>
        </w:rPr>
        <w:t xml:space="preserve">                     </w:t>
      </w:r>
    </w:p>
    <w:p>
      <w:pPr>
        <w:pStyle w:val="2"/>
        <w:numPr>
          <w:ilvl w:val="0"/>
          <w:numId w:val="3"/>
        </w:numPr>
        <w:spacing w:line="360" w:lineRule="auto"/>
        <w:rPr>
          <w:rFonts w:ascii="仿宋_GB2312" w:eastAsia="仿宋_GB2312"/>
          <w:sz w:val="30"/>
          <w:szCs w:val="30"/>
        </w:rPr>
      </w:pPr>
      <w:bookmarkStart w:id="2" w:name="_Toc257911870"/>
      <w:r>
        <w:rPr>
          <w:rFonts w:hint="eastAsia" w:ascii="仿宋_GB2312" w:eastAsia="仿宋_GB2312"/>
          <w:sz w:val="30"/>
          <w:szCs w:val="30"/>
        </w:rPr>
        <w:t>定义</w:t>
      </w:r>
      <w:bookmarkEnd w:id="2"/>
    </w:p>
    <w:p>
      <w:pPr>
        <w:pStyle w:val="12"/>
        <w:spacing w:before="156" w:after="156" w:line="360" w:lineRule="auto"/>
        <w:rPr>
          <w:rFonts w:ascii="仿宋_GB2312" w:hAnsi="宋体" w:eastAsia="仿宋_GB2312"/>
          <w:sz w:val="30"/>
          <w:szCs w:val="30"/>
        </w:rPr>
      </w:pPr>
      <w:r>
        <w:rPr>
          <w:rFonts w:hint="eastAsia" w:ascii="仿宋_GB2312" w:hAnsi="宋体" w:eastAsia="仿宋_GB2312"/>
          <w:sz w:val="30"/>
          <w:szCs w:val="30"/>
        </w:rPr>
        <w:t>在本协议中，除非文中另有规定，下列词语具有以下含义：</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1.1债务融资工具</w:t>
      </w:r>
      <w:r>
        <w:rPr>
          <w:rFonts w:hint="eastAsia" w:ascii="仿宋_GB2312" w:hAnsi="宋体" w:eastAsia="仿宋_GB2312"/>
          <w:sz w:val="30"/>
          <w:szCs w:val="30"/>
        </w:rPr>
        <w:t>：指按《银行间债券市场非金融企业债务融资工具管理办法》的规定，具有法人资格的非金融企业在银行间债券市场发行的，约定在一定期限内还本付息的有价证券。</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1.2发行方</w:t>
      </w:r>
      <w:r>
        <w:rPr>
          <w:rFonts w:hint="eastAsia" w:ascii="仿宋_GB2312" w:hAnsi="宋体" w:eastAsia="仿宋_GB2312"/>
          <w:sz w:val="30"/>
          <w:szCs w:val="30"/>
        </w:rPr>
        <w:t>：指本协议项下债务融资工具的发行人</w:t>
      </w:r>
      <w:r>
        <w:rPr>
          <w:rFonts w:hint="eastAsia" w:hAnsi="宋体"/>
          <w:sz w:val="30"/>
          <w:szCs w:val="30"/>
        </w:rPr>
        <w:t>/</w:t>
      </w:r>
      <w:r>
        <w:rPr>
          <w:rFonts w:hint="eastAsia" w:ascii="仿宋_GB2312" w:hAnsi="宋体" w:eastAsia="仿宋_GB2312"/>
          <w:sz w:val="30"/>
          <w:szCs w:val="30"/>
        </w:rPr>
        <w:t>联合发行人。</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1.3主承销商：</w:t>
      </w:r>
      <w:r>
        <w:rPr>
          <w:rFonts w:hint="eastAsia" w:ascii="仿宋_GB2312" w:hAnsi="宋体" w:eastAsia="仿宋_GB2312"/>
          <w:sz w:val="30"/>
          <w:szCs w:val="30"/>
        </w:rPr>
        <w:t>指具备债务融资工具主承销资质，并已在本协议中被发行人委任的承销机构。</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1.4主承销方</w:t>
      </w:r>
      <w:r>
        <w:rPr>
          <w:rFonts w:hint="eastAsia" w:ascii="仿宋_GB2312" w:hAnsi="宋体" w:eastAsia="仿宋_GB2312"/>
          <w:sz w:val="30"/>
          <w:szCs w:val="30"/>
        </w:rPr>
        <w:t>：指与发行方签署本协议并接受发行方委任负责承销本协议项下债务融资工具的主承销商和联席主承销商（若有）/副主承销商（若有）。</w:t>
      </w:r>
    </w:p>
    <w:p>
      <w:pPr>
        <w:pStyle w:val="12"/>
        <w:spacing w:after="156" w:line="360" w:lineRule="auto"/>
        <w:rPr>
          <w:rFonts w:ascii="仿宋_GB2312" w:hAnsi="宋体" w:eastAsia="仿宋_GB2312"/>
          <w:sz w:val="30"/>
          <w:szCs w:val="30"/>
        </w:rPr>
      </w:pPr>
      <w:r>
        <w:rPr>
          <w:rFonts w:hint="eastAsia" w:hAnsi="宋体"/>
          <w:b/>
          <w:sz w:val="30"/>
          <w:szCs w:val="30"/>
        </w:rPr>
        <w:t>1.5</w:t>
      </w:r>
      <w:r>
        <w:rPr>
          <w:rFonts w:hint="eastAsia" w:ascii="仿宋_GB2312" w:hAnsi="宋体" w:eastAsia="仿宋_GB2312"/>
          <w:b/>
          <w:sz w:val="30"/>
          <w:szCs w:val="30"/>
        </w:rPr>
        <w:t>簿记管理人：</w:t>
      </w:r>
      <w:r>
        <w:rPr>
          <w:rFonts w:hint="eastAsia" w:ascii="仿宋_GB2312" w:hAnsi="宋体" w:eastAsia="仿宋_GB2312"/>
          <w:sz w:val="30"/>
          <w:szCs w:val="30"/>
        </w:rPr>
        <w:t>指根据本协议受发行人委托</w:t>
      </w:r>
      <w:r>
        <w:rPr>
          <w:rFonts w:ascii="仿宋_GB2312" w:hAnsi="宋体" w:eastAsia="仿宋_GB2312"/>
          <w:sz w:val="30"/>
          <w:szCs w:val="30"/>
        </w:rPr>
        <w:t>负责簿记建档具体运作的主承销商</w:t>
      </w:r>
      <w:r>
        <w:rPr>
          <w:rFonts w:hint="eastAsia" w:ascii="仿宋_GB2312" w:hAnsi="宋体" w:eastAsia="仿宋_GB2312"/>
          <w:sz w:val="30"/>
          <w:szCs w:val="30"/>
        </w:rPr>
        <w:t>。</w:t>
      </w:r>
    </w:p>
    <w:p>
      <w:pPr>
        <w:spacing w:before="156" w:after="156" w:line="360" w:lineRule="auto"/>
        <w:rPr>
          <w:rFonts w:ascii="仿宋_GB2312" w:eastAsia="仿宋_GB2312"/>
          <w:sz w:val="30"/>
          <w:szCs w:val="30"/>
        </w:rPr>
      </w:pPr>
      <w:r>
        <w:rPr>
          <w:rFonts w:hint="eastAsia" w:ascii="仿宋_GB2312" w:hAnsi="宋体" w:eastAsia="仿宋_GB2312"/>
          <w:b/>
          <w:sz w:val="30"/>
          <w:szCs w:val="30"/>
        </w:rPr>
        <w:t>1.6承销团</w:t>
      </w:r>
      <w:r>
        <w:rPr>
          <w:rFonts w:hint="eastAsia" w:ascii="仿宋_GB2312" w:eastAsia="仿宋_GB2312"/>
          <w:sz w:val="30"/>
          <w:szCs w:val="30"/>
        </w:rPr>
        <w:t>：</w:t>
      </w:r>
      <w:r>
        <w:rPr>
          <w:rFonts w:hint="eastAsia" w:ascii="仿宋_GB2312" w:hAnsi="宋体" w:eastAsia="仿宋_GB2312"/>
          <w:sz w:val="30"/>
          <w:szCs w:val="30"/>
        </w:rPr>
        <w:t>指主承销方为发行本协议项下某期债务融资工具而与其他承销商组成的债务融资工具承销团队。</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1.7承销团协议</w:t>
      </w:r>
      <w:r>
        <w:rPr>
          <w:rFonts w:hint="eastAsia" w:ascii="仿宋_GB2312" w:hAnsi="宋体" w:eastAsia="仿宋_GB2312"/>
          <w:sz w:val="30"/>
          <w:szCs w:val="30"/>
        </w:rPr>
        <w:t>：指主承销方为与其他承销商共同承销本协议项下某期债务融资工具而签署的用于明确各方在承销活动中的相关权利、义务、责任和工作安排等内容的书面协议。</w:t>
      </w:r>
    </w:p>
    <w:p>
      <w:pPr>
        <w:spacing w:before="156" w:after="156" w:line="360" w:lineRule="auto"/>
        <w:rPr>
          <w:rFonts w:ascii="仿宋_GB2312" w:eastAsia="仿宋_GB2312"/>
          <w:sz w:val="30"/>
          <w:szCs w:val="30"/>
        </w:rPr>
      </w:pPr>
      <w:r>
        <w:rPr>
          <w:rFonts w:hint="eastAsia" w:ascii="仿宋_GB2312" w:hAnsi="宋体" w:eastAsia="仿宋_GB2312"/>
          <w:b/>
          <w:sz w:val="30"/>
          <w:szCs w:val="30"/>
        </w:rPr>
        <w:t>1.8交易商协会</w:t>
      </w:r>
      <w:r>
        <w:rPr>
          <w:rFonts w:hint="eastAsia" w:ascii="仿宋_GB2312" w:eastAsia="仿宋_GB2312"/>
          <w:sz w:val="30"/>
          <w:szCs w:val="30"/>
        </w:rPr>
        <w:t>：指中国银行间市场交易商协会。</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1.9注册金额</w:t>
      </w:r>
      <w:r>
        <w:rPr>
          <w:rFonts w:hint="eastAsia" w:ascii="仿宋_GB2312" w:hAnsi="宋体" w:eastAsia="仿宋_GB2312"/>
          <w:sz w:val="30"/>
          <w:szCs w:val="30"/>
        </w:rPr>
        <w:t>：指本协议项下的，经交易商协会注册的债务融资工具金额，该金额在交易商协会《接受注册通知书》中确定。</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1.10注册有效期</w:t>
      </w:r>
      <w:r>
        <w:rPr>
          <w:rFonts w:hint="eastAsia" w:ascii="仿宋_GB2312" w:eastAsia="仿宋_GB2312"/>
          <w:sz w:val="30"/>
          <w:szCs w:val="30"/>
        </w:rPr>
        <w:t>：</w:t>
      </w:r>
      <w:r>
        <w:rPr>
          <w:rFonts w:hint="eastAsia" w:ascii="仿宋_GB2312" w:hAnsi="宋体" w:eastAsia="仿宋_GB2312"/>
          <w:sz w:val="30"/>
          <w:szCs w:val="30"/>
        </w:rPr>
        <w:t>指交易商协会《接受注册通知书》中核定的债务融资工具注册金额有效期。</w:t>
      </w:r>
    </w:p>
    <w:p>
      <w:pPr>
        <w:spacing w:before="156" w:after="156" w:line="360" w:lineRule="auto"/>
        <w:rPr>
          <w:rFonts w:ascii="仿宋_GB2312" w:hAnsi="宋体" w:eastAsia="仿宋_GB2312"/>
          <w:sz w:val="30"/>
          <w:szCs w:val="30"/>
        </w:rPr>
      </w:pPr>
      <w:r>
        <w:rPr>
          <w:rFonts w:ascii="仿宋_GB2312" w:hAnsi="宋体" w:eastAsia="仿宋_GB2312"/>
          <w:b/>
          <w:sz w:val="30"/>
          <w:szCs w:val="30"/>
        </w:rPr>
        <w:t>1.1</w:t>
      </w:r>
      <w:r>
        <w:rPr>
          <w:rFonts w:hint="eastAsia" w:ascii="仿宋_GB2312" w:hAnsi="宋体" w:eastAsia="仿宋_GB2312"/>
          <w:b/>
          <w:sz w:val="30"/>
          <w:szCs w:val="30"/>
        </w:rPr>
        <w:t>1发行方案：</w:t>
      </w:r>
      <w:r>
        <w:rPr>
          <w:rFonts w:hint="eastAsia" w:ascii="仿宋_GB2312" w:hAnsi="宋体" w:eastAsia="仿宋_GB2312"/>
          <w:sz w:val="30"/>
          <w:szCs w:val="30"/>
        </w:rPr>
        <w:t>指采用簿记建档方式发行债务融资工具时，发行人及主承销商依据《银行间债券市场非金融企业债务融资工具管理办法》及交易商协会相关自律规范文件而制定，对簿记建档各项操作做出具体安排，并作为发行文件组成部分向市场公开披露的说明文件。</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1.12发行公告：</w:t>
      </w:r>
      <w:r>
        <w:rPr>
          <w:rFonts w:hint="eastAsia" w:ascii="仿宋_GB2312" w:hAnsi="宋体" w:eastAsia="仿宋_GB2312"/>
          <w:sz w:val="30"/>
          <w:szCs w:val="30"/>
        </w:rPr>
        <w:t>指发行方根据《银行间债券市场非金融企业债务融资工具管理办法》及交易商协会相关自律规范文件，为发行本协议项下某期债务融资工具而制作的债务融资工具发行公告。</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1.13募集说明书</w:t>
      </w:r>
      <w:r>
        <w:rPr>
          <w:rFonts w:hint="eastAsia" w:ascii="仿宋_GB2312" w:hAnsi="宋体" w:eastAsia="仿宋_GB2312"/>
          <w:sz w:val="30"/>
          <w:szCs w:val="30"/>
        </w:rPr>
        <w:t>：指发行方根据《银行间债券市场非金融企业债务融资工具管理办法》及交易商协会相关自律规范文件，为本协议项下某期债务融资工具的发行而制作，并在发行文件中披露的说明文件。</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1.14</w:t>
      </w:r>
      <w:r>
        <w:rPr>
          <w:rFonts w:ascii="仿宋_GB2312" w:hAnsi="宋体" w:eastAsia="仿宋_GB2312"/>
          <w:b/>
          <w:sz w:val="30"/>
          <w:szCs w:val="30"/>
        </w:rPr>
        <w:t>簿记建档</w:t>
      </w:r>
      <w:r>
        <w:rPr>
          <w:rFonts w:hint="eastAsia" w:ascii="仿宋_GB2312" w:hAnsi="宋体" w:eastAsia="仿宋_GB2312"/>
          <w:b/>
          <w:sz w:val="30"/>
          <w:szCs w:val="30"/>
        </w:rPr>
        <w:t>：</w:t>
      </w:r>
      <w:r>
        <w:rPr>
          <w:rFonts w:hint="eastAsia" w:ascii="仿宋_GB2312" w:hAnsi="宋体" w:eastAsia="仿宋_GB2312"/>
          <w:sz w:val="30"/>
          <w:szCs w:val="30"/>
        </w:rPr>
        <w:t>指发行人和主承销方协商确定利率/价格区间后，承销团成员/投资人发出申购定单，由簿记管理人记录承销团成员/投资人认购债务融资工具利率/价格及数量意愿，</w:t>
      </w:r>
      <w:r>
        <w:rPr>
          <w:rFonts w:hint="eastAsia" w:ascii="仿宋_GB2312" w:hAnsi="仿宋_GB2312" w:eastAsia="仿宋_GB2312"/>
          <w:sz w:val="30"/>
        </w:rPr>
        <w:t>按约定的定价和配售方式确定最终发行利率/价格</w:t>
      </w:r>
      <w:r>
        <w:rPr>
          <w:rFonts w:ascii="仿宋_GB2312" w:hAnsi="仿宋_GB2312" w:eastAsia="仿宋_GB2312"/>
          <w:sz w:val="30"/>
        </w:rPr>
        <w:t>并进行配售的行为</w:t>
      </w:r>
      <w:r>
        <w:rPr>
          <w:rFonts w:ascii="仿宋_GB2312" w:hAnsi="宋体" w:eastAsia="仿宋_GB2312"/>
          <w:sz w:val="30"/>
          <w:szCs w:val="30"/>
        </w:rPr>
        <w:t>。</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1.15余额包销：</w:t>
      </w:r>
      <w:r>
        <w:rPr>
          <w:rFonts w:hint="eastAsia" w:ascii="仿宋_GB2312" w:hAnsi="宋体" w:eastAsia="仿宋_GB2312"/>
          <w:sz w:val="30"/>
          <w:szCs w:val="30"/>
        </w:rPr>
        <w:t>指主承销方在募集说明书载明的缴款日，按发行利率/价格将本方包销额度比例内未售出的债务融资工具全部自行购入的承销方式。</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1.16工作日：</w:t>
      </w:r>
      <w:r>
        <w:rPr>
          <w:rFonts w:hint="eastAsia" w:ascii="仿宋_GB2312" w:hAnsi="宋体" w:eastAsia="仿宋_GB2312"/>
          <w:sz w:val="30"/>
          <w:szCs w:val="30"/>
        </w:rPr>
        <w:t>指北京市的商业银行对公营业日。</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1.17公告日：</w:t>
      </w:r>
      <w:r>
        <w:rPr>
          <w:rFonts w:hint="eastAsia" w:ascii="仿宋_GB2312" w:hAnsi="宋体" w:eastAsia="仿宋_GB2312"/>
          <w:sz w:val="30"/>
          <w:szCs w:val="30"/>
        </w:rPr>
        <w:t>指刊登发行方案、发行公告、募集说明书等文件之日。</w:t>
      </w:r>
    </w:p>
    <w:p>
      <w:pPr>
        <w:spacing w:before="156" w:after="156" w:line="360" w:lineRule="auto"/>
        <w:rPr>
          <w:rFonts w:ascii="仿宋_GB2312" w:eastAsia="仿宋_GB2312"/>
          <w:sz w:val="30"/>
          <w:szCs w:val="30"/>
        </w:rPr>
      </w:pPr>
      <w:r>
        <w:rPr>
          <w:rFonts w:hint="eastAsia" w:ascii="仿宋_GB2312" w:eastAsia="仿宋_GB2312"/>
          <w:b/>
          <w:sz w:val="30"/>
          <w:szCs w:val="30"/>
        </w:rPr>
        <w:t>1.18 发行日：</w:t>
      </w:r>
      <w:r>
        <w:rPr>
          <w:rFonts w:hint="eastAsia" w:ascii="仿宋_GB2312" w:eastAsia="仿宋_GB2312"/>
          <w:sz w:val="30"/>
          <w:szCs w:val="30"/>
        </w:rPr>
        <w:t>指</w:t>
      </w:r>
      <w:r>
        <w:rPr>
          <w:rFonts w:hint="eastAsia" w:ascii="仿宋_GB2312" w:hAnsi="宋体" w:eastAsia="仿宋_GB2312"/>
          <w:sz w:val="30"/>
          <w:szCs w:val="30"/>
        </w:rPr>
        <w:t>募集说明书确定</w:t>
      </w:r>
      <w:r>
        <w:rPr>
          <w:rFonts w:hint="eastAsia" w:ascii="仿宋_GB2312" w:eastAsia="仿宋_GB2312"/>
          <w:sz w:val="30"/>
          <w:szCs w:val="30"/>
        </w:rPr>
        <w:t>的发行日。</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1.19缴款日：</w:t>
      </w:r>
      <w:r>
        <w:rPr>
          <w:rFonts w:hint="eastAsia" w:ascii="仿宋_GB2312" w:hAnsi="宋体" w:eastAsia="仿宋_GB2312"/>
          <w:sz w:val="30"/>
          <w:szCs w:val="30"/>
        </w:rPr>
        <w:t>指募集说明书确定的缴款日</w:t>
      </w:r>
      <w:r>
        <w:rPr>
          <w:rFonts w:hint="eastAsia" w:ascii="仿宋_GB2312" w:eastAsia="仿宋_GB2312"/>
          <w:sz w:val="30"/>
          <w:szCs w:val="30"/>
        </w:rPr>
        <w:t>。</w:t>
      </w:r>
    </w:p>
    <w:p>
      <w:pPr>
        <w:spacing w:before="156" w:after="156" w:line="360" w:lineRule="auto"/>
        <w:rPr>
          <w:rFonts w:ascii="仿宋_GB2312" w:eastAsia="仿宋_GB2312"/>
          <w:sz w:val="30"/>
          <w:szCs w:val="30"/>
        </w:rPr>
      </w:pPr>
      <w:r>
        <w:rPr>
          <w:rFonts w:hint="eastAsia" w:ascii="仿宋_GB2312" w:eastAsia="仿宋_GB2312"/>
          <w:b/>
          <w:sz w:val="30"/>
          <w:szCs w:val="30"/>
        </w:rPr>
        <w:t>1.20中国法律/法律：</w:t>
      </w:r>
      <w:r>
        <w:rPr>
          <w:rFonts w:hint="eastAsia" w:ascii="仿宋_GB2312" w:eastAsia="仿宋_GB2312"/>
          <w:sz w:val="30"/>
          <w:szCs w:val="30"/>
        </w:rPr>
        <w:t>在中华人民共和国（为本协议之目的，在此不包括香港特别行政区、澳门特别行政区及台湾地区）境内有效实施的法律、法规、规章，以及具有立法、司法、行政管理权限或职能的机构依法发布的具有普遍约束力的规范性文件。</w:t>
      </w:r>
    </w:p>
    <w:p>
      <w:pPr>
        <w:pStyle w:val="2"/>
        <w:numPr>
          <w:ilvl w:val="0"/>
          <w:numId w:val="3"/>
        </w:numPr>
        <w:spacing w:line="360" w:lineRule="auto"/>
        <w:rPr>
          <w:rFonts w:ascii="仿宋_GB2312" w:eastAsia="仿宋_GB2312"/>
          <w:sz w:val="30"/>
          <w:szCs w:val="30"/>
        </w:rPr>
      </w:pPr>
      <w:bookmarkStart w:id="3" w:name="_Toc257911871"/>
      <w:r>
        <w:rPr>
          <w:rFonts w:hint="eastAsia" w:ascii="仿宋_GB2312" w:eastAsia="仿宋_GB2312"/>
          <w:sz w:val="30"/>
          <w:szCs w:val="30"/>
        </w:rPr>
        <w:t>协议的构成与效力等级</w:t>
      </w:r>
      <w:bookmarkEnd w:id="3"/>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 xml:space="preserve">2.1 </w:t>
      </w:r>
      <w:r>
        <w:rPr>
          <w:rFonts w:hint="eastAsia" w:ascii="仿宋_GB2312" w:hAnsi="宋体" w:eastAsia="仿宋_GB2312"/>
          <w:sz w:val="30"/>
          <w:szCs w:val="30"/>
        </w:rPr>
        <w:t>本协议由以下部分构成：</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w:t>
      </w:r>
      <w:r>
        <w:rPr>
          <w:rFonts w:hint="eastAsia" w:ascii="仿宋_GB2312" w:hAnsi="宋体" w:eastAsia="仿宋_GB2312"/>
          <w:sz w:val="30"/>
          <w:szCs w:val="30"/>
        </w:rPr>
        <w:t>《银行间债券市场非金融企业债务融资工具承销协议（2013版）》（简称“承销协议”）；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2.1.2</w:t>
      </w:r>
      <w:r>
        <w:rPr>
          <w:rFonts w:hint="eastAsia" w:ascii="仿宋_GB2312" w:hAnsi="宋体" w:eastAsia="仿宋_GB2312"/>
          <w:sz w:val="30"/>
          <w:szCs w:val="30"/>
        </w:rPr>
        <w:t>《银行间债券市场非金融企业债务融资工具承销协议补充协议（2013版）》（简称“补充协议”，若有）；</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2.2</w:t>
      </w:r>
      <w:r>
        <w:rPr>
          <w:rFonts w:hint="eastAsia" w:ascii="仿宋_GB2312" w:hAnsi="宋体" w:eastAsia="仿宋_GB2312"/>
          <w:sz w:val="30"/>
          <w:szCs w:val="30"/>
        </w:rPr>
        <w:t>上述文件构成协议各方之间单一和完整的协议。（简称“本协议”）。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2.3</w:t>
      </w:r>
      <w:r>
        <w:rPr>
          <w:rFonts w:hint="eastAsia" w:ascii="仿宋_GB2312" w:hAnsi="宋体" w:eastAsia="仿宋_GB2312"/>
          <w:sz w:val="30"/>
          <w:szCs w:val="30"/>
        </w:rPr>
        <w:t xml:space="preserve"> 补充协议（若有）与承销协议不一致的，补充协议有优先效力。</w:t>
      </w:r>
    </w:p>
    <w:p>
      <w:pPr>
        <w:pStyle w:val="2"/>
        <w:numPr>
          <w:ilvl w:val="0"/>
          <w:numId w:val="3"/>
        </w:numPr>
        <w:spacing w:line="360" w:lineRule="auto"/>
        <w:rPr>
          <w:rFonts w:ascii="仿宋_GB2312" w:eastAsia="仿宋_GB2312"/>
          <w:sz w:val="30"/>
          <w:szCs w:val="30"/>
        </w:rPr>
      </w:pPr>
      <w:bookmarkStart w:id="4" w:name="_Toc257911872"/>
      <w:r>
        <w:rPr>
          <w:rFonts w:hint="eastAsia" w:ascii="仿宋_GB2312" w:eastAsia="仿宋_GB2312"/>
          <w:sz w:val="30"/>
          <w:szCs w:val="30"/>
        </w:rPr>
        <w:t>对承销方的委任</w:t>
      </w:r>
      <w:bookmarkEnd w:id="4"/>
    </w:p>
    <w:p>
      <w:pPr>
        <w:pStyle w:val="12"/>
        <w:widowControl/>
        <w:spacing w:before="156" w:after="156" w:line="312" w:lineRule="auto"/>
        <w:rPr>
          <w:rFonts w:eastAsia="仿宋_GB2312"/>
          <w:sz w:val="30"/>
          <w:szCs w:val="30"/>
        </w:rPr>
      </w:pPr>
      <w:r>
        <w:rPr>
          <w:rFonts w:eastAsia="仿宋_GB2312"/>
          <w:b/>
          <w:sz w:val="30"/>
          <w:szCs w:val="30"/>
        </w:rPr>
        <w:t>3.1</w:t>
      </w:r>
      <w:r>
        <w:rPr>
          <w:rFonts w:hint="eastAsia" w:eastAsia="仿宋_GB2312" w:cs="仿宋_GB2312"/>
          <w:sz w:val="30"/>
          <w:szCs w:val="30"/>
        </w:rPr>
        <w:t>发行方委任乙方作为本协议项下超短期融资券发行的主承销团。</w:t>
      </w:r>
    </w:p>
    <w:p>
      <w:pPr>
        <w:pStyle w:val="12"/>
        <w:widowControl/>
        <w:spacing w:before="156" w:after="156" w:line="312" w:lineRule="auto"/>
        <w:ind w:firstLine="600" w:firstLineChars="200"/>
        <w:rPr>
          <w:rFonts w:eastAsia="仿宋_GB2312"/>
          <w:sz w:val="30"/>
          <w:szCs w:val="30"/>
        </w:rPr>
      </w:pPr>
      <w:r>
        <w:rPr>
          <w:rFonts w:hint="eastAsia" w:eastAsia="仿宋_GB2312" w:cs="仿宋_GB2312"/>
          <w:sz w:val="30"/>
          <w:szCs w:val="30"/>
        </w:rPr>
        <w:t>发行方将在各期承销协议委任主承销团中</w:t>
      </w:r>
      <w:r>
        <w:rPr>
          <w:rFonts w:eastAsia="仿宋_GB2312"/>
          <w:sz w:val="30"/>
          <w:szCs w:val="30"/>
        </w:rPr>
        <w:t>1</w:t>
      </w:r>
      <w:r>
        <w:rPr>
          <w:rFonts w:hint="eastAsia" w:eastAsia="仿宋_GB2312" w:cs="仿宋_GB2312"/>
          <w:sz w:val="30"/>
          <w:szCs w:val="30"/>
        </w:rPr>
        <w:t>至</w:t>
      </w:r>
      <w:r>
        <w:rPr>
          <w:rFonts w:eastAsia="仿宋_GB2312"/>
          <w:sz w:val="30"/>
          <w:szCs w:val="30"/>
        </w:rPr>
        <w:t>2</w:t>
      </w:r>
      <w:r>
        <w:rPr>
          <w:rFonts w:hint="eastAsia" w:eastAsia="仿宋_GB2312" w:cs="仿宋_GB2312"/>
          <w:sz w:val="30"/>
          <w:szCs w:val="30"/>
        </w:rPr>
        <w:t>名主承销商作为本协议项下各期超短期融资券的主承销方。</w:t>
      </w:r>
    </w:p>
    <w:p>
      <w:pPr>
        <w:pStyle w:val="12"/>
        <w:widowControl/>
        <w:spacing w:before="156" w:after="156" w:line="312" w:lineRule="auto"/>
        <w:ind w:firstLine="588" w:firstLineChars="196"/>
        <w:rPr>
          <w:rFonts w:eastAsia="仿宋_GB2312"/>
          <w:sz w:val="30"/>
          <w:szCs w:val="30"/>
        </w:rPr>
      </w:pPr>
      <w:r>
        <w:rPr>
          <w:rFonts w:hint="eastAsia" w:eastAsia="仿宋_GB2312" w:cs="仿宋_GB2312"/>
          <w:sz w:val="30"/>
          <w:szCs w:val="30"/>
        </w:rPr>
        <w:t>主承销方同意接受发行方委任，按照本协议的约定协助发行方进行债务融资工具的注册</w:t>
      </w:r>
      <w:r>
        <w:rPr>
          <w:rFonts w:eastAsia="仿宋_GB2312"/>
          <w:sz w:val="30"/>
          <w:szCs w:val="30"/>
        </w:rPr>
        <w:t>/</w:t>
      </w:r>
      <w:r>
        <w:rPr>
          <w:rFonts w:hint="eastAsia" w:eastAsia="仿宋_GB2312" w:cs="仿宋_GB2312"/>
          <w:sz w:val="30"/>
          <w:szCs w:val="30"/>
        </w:rPr>
        <w:t>备案、销售及后续管理等工作。</w:t>
      </w:r>
    </w:p>
    <w:p>
      <w:pPr>
        <w:pStyle w:val="12"/>
        <w:widowControl/>
        <w:spacing w:before="156" w:after="156" w:line="312" w:lineRule="auto"/>
        <w:rPr>
          <w:rFonts w:eastAsia="仿宋_GB2312"/>
          <w:sz w:val="30"/>
          <w:szCs w:val="30"/>
        </w:rPr>
      </w:pPr>
      <w:r>
        <w:rPr>
          <w:rFonts w:eastAsia="仿宋_GB2312"/>
          <w:b/>
          <w:sz w:val="30"/>
          <w:szCs w:val="30"/>
        </w:rPr>
        <w:t>3.2</w:t>
      </w:r>
      <w:r>
        <w:rPr>
          <w:rFonts w:hint="eastAsia" w:eastAsia="仿宋_GB2312" w:cs="仿宋_GB2312"/>
          <w:color w:val="000000"/>
          <w:sz w:val="30"/>
          <w:szCs w:val="30"/>
        </w:rPr>
        <w:t>发行方及各主承销方特此确认，本协议中主承销团的委任仅代表</w:t>
      </w:r>
      <w:r>
        <w:rPr>
          <w:rFonts w:hint="eastAsia" w:eastAsia="仿宋_GB2312" w:cs="仿宋_GB2312"/>
          <w:sz w:val="30"/>
          <w:szCs w:val="30"/>
        </w:rPr>
        <w:t>乙方</w:t>
      </w:r>
      <w:r>
        <w:rPr>
          <w:rFonts w:hint="eastAsia" w:eastAsia="仿宋_GB2312" w:cs="仿宋_GB2312"/>
          <w:color w:val="000000"/>
          <w:sz w:val="30"/>
          <w:szCs w:val="30"/>
        </w:rPr>
        <w:t>有资格担任本协议项下超短期融资券的主承销方；每一主承销商是否能够实际获任成为各期超短期融资券的主承销方，以及每一主承销商实际承销的超短期融资券的额度均由发行方在各期超短期融资券发行前根据市场及各主承销商的实际承销能力等因素综合确定；本协议主承销团的委任并不当然构成发行方对每一主承销商均会安排具体承销任务或承销额度的承诺。</w:t>
      </w:r>
    </w:p>
    <w:p>
      <w:pPr>
        <w:pStyle w:val="12"/>
        <w:widowControl/>
        <w:spacing w:before="156" w:after="156" w:line="312" w:lineRule="auto"/>
        <w:rPr>
          <w:rFonts w:eastAsia="仿宋_GB2312"/>
          <w:sz w:val="30"/>
          <w:szCs w:val="30"/>
        </w:rPr>
      </w:pPr>
      <w:r>
        <w:rPr>
          <w:rFonts w:eastAsia="仿宋_GB2312"/>
          <w:b/>
          <w:sz w:val="30"/>
          <w:szCs w:val="30"/>
        </w:rPr>
        <w:t>3.3</w:t>
      </w:r>
      <w:r>
        <w:rPr>
          <w:rFonts w:hint="eastAsia" w:eastAsia="仿宋_GB2312" w:cs="仿宋_GB2312"/>
          <w:sz w:val="30"/>
          <w:szCs w:val="30"/>
        </w:rPr>
        <w:t>簿记建档的配售结果及最终发行利率由主承销方根据《发行方案》的约定确定。</w:t>
      </w:r>
    </w:p>
    <w:p>
      <w:pPr>
        <w:pStyle w:val="12"/>
        <w:widowControl/>
        <w:spacing w:before="156" w:after="156" w:line="312" w:lineRule="auto"/>
        <w:rPr>
          <w:rFonts w:ascii="仿宋_GB2312" w:eastAsia="仿宋_GB2312"/>
          <w:sz w:val="30"/>
          <w:szCs w:val="30"/>
        </w:rPr>
      </w:pPr>
      <w:r>
        <w:rPr>
          <w:rFonts w:eastAsia="仿宋_GB2312"/>
          <w:b/>
          <w:sz w:val="30"/>
          <w:szCs w:val="30"/>
        </w:rPr>
        <w:t>3.4</w:t>
      </w:r>
      <w:r>
        <w:rPr>
          <w:rFonts w:hint="eastAsia" w:eastAsia="仿宋_GB2312" w:cs="仿宋_GB2312"/>
          <w:sz w:val="30"/>
          <w:szCs w:val="30"/>
        </w:rPr>
        <w:t>发行方将在各期承销协议中委任当期超短期融资券发行的主承销商及簿记管理人。</w:t>
      </w:r>
    </w:p>
    <w:p>
      <w:pPr>
        <w:pStyle w:val="2"/>
        <w:numPr>
          <w:ilvl w:val="0"/>
          <w:numId w:val="3"/>
        </w:numPr>
        <w:spacing w:line="360" w:lineRule="auto"/>
        <w:rPr>
          <w:rFonts w:ascii="仿宋_GB2312" w:hAnsi="楷体_GB2312" w:eastAsia="仿宋_GB2312"/>
          <w:sz w:val="30"/>
          <w:szCs w:val="30"/>
        </w:rPr>
      </w:pPr>
      <w:bookmarkStart w:id="5" w:name="_Toc237232400"/>
      <w:bookmarkEnd w:id="5"/>
      <w:bookmarkStart w:id="6" w:name="_Toc237232401"/>
      <w:bookmarkEnd w:id="6"/>
      <w:bookmarkStart w:id="7" w:name="_Toc257911873"/>
      <w:r>
        <w:rPr>
          <w:rFonts w:hint="eastAsia" w:ascii="仿宋_GB2312" w:hAnsi="楷体_GB2312" w:eastAsia="仿宋_GB2312"/>
          <w:sz w:val="30"/>
          <w:szCs w:val="30"/>
        </w:rPr>
        <w:t>债务融资工具的发行</w:t>
      </w:r>
      <w:bookmarkEnd w:id="7"/>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4.1</w:t>
      </w:r>
      <w:r>
        <w:rPr>
          <w:rFonts w:hint="eastAsia" w:ascii="仿宋_GB2312" w:hAnsi="宋体" w:eastAsia="仿宋_GB2312"/>
          <w:sz w:val="30"/>
          <w:szCs w:val="30"/>
        </w:rPr>
        <w:t>发行方按照本协议的约定向交易商协会申请注册总额不超过人民币/美元/其他请填写</w:t>
      </w:r>
      <w:r>
        <w:rPr>
          <w:rFonts w:hint="eastAsia" w:ascii="仿宋_GB2312" w:hAnsi="宋体" w:eastAsia="仿宋_GB2312"/>
          <w:sz w:val="30"/>
          <w:szCs w:val="30"/>
          <w:u w:val="single"/>
        </w:rPr>
        <w:t xml:space="preserve"> 20 </w:t>
      </w:r>
      <w:r>
        <w:rPr>
          <w:rFonts w:hint="eastAsia" w:ascii="仿宋_GB2312" w:hAnsi="宋体" w:eastAsia="仿宋_GB2312"/>
          <w:sz w:val="30"/>
          <w:szCs w:val="30"/>
        </w:rPr>
        <w:t>[ 贰拾]亿元的债务融资工具，并在交易商协会《接受注册通知书》确定的注册金额限额内按照交易商协会相关自律规范文件发行债务融资工具。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4.2</w:t>
      </w:r>
      <w:r>
        <w:rPr>
          <w:rFonts w:hint="eastAsia" w:ascii="仿宋_GB2312" w:hAnsi="宋体" w:eastAsia="仿宋_GB2312"/>
          <w:sz w:val="30"/>
          <w:szCs w:val="30"/>
        </w:rPr>
        <w:t>发行方有权根据法律及交易商协会相关自律规范文件自主决定向交易商协会申请注册的债务融资工具金额。</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4.3</w:t>
      </w:r>
      <w:r>
        <w:rPr>
          <w:rFonts w:hint="eastAsia" w:ascii="仿宋_GB2312" w:hAnsi="宋体" w:eastAsia="仿宋_GB2312"/>
          <w:sz w:val="30"/>
          <w:szCs w:val="30"/>
        </w:rPr>
        <w:t>发行方有权在交易商协会《接受注册通知书》确定的注册金额限额内与主承销方协商确定债务融资工具发行期数以及每期发行的期限、金额、利率/价格区间等发行条款。</w:t>
      </w:r>
    </w:p>
    <w:p>
      <w:pPr>
        <w:pStyle w:val="12"/>
        <w:spacing w:before="156" w:after="156" w:line="360" w:lineRule="auto"/>
        <w:rPr>
          <w:rFonts w:ascii="仿宋_GB2312" w:hAnsi="宋体" w:eastAsia="仿宋_GB2312"/>
          <w:b/>
          <w:sz w:val="30"/>
          <w:szCs w:val="30"/>
        </w:rPr>
      </w:pPr>
      <w:r>
        <w:rPr>
          <w:rFonts w:hint="eastAsia" w:ascii="仿宋_GB2312" w:hAnsi="宋体" w:eastAsia="仿宋_GB2312"/>
          <w:b/>
          <w:sz w:val="30"/>
          <w:szCs w:val="30"/>
        </w:rPr>
        <w:t>4.4</w:t>
      </w:r>
      <w:r>
        <w:rPr>
          <w:rFonts w:hint="eastAsia" w:ascii="仿宋_GB2312" w:hAnsi="宋体" w:eastAsia="仿宋_GB2312"/>
          <w:sz w:val="30"/>
          <w:szCs w:val="30"/>
        </w:rPr>
        <w:t>本协议生效后，发行方有权决定是否向交易商协会提交债务融资工具注册申请，以及在取得交易商协会的发行注册通知后是否实际发行债务融资工具。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4.5</w:t>
      </w:r>
      <w:r>
        <w:rPr>
          <w:rFonts w:hint="eastAsia" w:ascii="仿宋_GB2312" w:hAnsi="宋体" w:eastAsia="仿宋_GB2312"/>
          <w:sz w:val="30"/>
          <w:szCs w:val="30"/>
        </w:rPr>
        <w:t>发行方有权要求主承销方及时通报因其承担本协议项下义务而先于发行方知道的与债务融资工具发行相关的信息。</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4.6</w:t>
      </w:r>
      <w:r>
        <w:rPr>
          <w:rFonts w:hint="eastAsia" w:ascii="仿宋_GB2312" w:hAnsi="宋体" w:eastAsia="仿宋_GB2312"/>
          <w:sz w:val="30"/>
          <w:szCs w:val="30"/>
        </w:rPr>
        <w:t>发行方有义务按本协议规定按时、足额支付承销费及其他费用。</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4.7</w:t>
      </w:r>
      <w:r>
        <w:rPr>
          <w:rFonts w:hint="eastAsia" w:ascii="仿宋_GB2312" w:hAnsi="宋体" w:eastAsia="仿宋_GB2312"/>
          <w:sz w:val="30"/>
          <w:szCs w:val="30"/>
        </w:rPr>
        <w:t>发行方应配合主承销方为债务融资工具发行进行的尽职调查工作。</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4.8</w:t>
      </w:r>
      <w:r>
        <w:rPr>
          <w:rFonts w:hint="eastAsia" w:ascii="仿宋_GB2312" w:hAnsi="宋体" w:eastAsia="仿宋_GB2312"/>
          <w:sz w:val="30"/>
          <w:szCs w:val="30"/>
        </w:rPr>
        <w:t>发行方应及时向主承销方提交与本协议相关的各类材料，包括但不限于监管部门、交易商协会等相关机构对本次发行及交易流通相关发行文件及其修改或补充的批准、许可或注册/备案通知、暂停债务融资工具发行或暂停使用发行文件的通知、公司经营、财务、法律状况及评级的文件、资料、数据，并保证其提供的上述文件、资料、数据是真实、准确和完整的。</w:t>
      </w:r>
    </w:p>
    <w:p>
      <w:pPr>
        <w:pStyle w:val="12"/>
        <w:spacing w:before="156" w:after="156" w:line="360" w:lineRule="auto"/>
        <w:rPr>
          <w:rFonts w:ascii="仿宋_GB2312" w:hAnsi="宋体" w:eastAsia="仿宋_GB2312"/>
          <w:sz w:val="30"/>
          <w:szCs w:val="30"/>
        </w:rPr>
      </w:pPr>
      <w:r>
        <w:rPr>
          <w:rFonts w:ascii="仿宋_GB2312" w:hAnsi="宋体" w:eastAsia="仿宋_GB2312"/>
          <w:b/>
          <w:sz w:val="30"/>
          <w:szCs w:val="30"/>
        </w:rPr>
        <w:t>4.</w:t>
      </w:r>
      <w:r>
        <w:rPr>
          <w:rFonts w:hint="eastAsia" w:ascii="仿宋_GB2312" w:hAnsi="宋体" w:eastAsia="仿宋_GB2312"/>
          <w:b/>
          <w:sz w:val="30"/>
          <w:szCs w:val="30"/>
        </w:rPr>
        <w:t>9</w:t>
      </w:r>
      <w:r>
        <w:rPr>
          <w:rFonts w:hint="eastAsia" w:ascii="仿宋_GB2312" w:hAnsi="宋体" w:eastAsia="仿宋_GB2312"/>
          <w:sz w:val="30"/>
          <w:szCs w:val="30"/>
        </w:rPr>
        <w:t>发行人应与主承销方书面签署《利率/价格区间确认函》，最终发行利率/价格根据第三条第3.3款确定。</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4.10</w:t>
      </w:r>
      <w:r>
        <w:rPr>
          <w:rFonts w:hint="eastAsia" w:ascii="仿宋_GB2312" w:hAnsi="宋体" w:eastAsia="仿宋_GB2312"/>
          <w:sz w:val="30"/>
          <w:szCs w:val="30"/>
        </w:rPr>
        <w:t>发行方应当按照登记托管机构（□中央国债登记结算有限责任公司，</w:t>
      </w:r>
      <w:r>
        <w:rPr>
          <w:rFonts w:ascii="Arial" w:hAnsi="Arial" w:eastAsia="仿宋_GB2312" w:cs="Arial"/>
          <w:sz w:val="30"/>
          <w:szCs w:val="30"/>
        </w:rPr>
        <w:t>√</w:t>
      </w:r>
      <w:r>
        <w:rPr>
          <w:rFonts w:hint="eastAsia" w:ascii="仿宋_GB2312" w:hAnsi="宋体" w:eastAsia="仿宋_GB2312"/>
          <w:sz w:val="30"/>
          <w:szCs w:val="30"/>
        </w:rPr>
        <w:t>□银行间市场清算所股份有限公司），以及中国外汇交易中心暨全国银行间同业拆借中心等机构的有关规定，办理债务融资工具托管、流通、兑付和信息披露等事项。</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4.11</w:t>
      </w:r>
      <w:r>
        <w:rPr>
          <w:rFonts w:hint="eastAsia" w:ascii="仿宋_GB2312" w:hAnsi="宋体" w:eastAsia="仿宋_GB2312"/>
          <w:sz w:val="30"/>
          <w:szCs w:val="30"/>
        </w:rPr>
        <w:t>债务融资工具交易流通首日前(包括交易流通首日)的任何时候，如果发行方了解到任何将使其在本协议中作出的声明、保证或承诺存在错误或者变得不真实、不准确或不完整的情况，应立即通知主承销方，并根据法律及交易商协会相关自律规范文件，按主承销方的合理要求，采取必要措施予以补救或予以公布。</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4.12</w:t>
      </w:r>
      <w:r>
        <w:rPr>
          <w:rFonts w:hint="eastAsia" w:ascii="仿宋_GB2312" w:hAnsi="宋体" w:eastAsia="仿宋_GB2312"/>
          <w:sz w:val="30"/>
          <w:szCs w:val="30"/>
        </w:rPr>
        <w:t>发行方应在公告日前与相关登记托管机构签订相关协议，就委托登记托管机构办理债务融资工具发行登记、托管、转托管、债权管理、代理本息兑付业务过程中双方的权利义务以及收费等事宜进行约定。</w:t>
      </w:r>
    </w:p>
    <w:p>
      <w:pPr>
        <w:pStyle w:val="2"/>
        <w:numPr>
          <w:ilvl w:val="0"/>
          <w:numId w:val="3"/>
        </w:numPr>
        <w:spacing w:line="360" w:lineRule="auto"/>
        <w:rPr>
          <w:rFonts w:ascii="仿宋_GB2312" w:hAnsi="楷体_GB2312" w:eastAsia="仿宋_GB2312"/>
          <w:sz w:val="30"/>
          <w:szCs w:val="30"/>
        </w:rPr>
      </w:pPr>
      <w:bookmarkStart w:id="8" w:name="_Toc257911874"/>
      <w:r>
        <w:rPr>
          <w:rFonts w:hint="eastAsia" w:ascii="仿宋_GB2312" w:hAnsi="楷体_GB2312" w:eastAsia="仿宋_GB2312"/>
          <w:sz w:val="30"/>
          <w:szCs w:val="30"/>
        </w:rPr>
        <w:t>债务融资工具的承销</w:t>
      </w:r>
      <w:bookmarkEnd w:id="8"/>
    </w:p>
    <w:p>
      <w:pPr>
        <w:pStyle w:val="12"/>
        <w:widowControl/>
        <w:spacing w:before="156" w:after="156" w:line="360" w:lineRule="auto"/>
        <w:rPr>
          <w:rFonts w:eastAsia="仿宋_GB2312"/>
          <w:sz w:val="30"/>
          <w:szCs w:val="30"/>
        </w:rPr>
      </w:pPr>
      <w:r>
        <w:rPr>
          <w:rFonts w:eastAsia="仿宋_GB2312"/>
          <w:b/>
          <w:sz w:val="30"/>
          <w:szCs w:val="30"/>
        </w:rPr>
        <w:t>5.1</w:t>
      </w:r>
      <w:r>
        <w:rPr>
          <w:rFonts w:hint="eastAsia" w:eastAsia="仿宋_GB2312" w:cs="仿宋_GB2312"/>
          <w:sz w:val="30"/>
          <w:szCs w:val="30"/>
        </w:rPr>
        <w:t>本协议项下债务融资工具为发行方在交易商协会注册的、由主承销方承销的超短期融资券。</w:t>
      </w:r>
    </w:p>
    <w:p>
      <w:pPr>
        <w:pStyle w:val="12"/>
        <w:widowControl/>
        <w:spacing w:before="156" w:after="156" w:line="360" w:lineRule="auto"/>
        <w:rPr>
          <w:rFonts w:eastAsia="仿宋_GB2312"/>
          <w:sz w:val="30"/>
          <w:szCs w:val="30"/>
        </w:rPr>
      </w:pPr>
      <w:r>
        <w:rPr>
          <w:rFonts w:eastAsia="仿宋_GB2312"/>
          <w:b/>
          <w:sz w:val="30"/>
          <w:szCs w:val="30"/>
        </w:rPr>
        <w:t>5.2</w:t>
      </w:r>
      <w:r>
        <w:rPr>
          <w:rFonts w:hint="eastAsia" w:eastAsia="仿宋_GB2312" w:cs="仿宋_GB2312"/>
          <w:sz w:val="30"/>
          <w:szCs w:val="30"/>
        </w:rPr>
        <w:t>除补充协议另有约定外，本协议项下债务融资工具承销采取余额包销的方式进行。主承销方之间不对对方的包销额度承担连带责任，每一主承销方对其承销义务的违约不构成其他主承销方的违约。主承销方之间包销额度比例将在各期承销协议中进行具体约定。</w:t>
      </w:r>
    </w:p>
    <w:p>
      <w:pPr>
        <w:pStyle w:val="12"/>
        <w:widowControl/>
        <w:spacing w:before="156" w:after="156" w:line="360" w:lineRule="auto"/>
        <w:rPr>
          <w:rFonts w:eastAsia="仿宋_GB2312"/>
          <w:sz w:val="30"/>
          <w:szCs w:val="30"/>
        </w:rPr>
      </w:pPr>
      <w:r>
        <w:rPr>
          <w:rFonts w:eastAsia="仿宋_GB2312"/>
          <w:b/>
          <w:sz w:val="30"/>
          <w:szCs w:val="30"/>
        </w:rPr>
        <w:t>5.3</w:t>
      </w:r>
      <w:r>
        <w:rPr>
          <w:rFonts w:hint="eastAsia" w:eastAsia="仿宋_GB2312" w:cs="仿宋_GB2312"/>
          <w:sz w:val="30"/>
          <w:szCs w:val="30"/>
        </w:rPr>
        <w:t>主承销方应根据有关要求对本协议项下债务融资工具发行进行尽职调查，并有权要求发行方提供发行所需的各类材料，包括但不限于公司经营、财务、法律状况及评级的文件、资料和数据。</w:t>
      </w:r>
    </w:p>
    <w:p>
      <w:pPr>
        <w:pStyle w:val="12"/>
        <w:widowControl/>
        <w:spacing w:before="156" w:after="156" w:line="360" w:lineRule="auto"/>
        <w:rPr>
          <w:rFonts w:eastAsia="仿宋_GB2312"/>
          <w:sz w:val="30"/>
          <w:szCs w:val="30"/>
        </w:rPr>
      </w:pPr>
      <w:r>
        <w:rPr>
          <w:rFonts w:eastAsia="仿宋_GB2312"/>
          <w:b/>
          <w:sz w:val="30"/>
          <w:szCs w:val="30"/>
        </w:rPr>
        <w:t>5.4</w:t>
      </w:r>
      <w:r>
        <w:rPr>
          <w:rFonts w:hint="eastAsia" w:eastAsia="仿宋_GB2312" w:cs="仿宋_GB2312"/>
          <w:sz w:val="30"/>
          <w:szCs w:val="30"/>
        </w:rPr>
        <w:t>主承销方应当按本协议规定按时、足额向发行方划付债务融资工具募集资金。</w:t>
      </w:r>
    </w:p>
    <w:p>
      <w:pPr>
        <w:pStyle w:val="12"/>
        <w:widowControl/>
        <w:spacing w:before="156" w:after="156" w:line="360" w:lineRule="auto"/>
        <w:rPr>
          <w:rFonts w:eastAsia="仿宋_GB2312"/>
          <w:sz w:val="30"/>
          <w:szCs w:val="30"/>
        </w:rPr>
      </w:pPr>
      <w:r>
        <w:rPr>
          <w:rFonts w:eastAsia="仿宋_GB2312"/>
          <w:b/>
          <w:sz w:val="30"/>
          <w:szCs w:val="30"/>
        </w:rPr>
        <w:t>5.5</w:t>
      </w:r>
      <w:r>
        <w:rPr>
          <w:rFonts w:hint="eastAsia" w:eastAsia="仿宋_GB2312" w:cs="仿宋_GB2312"/>
          <w:sz w:val="30"/>
          <w:szCs w:val="30"/>
        </w:rPr>
        <w:t>主承销方有义务组织经验丰富的专业人员从事本协议项下债务融资工具发行和承销工作。</w:t>
      </w:r>
    </w:p>
    <w:p>
      <w:pPr>
        <w:pStyle w:val="12"/>
        <w:widowControl/>
        <w:spacing w:before="156" w:after="156" w:line="360" w:lineRule="auto"/>
        <w:rPr>
          <w:rFonts w:eastAsia="仿宋_GB2312"/>
          <w:sz w:val="30"/>
          <w:szCs w:val="30"/>
        </w:rPr>
      </w:pPr>
      <w:r>
        <w:rPr>
          <w:rFonts w:eastAsia="仿宋_GB2312"/>
          <w:b/>
          <w:sz w:val="30"/>
          <w:szCs w:val="30"/>
        </w:rPr>
        <w:t>5.6</w:t>
      </w:r>
      <w:r>
        <w:rPr>
          <w:rFonts w:hint="eastAsia" w:eastAsia="仿宋_GB2312" w:cs="仿宋_GB2312"/>
          <w:sz w:val="30"/>
          <w:szCs w:val="30"/>
        </w:rPr>
        <w:t>主承销方有义务在发行方提出要求时向发行方提供债务融资工具发行建议或方案。</w:t>
      </w:r>
    </w:p>
    <w:p>
      <w:pPr>
        <w:pStyle w:val="12"/>
        <w:widowControl/>
        <w:spacing w:before="156" w:after="156" w:line="360" w:lineRule="auto"/>
        <w:rPr>
          <w:rFonts w:eastAsia="仿宋_GB2312"/>
          <w:sz w:val="30"/>
          <w:szCs w:val="30"/>
        </w:rPr>
      </w:pPr>
      <w:r>
        <w:rPr>
          <w:rFonts w:eastAsia="仿宋_GB2312"/>
          <w:b/>
          <w:sz w:val="30"/>
          <w:szCs w:val="30"/>
        </w:rPr>
        <w:t>5.7</w:t>
      </w:r>
      <w:r>
        <w:rPr>
          <w:rFonts w:hint="eastAsia" w:eastAsia="仿宋_GB2312" w:cs="仿宋_GB2312"/>
          <w:sz w:val="30"/>
          <w:szCs w:val="30"/>
        </w:rPr>
        <w:t>主承销方有义务对发行方所出具的与债务融资工具发行工作有关的文件提供咨询建议，但就会计、法律、评级等事项发行方仍应依赖相关中介机构的专业意见并独立做出决策和判断。</w:t>
      </w:r>
    </w:p>
    <w:p>
      <w:pPr>
        <w:pStyle w:val="12"/>
        <w:widowControl/>
        <w:spacing w:before="156" w:after="156" w:line="360" w:lineRule="auto"/>
        <w:rPr>
          <w:rFonts w:eastAsia="仿宋_GB2312"/>
          <w:sz w:val="30"/>
          <w:szCs w:val="30"/>
        </w:rPr>
      </w:pPr>
      <w:r>
        <w:rPr>
          <w:rFonts w:eastAsia="仿宋_GB2312"/>
          <w:b/>
          <w:sz w:val="30"/>
          <w:szCs w:val="30"/>
        </w:rPr>
        <w:t>5.8</w:t>
      </w:r>
      <w:r>
        <w:rPr>
          <w:rFonts w:hint="eastAsia" w:eastAsia="仿宋_GB2312" w:cs="仿宋_GB2312"/>
          <w:sz w:val="30"/>
          <w:szCs w:val="30"/>
        </w:rPr>
        <w:t>主承销方负责组织承销团，开展本协议项下债务融资工具的承销工作。</w:t>
      </w:r>
    </w:p>
    <w:p>
      <w:pPr>
        <w:pStyle w:val="12"/>
        <w:widowControl/>
        <w:spacing w:before="156" w:after="156" w:line="360" w:lineRule="auto"/>
        <w:rPr>
          <w:rFonts w:ascii="仿宋_GB2312" w:hAnsi="宋体" w:eastAsia="仿宋_GB2312"/>
          <w:sz w:val="30"/>
          <w:szCs w:val="30"/>
        </w:rPr>
      </w:pPr>
      <w:r>
        <w:rPr>
          <w:rFonts w:eastAsia="仿宋_GB2312"/>
          <w:b/>
          <w:sz w:val="30"/>
          <w:szCs w:val="30"/>
        </w:rPr>
        <w:t>5.9</w:t>
      </w:r>
      <w:r>
        <w:rPr>
          <w:rFonts w:hint="eastAsia" w:eastAsia="仿宋_GB2312" w:cs="仿宋_GB2312"/>
          <w:sz w:val="30"/>
          <w:szCs w:val="30"/>
        </w:rPr>
        <w:t>主承销方负责承销团成员的组织协调工作，并协助发行方共同协调会计、法律、评级等中介机构的工作。</w:t>
      </w:r>
    </w:p>
    <w:p>
      <w:pPr>
        <w:pStyle w:val="2"/>
        <w:numPr>
          <w:ilvl w:val="0"/>
          <w:numId w:val="3"/>
        </w:numPr>
        <w:spacing w:line="360" w:lineRule="auto"/>
        <w:rPr>
          <w:rFonts w:ascii="仿宋_GB2312" w:hAnsi="楷体_GB2312" w:eastAsia="仿宋_GB2312"/>
          <w:sz w:val="30"/>
          <w:szCs w:val="30"/>
        </w:rPr>
      </w:pPr>
      <w:bookmarkStart w:id="9" w:name="_Toc257911875"/>
      <w:r>
        <w:rPr>
          <w:rFonts w:hint="eastAsia" w:ascii="仿宋_GB2312" w:hAnsi="楷体_GB2312" w:eastAsia="仿宋_GB2312"/>
          <w:sz w:val="30"/>
          <w:szCs w:val="30"/>
        </w:rPr>
        <w:t>募集资金划付</w:t>
      </w:r>
      <w:bookmarkEnd w:id="9"/>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6.1</w:t>
      </w:r>
      <w:r>
        <w:rPr>
          <w:rFonts w:hint="eastAsia" w:ascii="仿宋_GB2312" w:hAnsi="宋体" w:eastAsia="仿宋_GB2312"/>
          <w:sz w:val="30"/>
          <w:szCs w:val="30"/>
        </w:rPr>
        <w:t>除非补充协议另有约定，募集资金采用以下第</w:t>
      </w:r>
      <w:r>
        <w:rPr>
          <w:rFonts w:hint="eastAsia" w:ascii="仿宋_GB2312" w:hAnsi="宋体" w:eastAsia="仿宋_GB2312"/>
          <w:sz w:val="30"/>
          <w:szCs w:val="30"/>
          <w:u w:val="single"/>
        </w:rPr>
        <w:t>6.1.1</w:t>
      </w:r>
      <w:r>
        <w:rPr>
          <w:rFonts w:hint="eastAsia" w:ascii="仿宋_GB2312" w:hAnsi="宋体" w:eastAsia="仿宋_GB2312"/>
          <w:sz w:val="30"/>
          <w:szCs w:val="30"/>
        </w:rPr>
        <w:t>种方式划付：</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6.1.1</w:t>
      </w:r>
      <w:r>
        <w:rPr>
          <w:rFonts w:hint="eastAsia" w:ascii="仿宋_GB2312" w:hAnsi="宋体" w:eastAsia="仿宋_GB2312"/>
          <w:sz w:val="30"/>
          <w:szCs w:val="30"/>
        </w:rPr>
        <w:t>在缴款日，簿记管理人将债务融资工具的募集资金扣除承销费后的余额全部划入发行方指定账户；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6.1.2</w:t>
      </w:r>
      <w:r>
        <w:rPr>
          <w:rFonts w:hint="eastAsia" w:ascii="仿宋_GB2312" w:hAnsi="宋体" w:eastAsia="仿宋_GB2312"/>
          <w:sz w:val="30"/>
          <w:szCs w:val="30"/>
        </w:rPr>
        <w:t>在缴款日，簿记管理人将债务融资工具的募集资金全部划入发行方指定账户。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6.2</w:t>
      </w:r>
      <w:r>
        <w:rPr>
          <w:rFonts w:hint="eastAsia" w:ascii="仿宋_GB2312" w:hAnsi="宋体" w:eastAsia="仿宋_GB2312"/>
          <w:sz w:val="30"/>
          <w:szCs w:val="30"/>
        </w:rPr>
        <w:t>若发生承销团其他成员缴款违约或认购不足而导致主承销方承担余额包销责任，未担任簿记管理人的主承销方应不迟于缴款日当日</w:t>
      </w:r>
      <w:r>
        <w:rPr>
          <w:rFonts w:hint="eastAsia" w:ascii="仿宋_GB2312" w:hAnsi="宋体" w:eastAsia="仿宋_GB2312"/>
          <w:sz w:val="30"/>
          <w:szCs w:val="30"/>
          <w:u w:val="single"/>
        </w:rPr>
        <w:t>12:00</w:t>
      </w:r>
      <w:r>
        <w:rPr>
          <w:rFonts w:hint="eastAsia" w:ascii="仿宋_GB2312" w:hAnsi="宋体" w:eastAsia="仿宋_GB2312"/>
          <w:sz w:val="30"/>
          <w:szCs w:val="30"/>
        </w:rPr>
        <w:t>时将对应的募集款项划至簿记管理人指定账户。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6.3</w:t>
      </w:r>
      <w:r>
        <w:rPr>
          <w:rFonts w:hint="eastAsia" w:ascii="仿宋_GB2312" w:hAnsi="宋体" w:eastAsia="仿宋_GB2312"/>
          <w:sz w:val="30"/>
          <w:szCs w:val="30"/>
        </w:rPr>
        <w:t xml:space="preserve"> 发行方和主承销方特此确认，在簿记管理人按照本第六条的约定足额向发行方划付了募集资金且发行方实际已收到了该等募集资金，主承销方在本条下的承销义务和责任即告终止，但其在本协议项下的其他义务和责任并不因此而终止。</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6.4</w:t>
      </w:r>
      <w:r>
        <w:rPr>
          <w:rFonts w:hint="eastAsia" w:ascii="仿宋_GB2312" w:hAnsi="宋体" w:eastAsia="仿宋_GB2312"/>
          <w:sz w:val="30"/>
          <w:szCs w:val="30"/>
        </w:rPr>
        <w:t>簿记管理人向发行方履行划款义务，以第十二条先决条件在缴款前持续得到满足为前提。</w:t>
      </w:r>
    </w:p>
    <w:p>
      <w:pPr>
        <w:pStyle w:val="2"/>
        <w:numPr>
          <w:ilvl w:val="0"/>
          <w:numId w:val="3"/>
        </w:numPr>
        <w:spacing w:line="360" w:lineRule="auto"/>
        <w:rPr>
          <w:rFonts w:ascii="仿宋_GB2312" w:hAnsi="楷体_GB2312" w:eastAsia="仿宋_GB2312"/>
          <w:sz w:val="30"/>
          <w:szCs w:val="30"/>
        </w:rPr>
      </w:pPr>
      <w:bookmarkStart w:id="10" w:name="_Toc237232408"/>
      <w:bookmarkEnd w:id="10"/>
      <w:bookmarkStart w:id="11" w:name="_Toc237232407"/>
      <w:bookmarkEnd w:id="11"/>
      <w:bookmarkStart w:id="12" w:name="_Toc237232434"/>
      <w:bookmarkEnd w:id="12"/>
      <w:bookmarkStart w:id="13" w:name="_Toc237232435"/>
      <w:bookmarkEnd w:id="13"/>
      <w:bookmarkStart w:id="14" w:name="_Toc237232432"/>
      <w:bookmarkEnd w:id="14"/>
      <w:bookmarkStart w:id="15" w:name="_Toc237232436"/>
      <w:bookmarkEnd w:id="15"/>
      <w:bookmarkStart w:id="16" w:name="_Toc237232444"/>
      <w:bookmarkEnd w:id="16"/>
      <w:bookmarkStart w:id="17" w:name="_Toc237232440"/>
      <w:bookmarkEnd w:id="17"/>
      <w:bookmarkStart w:id="18" w:name="_Toc237232442"/>
      <w:bookmarkEnd w:id="18"/>
      <w:bookmarkStart w:id="19" w:name="_Toc237232443"/>
      <w:bookmarkEnd w:id="19"/>
      <w:bookmarkStart w:id="20" w:name="_Toc237232438"/>
      <w:bookmarkEnd w:id="20"/>
      <w:bookmarkStart w:id="21" w:name="_Toc237232441"/>
      <w:bookmarkEnd w:id="21"/>
      <w:bookmarkStart w:id="22" w:name="_Toc237232437"/>
      <w:bookmarkEnd w:id="22"/>
      <w:bookmarkStart w:id="23" w:name="_Toc237232433"/>
      <w:bookmarkEnd w:id="23"/>
      <w:bookmarkStart w:id="24" w:name="_Toc237232439"/>
      <w:bookmarkEnd w:id="24"/>
      <w:bookmarkStart w:id="25" w:name="_Toc237232426"/>
      <w:bookmarkEnd w:id="25"/>
      <w:bookmarkStart w:id="26" w:name="_Toc237232409"/>
      <w:bookmarkEnd w:id="26"/>
      <w:bookmarkStart w:id="27" w:name="_Toc237232410"/>
      <w:bookmarkEnd w:id="27"/>
      <w:bookmarkStart w:id="28" w:name="_Toc237232411"/>
      <w:bookmarkEnd w:id="28"/>
      <w:bookmarkStart w:id="29" w:name="_Toc237232413"/>
      <w:bookmarkEnd w:id="29"/>
      <w:bookmarkStart w:id="30" w:name="_Toc237232415"/>
      <w:bookmarkEnd w:id="30"/>
      <w:bookmarkStart w:id="31" w:name="_Toc237232414"/>
      <w:bookmarkEnd w:id="31"/>
      <w:bookmarkStart w:id="32" w:name="_Toc237232416"/>
      <w:bookmarkEnd w:id="32"/>
      <w:bookmarkStart w:id="33" w:name="_Toc237232412"/>
      <w:bookmarkEnd w:id="33"/>
      <w:bookmarkStart w:id="34" w:name="_Toc237232424"/>
      <w:bookmarkEnd w:id="34"/>
      <w:bookmarkStart w:id="35" w:name="_Toc237232423"/>
      <w:bookmarkEnd w:id="35"/>
      <w:bookmarkStart w:id="36" w:name="_Toc237232419"/>
      <w:bookmarkEnd w:id="36"/>
      <w:bookmarkStart w:id="37" w:name="_Toc237232420"/>
      <w:bookmarkEnd w:id="37"/>
      <w:bookmarkStart w:id="38" w:name="_Toc237232418"/>
      <w:bookmarkEnd w:id="38"/>
      <w:bookmarkStart w:id="39" w:name="_Toc237232422"/>
      <w:bookmarkEnd w:id="39"/>
      <w:bookmarkStart w:id="40" w:name="_Toc237232417"/>
      <w:bookmarkEnd w:id="40"/>
      <w:bookmarkStart w:id="41" w:name="_Toc237232425"/>
      <w:bookmarkEnd w:id="41"/>
      <w:bookmarkStart w:id="42" w:name="_Toc237232421"/>
      <w:bookmarkEnd w:id="42"/>
      <w:bookmarkStart w:id="43" w:name="_Toc237232431"/>
      <w:bookmarkEnd w:id="43"/>
      <w:bookmarkStart w:id="44" w:name="_Toc237232428"/>
      <w:bookmarkEnd w:id="44"/>
      <w:bookmarkStart w:id="45" w:name="_Toc237232427"/>
      <w:bookmarkEnd w:id="45"/>
      <w:bookmarkStart w:id="46" w:name="_Toc237232430"/>
      <w:bookmarkEnd w:id="46"/>
      <w:bookmarkStart w:id="47" w:name="_Toc237232429"/>
      <w:bookmarkEnd w:id="47"/>
      <w:bookmarkStart w:id="48" w:name="_Toc257911876"/>
      <w:r>
        <w:rPr>
          <w:rFonts w:hint="eastAsia" w:ascii="仿宋_GB2312" w:hAnsi="楷体_GB2312" w:eastAsia="仿宋_GB2312"/>
          <w:sz w:val="30"/>
          <w:szCs w:val="30"/>
        </w:rPr>
        <w:t>费用及支付</w:t>
      </w:r>
      <w:bookmarkEnd w:id="48"/>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7.1</w:t>
      </w:r>
      <w:r>
        <w:rPr>
          <w:rFonts w:hint="eastAsia" w:ascii="仿宋_GB2312" w:hAnsi="宋体" w:eastAsia="仿宋_GB2312"/>
          <w:sz w:val="30"/>
          <w:szCs w:val="30"/>
        </w:rPr>
        <w:t>基于主承销方就本协议项下某期债务融资工具发行为发行方提供的承销服务，发行成功后，发行方按本协议规定的金额和支付方式向主承销方支付承销费。承销费计算方式如下：</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承销费＝当期债务融资工具发行面值总额×发行年限×年承销费率</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本协议项下债务融资工具年承销费率为（请勾选）：</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□短期融资券：_____%；</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□中期票据：_____%；</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□中小企业集合票据：_____%；</w:t>
      </w:r>
    </w:p>
    <w:p>
      <w:pPr>
        <w:pStyle w:val="12"/>
        <w:spacing w:before="156" w:after="156" w:line="360" w:lineRule="auto"/>
        <w:ind w:firstLine="480"/>
        <w:rPr>
          <w:rFonts w:ascii="仿宋_GB2312" w:hAnsi="宋体" w:eastAsia="仿宋_GB2312"/>
          <w:sz w:val="30"/>
          <w:szCs w:val="30"/>
        </w:rPr>
      </w:pPr>
      <w:r>
        <w:rPr>
          <w:rFonts w:eastAsia="仿宋_GB2312"/>
          <w:sz w:val="30"/>
          <w:szCs w:val="30"/>
        </w:rPr>
        <w:t>√</w:t>
      </w:r>
      <w:r>
        <w:rPr>
          <w:rFonts w:hint="eastAsia" w:eastAsia="仿宋_GB2312" w:cs="仿宋_GB2312"/>
          <w:sz w:val="30"/>
          <w:szCs w:val="30"/>
        </w:rPr>
        <w:t>超短期融资券</w:t>
      </w:r>
      <w:r>
        <w:rPr>
          <w:rFonts w:hint="eastAsia" w:ascii="仿宋_GB2312" w:hAnsi="宋体" w:eastAsia="仿宋_GB2312"/>
          <w:sz w:val="30"/>
          <w:szCs w:val="30"/>
        </w:rPr>
        <w:t>：_____%；</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□定向工具：_____%；</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□资产支持票据：_____%；</w:t>
      </w:r>
    </w:p>
    <w:p>
      <w:pPr>
        <w:pStyle w:val="12"/>
        <w:spacing w:before="156" w:after="156" w:line="360" w:lineRule="auto"/>
        <w:ind w:firstLine="480"/>
        <w:rPr>
          <w:rFonts w:ascii="仿宋_GB2312" w:hAnsi="宋体" w:eastAsia="仿宋_GB2312"/>
          <w:sz w:val="30"/>
          <w:szCs w:val="30"/>
        </w:rPr>
      </w:pPr>
      <w:r>
        <w:rPr>
          <w:rFonts w:hint="eastAsia" w:ascii="仿宋_GB2312" w:hAnsi="宋体" w:eastAsia="仿宋_GB2312"/>
          <w:sz w:val="30"/>
          <w:szCs w:val="30"/>
        </w:rPr>
        <w:t>□其他请填写______________，_____%。</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 xml:space="preserve">7.2 </w:t>
      </w:r>
      <w:r>
        <w:rPr>
          <w:rFonts w:hint="eastAsia" w:ascii="仿宋_GB2312" w:hAnsi="宋体" w:eastAsia="仿宋_GB2312"/>
          <w:sz w:val="30"/>
          <w:szCs w:val="30"/>
        </w:rPr>
        <w:t>承销费包括支付给主承销方的所有承销费用，分为主承销费和销售佣金，销售佣金的分配方式和比例由主承销方与其他承销团成员另行约定。</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w:t>
      </w:r>
      <w:r>
        <w:rPr>
          <w:rFonts w:hint="eastAsia" w:ascii="仿宋_GB2312" w:hAnsi="宋体" w:eastAsia="仿宋_GB2312"/>
          <w:sz w:val="30"/>
          <w:szCs w:val="30"/>
        </w:rPr>
        <w:t>除非补充协议另有约定，上述承销费通过以下第</w:t>
      </w:r>
      <w:r>
        <w:rPr>
          <w:rFonts w:hint="eastAsia" w:ascii="仿宋_GB2312" w:hAnsi="宋体" w:eastAsia="仿宋_GB2312"/>
          <w:sz w:val="30"/>
          <w:szCs w:val="30"/>
          <w:u w:val="single"/>
        </w:rPr>
        <w:t>7.3.1.1</w:t>
      </w:r>
      <w:r>
        <w:rPr>
          <w:rFonts w:hint="eastAsia" w:ascii="仿宋_GB2312" w:hAnsi="宋体" w:eastAsia="仿宋_GB2312"/>
          <w:sz w:val="30"/>
          <w:szCs w:val="30"/>
        </w:rPr>
        <w:t>种方式支付：</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7.3.1</w:t>
      </w:r>
      <w:r>
        <w:rPr>
          <w:rFonts w:hint="eastAsia" w:ascii="仿宋_GB2312" w:hAnsi="宋体" w:eastAsia="仿宋_GB2312"/>
          <w:sz w:val="30"/>
          <w:szCs w:val="30"/>
        </w:rPr>
        <w:t>一次性支付：</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7.3.1.1</w:t>
      </w:r>
      <w:r>
        <w:rPr>
          <w:rFonts w:hint="eastAsia" w:ascii="仿宋_GB2312" w:hAnsi="宋体" w:eastAsia="仿宋_GB2312"/>
          <w:sz w:val="30"/>
          <w:szCs w:val="30"/>
        </w:rPr>
        <w:t>由簿记管理人在缴款日从募集资金中一次性扣收；</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7.3.1.2</w:t>
      </w:r>
      <w:r>
        <w:rPr>
          <w:rFonts w:hint="eastAsia" w:ascii="仿宋_GB2312" w:hAnsi="宋体" w:eastAsia="仿宋_GB2312"/>
          <w:sz w:val="30"/>
          <w:szCs w:val="30"/>
        </w:rPr>
        <w:t>由发行方在缴款日后_/__个工作日内另行向簿记管理人一次性支付。</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7.3.2</w:t>
      </w:r>
      <w:r>
        <w:rPr>
          <w:rFonts w:hint="eastAsia" w:ascii="仿宋_GB2312" w:hAnsi="宋体" w:eastAsia="仿宋_GB2312"/>
          <w:sz w:val="30"/>
          <w:szCs w:val="30"/>
        </w:rPr>
        <w:t>按年支付：</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7.3.2.1</w:t>
      </w:r>
      <w:r>
        <w:rPr>
          <w:rFonts w:hint="eastAsia" w:ascii="仿宋_GB2312" w:hAnsi="宋体" w:eastAsia="仿宋_GB2312"/>
          <w:sz w:val="30"/>
          <w:szCs w:val="30"/>
        </w:rPr>
        <w:t>由簿记管理人在缴款日从募集资金中扣收首年承销费（含销售佣金），剩余承销费按年平均由发行方在当期债务融资工具存续期间的缴款日在当年的对应日（到期还本付息日除外）后</w:t>
      </w:r>
      <w:r>
        <w:rPr>
          <w:rFonts w:hint="eastAsia" w:ascii="仿宋_GB2312" w:hAnsi="宋体" w:eastAsia="仿宋_GB2312"/>
          <w:sz w:val="30"/>
          <w:szCs w:val="30"/>
          <w:u w:val="single"/>
        </w:rPr>
        <w:t>/</w:t>
      </w:r>
      <w:r>
        <w:rPr>
          <w:rFonts w:hint="eastAsia" w:ascii="仿宋_GB2312" w:hAnsi="宋体" w:eastAsia="仿宋_GB2312"/>
          <w:sz w:val="30"/>
          <w:szCs w:val="30"/>
        </w:rPr>
        <w:t>个工作日内支付，其中首年承销费为承销费总额的</w:t>
      </w:r>
      <w:r>
        <w:rPr>
          <w:rFonts w:hint="eastAsia" w:ascii="仿宋_GB2312" w:hAnsi="宋体" w:eastAsia="仿宋_GB2312"/>
          <w:sz w:val="30"/>
          <w:szCs w:val="30"/>
          <w:u w:val="single"/>
        </w:rPr>
        <w:t>/</w:t>
      </w:r>
      <w:r>
        <w:rPr>
          <w:rFonts w:hint="eastAsia" w:ascii="仿宋_GB2312" w:hAnsi="宋体" w:eastAsia="仿宋_GB2312"/>
          <w:sz w:val="30"/>
          <w:szCs w:val="30"/>
        </w:rPr>
        <w:t>；</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7.3.2.2</w:t>
      </w:r>
      <w:r>
        <w:rPr>
          <w:rFonts w:hint="eastAsia" w:ascii="仿宋_GB2312" w:hAnsi="宋体" w:eastAsia="仿宋_GB2312"/>
          <w:sz w:val="30"/>
          <w:szCs w:val="30"/>
        </w:rPr>
        <w:t>由发行方在缴款日后__个工作日内向簿记管理人支付首年承销费，剩余承销费按年平均由发行方在当期债务融资工具存续期间的缴款日在当年的对应日（到期还本付息日除外）后</w:t>
      </w:r>
      <w:r>
        <w:rPr>
          <w:rFonts w:hint="eastAsia" w:ascii="仿宋_GB2312" w:hAnsi="宋体" w:eastAsia="仿宋_GB2312"/>
          <w:sz w:val="30"/>
          <w:szCs w:val="30"/>
          <w:u w:val="single"/>
        </w:rPr>
        <w:t>/</w:t>
      </w:r>
      <w:r>
        <w:rPr>
          <w:rFonts w:hint="eastAsia" w:ascii="仿宋_GB2312" w:hAnsi="宋体" w:eastAsia="仿宋_GB2312"/>
          <w:sz w:val="30"/>
          <w:szCs w:val="30"/>
        </w:rPr>
        <w:t>个工作日内支付，其中首年承销费为承销费总额的</w:t>
      </w:r>
      <w:r>
        <w:rPr>
          <w:rFonts w:hint="eastAsia" w:ascii="仿宋_GB2312" w:hAnsi="宋体" w:eastAsia="仿宋_GB2312"/>
          <w:sz w:val="30"/>
          <w:szCs w:val="30"/>
          <w:u w:val="single"/>
        </w:rPr>
        <w:t>/</w:t>
      </w:r>
      <w:r>
        <w:rPr>
          <w:rFonts w:hint="eastAsia" w:ascii="仿宋_GB2312" w:hAnsi="宋体" w:eastAsia="仿宋_GB2312"/>
          <w:sz w:val="30"/>
          <w:szCs w:val="30"/>
        </w:rPr>
        <w:t>%；</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7.3.3</w:t>
      </w:r>
      <w:r>
        <w:rPr>
          <w:rFonts w:hint="eastAsia" w:ascii="仿宋_GB2312" w:hAnsi="宋体" w:eastAsia="仿宋_GB2312"/>
          <w:sz w:val="30"/>
          <w:szCs w:val="30"/>
        </w:rPr>
        <w:t>除非补充协议另有约定，在丙方存在时，主承销费在乙方、丙方之间的分配比例与本协议第五条第5.2款约定的包销额度分配比例相同，由簿记管理人向发行方足额收取应收承销费。簿记管理人在收到应收承销费后</w:t>
      </w:r>
      <w:r>
        <w:rPr>
          <w:rFonts w:hint="eastAsia" w:ascii="仿宋_GB2312" w:hAnsi="宋体" w:eastAsia="仿宋_GB2312"/>
          <w:sz w:val="30"/>
          <w:szCs w:val="30"/>
          <w:u w:val="single"/>
        </w:rPr>
        <w:t>30</w:t>
      </w:r>
      <w:r>
        <w:rPr>
          <w:rFonts w:hint="eastAsia" w:ascii="仿宋_GB2312" w:hAnsi="宋体" w:eastAsia="仿宋_GB2312"/>
          <w:sz w:val="30"/>
          <w:szCs w:val="30"/>
        </w:rPr>
        <w:t>个工作日内向未担任簿记管理人的主承销方足额支付当期应收承销费。</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7.4</w:t>
      </w:r>
      <w:r>
        <w:rPr>
          <w:rFonts w:hint="eastAsia" w:ascii="仿宋_GB2312" w:hAnsi="宋体" w:eastAsia="仿宋_GB2312"/>
          <w:sz w:val="30"/>
          <w:szCs w:val="30"/>
        </w:rPr>
        <w:t xml:space="preserve"> 债务融资工具发行所需之会计、法律、评级及与债务融资工具有关的托管、兑付等中介机构费用及其他因债务融资工具发行产生的任何费用由发行方承担，并由发行方直接支付给相应机构。</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7.5</w:t>
      </w:r>
      <w:r>
        <w:rPr>
          <w:rFonts w:hint="eastAsia" w:ascii="仿宋_GB2312" w:hAnsi="宋体" w:eastAsia="仿宋_GB2312"/>
          <w:sz w:val="30"/>
          <w:szCs w:val="30"/>
        </w:rPr>
        <w:t xml:space="preserve"> 在本协议项下债务融资工具获得交易商协会注册后的有效期内，如果发行方放弃发行本次注册债务融资工具全部额度或在两年注册有效期内没有发行，发行方仅需向主承销方支付发行顾问费。除非补充协议另有约定，发行顾问费金额为债务融资工具注册额度的</w:t>
      </w:r>
      <w:r>
        <w:rPr>
          <w:rFonts w:hint="eastAsia" w:ascii="仿宋_GB2312" w:hAnsi="宋体" w:eastAsia="仿宋_GB2312"/>
          <w:sz w:val="30"/>
          <w:szCs w:val="30"/>
          <w:u w:val="single"/>
        </w:rPr>
        <w:t xml:space="preserve"> </w:t>
      </w:r>
      <w:r>
        <w:rPr>
          <w:rFonts w:ascii="仿宋_GB2312" w:hAnsi="宋体" w:eastAsia="仿宋_GB2312"/>
          <w:sz w:val="30"/>
          <w:szCs w:val="30"/>
          <w:u w:val="single"/>
        </w:rPr>
        <w:t>0</w:t>
      </w:r>
      <w:r>
        <w:rPr>
          <w:rFonts w:hint="eastAsia" w:ascii="仿宋_GB2312" w:hAnsi="宋体" w:eastAsia="仿宋_GB2312"/>
          <w:sz w:val="30"/>
          <w:szCs w:val="30"/>
        </w:rPr>
        <w:t>%，并在其放弃全部额度之日起五个工作日内或注册有效期结束后五个工作日内向主承销方支付。在丙方存在时，除非补充协议另有约定，上述发行顾问费在乙方、丙方之间的分配比例与本协议第五条第5.2款约定的包销额度分配比例相同。</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7.6</w:t>
      </w:r>
      <w:r>
        <w:rPr>
          <w:rFonts w:hint="eastAsia" w:ascii="仿宋_GB2312" w:hAnsi="宋体" w:eastAsia="仿宋_GB2312"/>
          <w:sz w:val="30"/>
          <w:szCs w:val="30"/>
        </w:rPr>
        <w:t>本协议各方指定账户如下：</w:t>
      </w:r>
    </w:p>
    <w:p>
      <w:pPr>
        <w:spacing w:before="156" w:after="156" w:line="360" w:lineRule="auto"/>
        <w:ind w:firstLine="480"/>
        <w:rPr>
          <w:rFonts w:ascii="仿宋_GB2312" w:eastAsia="仿宋_GB2312"/>
          <w:b/>
          <w:bCs/>
          <w:color w:val="000000"/>
          <w:sz w:val="30"/>
          <w:szCs w:val="30"/>
        </w:rPr>
      </w:pPr>
      <w:r>
        <w:rPr>
          <w:rFonts w:hint="eastAsia" w:ascii="仿宋_GB2312" w:eastAsia="仿宋_GB2312"/>
          <w:b/>
          <w:bCs/>
          <w:sz w:val="30"/>
          <w:szCs w:val="30"/>
        </w:rPr>
        <w:t>甲方：</w:t>
      </w:r>
      <w:r>
        <w:rPr>
          <w:rFonts w:hint="eastAsia" w:ascii="仿宋_GB2312" w:eastAsia="仿宋_GB2312"/>
          <w:b/>
          <w:bCs/>
          <w:color w:val="000000"/>
          <w:sz w:val="30"/>
          <w:szCs w:val="30"/>
        </w:rPr>
        <w:t>浙江省机场集团有限公司</w:t>
      </w:r>
    </w:p>
    <w:p>
      <w:pPr>
        <w:spacing w:line="288" w:lineRule="auto"/>
        <w:rPr>
          <w:rFonts w:ascii="仿宋_GB2312" w:eastAsia="仿宋_GB2312"/>
          <w:color w:val="000000"/>
          <w:sz w:val="30"/>
          <w:szCs w:val="30"/>
        </w:rPr>
      </w:pPr>
      <w:r>
        <w:rPr>
          <w:rFonts w:hint="eastAsia" w:ascii="仿宋_GB2312" w:eastAsia="仿宋_GB2312"/>
          <w:color w:val="000000"/>
          <w:sz w:val="30"/>
          <w:szCs w:val="30"/>
        </w:rPr>
        <w:t xml:space="preserve">   户名： 浙江省机场集团有限公司</w:t>
      </w:r>
    </w:p>
    <w:p>
      <w:pPr>
        <w:spacing w:before="156" w:after="156" w:line="360" w:lineRule="auto"/>
        <w:ind w:firstLine="480"/>
        <w:rPr>
          <w:rFonts w:ascii="仿宋_GB2312" w:eastAsia="仿宋_GB2312"/>
          <w:color w:val="000000"/>
          <w:sz w:val="30"/>
          <w:szCs w:val="30"/>
        </w:rPr>
      </w:pPr>
      <w:r>
        <w:rPr>
          <w:rFonts w:hint="eastAsia" w:ascii="仿宋_GB2312" w:eastAsia="仿宋_GB2312"/>
          <w:color w:val="000000"/>
          <w:sz w:val="30"/>
          <w:szCs w:val="30"/>
        </w:rPr>
        <w:t>开户行：中国工商银行杭州空港城支行</w:t>
      </w:r>
    </w:p>
    <w:p>
      <w:pPr>
        <w:spacing w:before="156" w:after="156" w:line="360" w:lineRule="auto"/>
        <w:ind w:firstLine="480"/>
        <w:rPr>
          <w:rFonts w:ascii="仿宋_GB2312" w:eastAsia="仿宋_GB2312"/>
          <w:color w:val="000000"/>
          <w:sz w:val="30"/>
          <w:szCs w:val="30"/>
        </w:rPr>
      </w:pPr>
      <w:r>
        <w:rPr>
          <w:rFonts w:hint="eastAsia" w:ascii="仿宋_GB2312" w:eastAsia="仿宋_GB2312"/>
          <w:color w:val="000000"/>
          <w:sz w:val="30"/>
          <w:szCs w:val="30"/>
        </w:rPr>
        <w:t>账号：</w:t>
      </w:r>
      <w:r>
        <w:rPr>
          <w:rFonts w:ascii="仿宋_GB2312" w:eastAsia="仿宋_GB2312"/>
          <w:color w:val="000000"/>
          <w:sz w:val="30"/>
          <w:szCs w:val="30"/>
        </w:rPr>
        <w:t>1202050219900012004</w:t>
      </w:r>
    </w:p>
    <w:p>
      <w:pPr>
        <w:spacing w:before="156" w:after="156" w:line="360" w:lineRule="auto"/>
        <w:ind w:firstLine="480"/>
        <w:rPr>
          <w:rFonts w:ascii="仿宋_GB2312" w:eastAsia="仿宋_GB2312"/>
          <w:color w:val="000000"/>
          <w:sz w:val="30"/>
          <w:szCs w:val="30"/>
        </w:rPr>
      </w:pPr>
      <w:r>
        <w:rPr>
          <w:rFonts w:hint="eastAsia" w:ascii="仿宋_GB2312" w:eastAsia="仿宋_GB2312"/>
          <w:color w:val="000000"/>
          <w:sz w:val="30"/>
          <w:szCs w:val="30"/>
        </w:rPr>
        <w:t>中国人民银行支付系统号：</w:t>
      </w:r>
      <w:r>
        <w:rPr>
          <w:rFonts w:ascii="仿宋_GB2312" w:eastAsia="仿宋_GB2312"/>
          <w:color w:val="000000"/>
          <w:sz w:val="30"/>
          <w:szCs w:val="30"/>
        </w:rPr>
        <w:t>102331005026</w:t>
      </w:r>
    </w:p>
    <w:p>
      <w:pPr>
        <w:spacing w:before="156" w:after="156" w:line="360" w:lineRule="auto"/>
        <w:ind w:firstLine="480"/>
        <w:rPr>
          <w:rFonts w:ascii="仿宋_GB2312" w:eastAsia="仿宋_GB2312"/>
          <w:b/>
          <w:bCs/>
          <w:sz w:val="30"/>
          <w:szCs w:val="30"/>
        </w:rPr>
      </w:pPr>
      <w:r>
        <w:rPr>
          <w:rFonts w:hint="eastAsia" w:ascii="仿宋_GB2312" w:eastAsia="仿宋_GB2312"/>
          <w:b/>
          <w:bCs/>
          <w:sz w:val="30"/>
          <w:szCs w:val="30"/>
        </w:rPr>
        <w:t>乙方一</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 xml:space="preserve">户名：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开户行：</w:t>
      </w:r>
      <w:r>
        <w:rPr>
          <w:rFonts w:ascii="仿宋_GB2312" w:eastAsia="仿宋_GB2312"/>
          <w:sz w:val="30"/>
          <w:szCs w:val="30"/>
        </w:rPr>
        <w:t xml:space="preserve">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账号：</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中国人民银行支付系统号：</w:t>
      </w:r>
    </w:p>
    <w:p>
      <w:pPr>
        <w:spacing w:before="156" w:after="156" w:line="360" w:lineRule="auto"/>
        <w:ind w:firstLine="480"/>
        <w:rPr>
          <w:rFonts w:ascii="仿宋_GB2312" w:eastAsia="仿宋_GB2312"/>
          <w:sz w:val="30"/>
          <w:szCs w:val="30"/>
        </w:rPr>
      </w:pPr>
    </w:p>
    <w:p>
      <w:pPr>
        <w:pStyle w:val="2"/>
        <w:numPr>
          <w:ilvl w:val="0"/>
          <w:numId w:val="3"/>
        </w:numPr>
        <w:spacing w:line="360" w:lineRule="auto"/>
        <w:rPr>
          <w:rFonts w:ascii="仿宋_GB2312" w:hAnsi="楷体_GB2312" w:eastAsia="仿宋_GB2312"/>
          <w:sz w:val="30"/>
          <w:szCs w:val="30"/>
        </w:rPr>
      </w:pPr>
      <w:bookmarkStart w:id="49" w:name="_Toc257911877"/>
      <w:r>
        <w:rPr>
          <w:rFonts w:hint="eastAsia" w:ascii="仿宋_GB2312" w:hAnsi="楷体_GB2312" w:eastAsia="仿宋_GB2312"/>
          <w:sz w:val="30"/>
          <w:szCs w:val="30"/>
        </w:rPr>
        <w:t>信息披露</w:t>
      </w:r>
      <w:bookmarkEnd w:id="49"/>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8.1</w:t>
      </w:r>
      <w:r>
        <w:rPr>
          <w:rFonts w:hint="eastAsia" w:ascii="仿宋_GB2312" w:hAnsi="宋体" w:eastAsia="仿宋_GB2312"/>
          <w:sz w:val="30"/>
          <w:szCs w:val="30"/>
        </w:rPr>
        <w:t>发行方应根据《银行间债券市场非金融企业债务融资工具管理办法》等法律及交易商协会相关自律规范文件按时进行公开信息披露。当主承销方协助其制作有关信息披露文件时，发行方应保证其提供给主承销方的有关文件、资料、数据是真实、准确和完整的。</w:t>
      </w:r>
    </w:p>
    <w:p>
      <w:pPr>
        <w:pStyle w:val="12"/>
        <w:spacing w:before="156" w:after="156" w:line="360" w:lineRule="auto"/>
        <w:rPr>
          <w:rFonts w:ascii="仿宋_GB2312" w:hAnsi="楷体_GB2312" w:eastAsia="仿宋_GB2312"/>
          <w:sz w:val="30"/>
          <w:szCs w:val="30"/>
        </w:rPr>
      </w:pPr>
      <w:r>
        <w:rPr>
          <w:rFonts w:hint="eastAsia" w:ascii="仿宋_GB2312" w:hAnsi="宋体" w:eastAsia="仿宋_GB2312"/>
          <w:b/>
          <w:sz w:val="30"/>
          <w:szCs w:val="30"/>
        </w:rPr>
        <w:t>8.2</w:t>
      </w:r>
      <w:r>
        <w:rPr>
          <w:rFonts w:hint="eastAsia" w:ascii="仿宋_GB2312" w:hAnsi="宋体" w:eastAsia="仿宋_GB2312"/>
          <w:sz w:val="30"/>
          <w:szCs w:val="30"/>
        </w:rPr>
        <w:t>主承销方有义务协助发行方披露发行文件，并督促发行方履行持续信息披露义务。如因发行方原因导致未按规定及时披露信息，由发行方承担相应责任。</w:t>
      </w:r>
    </w:p>
    <w:p>
      <w:pPr>
        <w:pStyle w:val="2"/>
        <w:numPr>
          <w:ilvl w:val="0"/>
          <w:numId w:val="3"/>
        </w:numPr>
        <w:spacing w:line="360" w:lineRule="auto"/>
        <w:rPr>
          <w:rFonts w:ascii="仿宋_GB2312" w:hAnsi="楷体_GB2312" w:eastAsia="仿宋_GB2312"/>
          <w:sz w:val="30"/>
          <w:szCs w:val="30"/>
        </w:rPr>
      </w:pPr>
      <w:bookmarkStart w:id="50" w:name="_Toc257911878"/>
      <w:r>
        <w:rPr>
          <w:rFonts w:hint="eastAsia" w:ascii="仿宋_GB2312" w:hAnsi="楷体_GB2312" w:eastAsia="仿宋_GB2312"/>
          <w:sz w:val="30"/>
          <w:szCs w:val="30"/>
        </w:rPr>
        <w:t>付息和本金兑付</w:t>
      </w:r>
      <w:bookmarkEnd w:id="50"/>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9.1</w:t>
      </w:r>
      <w:r>
        <w:rPr>
          <w:rFonts w:hint="eastAsia" w:ascii="仿宋_GB2312" w:hAnsi="宋体" w:eastAsia="仿宋_GB2312"/>
          <w:sz w:val="30"/>
          <w:szCs w:val="30"/>
        </w:rPr>
        <w:t xml:space="preserve"> 债务融资工具在有关交易市场交易流通之后，债务融资工具的本金和利息的支付将通过相关登记托管机构进行。</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9.2</w:t>
      </w:r>
      <w:r>
        <w:rPr>
          <w:rFonts w:hint="eastAsia" w:ascii="仿宋_GB2312" w:hAnsi="宋体" w:eastAsia="仿宋_GB2312"/>
          <w:sz w:val="30"/>
          <w:szCs w:val="30"/>
        </w:rPr>
        <w:t xml:space="preserve"> 发行方应根据其与登记托管机构签订的有关协议以及相关交易场所的有关规定将有关的本金或利息款项及时足额划至相关登记托管机构指定的账户。</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9.3</w:t>
      </w:r>
      <w:r>
        <w:rPr>
          <w:rFonts w:hint="eastAsia" w:ascii="仿宋_GB2312" w:hAnsi="宋体" w:eastAsia="仿宋_GB2312"/>
          <w:sz w:val="30"/>
          <w:szCs w:val="30"/>
        </w:rPr>
        <w:t>主承销方有义务告知发行方按时、足额划拨债务融资工具利息和本金并履行其他义务，主承销方无义务垫支任何还本付息款项。</w:t>
      </w:r>
    </w:p>
    <w:p>
      <w:pPr>
        <w:pStyle w:val="2"/>
        <w:numPr>
          <w:ilvl w:val="0"/>
          <w:numId w:val="3"/>
        </w:numPr>
        <w:spacing w:line="360" w:lineRule="auto"/>
        <w:rPr>
          <w:rFonts w:ascii="仿宋_GB2312" w:hAnsi="楷体_GB2312" w:eastAsia="仿宋_GB2312"/>
          <w:sz w:val="30"/>
          <w:szCs w:val="30"/>
        </w:rPr>
      </w:pPr>
      <w:bookmarkStart w:id="51" w:name="_Toc257911879"/>
      <w:r>
        <w:rPr>
          <w:rFonts w:hint="eastAsia" w:ascii="仿宋_GB2312" w:hAnsi="楷体_GB2312" w:eastAsia="仿宋_GB2312"/>
          <w:sz w:val="30"/>
          <w:szCs w:val="30"/>
        </w:rPr>
        <w:t>债务融资工具的后续管理</w:t>
      </w:r>
      <w:bookmarkEnd w:id="51"/>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10.1</w:t>
      </w:r>
      <w:r>
        <w:rPr>
          <w:rFonts w:hint="eastAsia" w:ascii="仿宋_GB2312" w:hAnsi="宋体" w:eastAsia="仿宋_GB2312"/>
          <w:sz w:val="30"/>
          <w:szCs w:val="30"/>
        </w:rPr>
        <w:t>债务融资工具存续期间，主承销方应按法律及交易商协会相关自律规范文件规定，持续对发行方开展跟踪、监测、调查等后续管理工作，以及时准确地掌握发行方风险状况及偿债能力，持续督导发行方履行信息披露、还本付息等义务。发行方应积极配合主承销方的后续管理工作。</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10.2</w:t>
      </w:r>
      <w:r>
        <w:rPr>
          <w:rFonts w:hint="eastAsia" w:ascii="仿宋_GB2312" w:hAnsi="宋体" w:eastAsia="仿宋_GB2312"/>
          <w:sz w:val="30"/>
          <w:szCs w:val="30"/>
        </w:rPr>
        <w:t>除非补充协议另有约定，簿记管理人负责牵头开展后续管理工作。</w:t>
      </w:r>
    </w:p>
    <w:p>
      <w:pPr>
        <w:pStyle w:val="2"/>
        <w:numPr>
          <w:ilvl w:val="0"/>
          <w:numId w:val="3"/>
        </w:numPr>
        <w:spacing w:line="360" w:lineRule="auto"/>
        <w:rPr>
          <w:rFonts w:ascii="仿宋_GB2312" w:hAnsi="楷体_GB2312" w:eastAsia="仿宋_GB2312"/>
          <w:sz w:val="30"/>
          <w:szCs w:val="30"/>
        </w:rPr>
      </w:pPr>
      <w:r>
        <w:rPr>
          <w:rFonts w:hint="eastAsia" w:ascii="仿宋_GB2312" w:hAnsi="楷体_GB2312" w:eastAsia="仿宋_GB2312"/>
          <w:sz w:val="30"/>
          <w:szCs w:val="30"/>
        </w:rPr>
        <w:t xml:space="preserve">  </w:t>
      </w:r>
      <w:bookmarkStart w:id="52" w:name="_Toc257911880"/>
      <w:r>
        <w:rPr>
          <w:rFonts w:hint="eastAsia" w:ascii="仿宋_GB2312" w:hAnsi="楷体_GB2312" w:eastAsia="仿宋_GB2312"/>
          <w:sz w:val="30"/>
          <w:szCs w:val="30"/>
        </w:rPr>
        <w:t>声明、保证和承诺</w:t>
      </w:r>
      <w:bookmarkEnd w:id="52"/>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11.1</w:t>
      </w:r>
      <w:r>
        <w:rPr>
          <w:rFonts w:hint="eastAsia" w:ascii="仿宋_GB2312" w:hAnsi="宋体" w:eastAsia="仿宋_GB2312"/>
          <w:sz w:val="30"/>
          <w:szCs w:val="30"/>
        </w:rPr>
        <w:t>各方是根据中国法律设立、有效存续并正常经营的企业法人。</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11.2</w:t>
      </w:r>
      <w:r>
        <w:rPr>
          <w:rFonts w:hint="eastAsia" w:ascii="仿宋_GB2312" w:hAnsi="宋体" w:eastAsia="仿宋_GB2312"/>
          <w:sz w:val="30"/>
          <w:szCs w:val="30"/>
        </w:rPr>
        <w:t xml:space="preserve"> 各方保证遵照《银行间债券市场非金融企业债务融资工具管理办法》等法律及交易商协会相关自律规范文件开展注册发行工作。</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11.3</w:t>
      </w:r>
      <w:r>
        <w:rPr>
          <w:rFonts w:hint="eastAsia" w:ascii="仿宋_GB2312" w:hAnsi="宋体" w:eastAsia="仿宋_GB2312"/>
          <w:sz w:val="30"/>
          <w:szCs w:val="30"/>
        </w:rPr>
        <w:t>各方已按其应适用的法律及交易商协会相关自律规范文件办理一切必要的手续，并取得一切必要的登记及批准，且在该等法律及交易商协会相关自律规范文件项下拥有必要的权利，以便签署本协议和履行其在本协议项下的各项义务。</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11.4</w:t>
      </w:r>
      <w:r>
        <w:rPr>
          <w:rFonts w:hint="eastAsia" w:ascii="仿宋_GB2312" w:hAnsi="宋体" w:eastAsia="仿宋_GB2312"/>
          <w:sz w:val="30"/>
          <w:szCs w:val="30"/>
        </w:rPr>
        <w:t>各方已采取一切必要的内部行为，使其获得授权签订并履行本协议，其在本协议上签字的代表已获正当授权签署本协议，并使各方受本协议约束。</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11.5</w:t>
      </w:r>
      <w:r>
        <w:rPr>
          <w:rFonts w:hint="eastAsia" w:ascii="仿宋_GB2312" w:hAnsi="宋体" w:eastAsia="仿宋_GB2312"/>
          <w:sz w:val="30"/>
          <w:szCs w:val="30"/>
        </w:rPr>
        <w:t>各方签署本协议和履行其在本协议项下的义务，不会违反任何法律及交易商协会相关自律规范文件、该方的公司章程或内部规章、约束该方的任何合同或文件。</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11.6</w:t>
      </w:r>
      <w:r>
        <w:rPr>
          <w:rFonts w:hint="eastAsia" w:ascii="仿宋_GB2312" w:hAnsi="宋体" w:eastAsia="仿宋_GB2312"/>
          <w:sz w:val="30"/>
          <w:szCs w:val="30"/>
        </w:rPr>
        <w:t>各方没有正在进行的或潜在的可能严重影响其签署或履行本协议能力的诉讼、仲裁、政府调查、其他法律或行政程序。</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11.7</w:t>
      </w:r>
      <w:r>
        <w:rPr>
          <w:rFonts w:hint="eastAsia" w:ascii="仿宋_GB2312" w:hAnsi="宋体" w:eastAsia="仿宋_GB2312"/>
          <w:sz w:val="30"/>
          <w:szCs w:val="30"/>
        </w:rPr>
        <w:t>主承销方保证不从事违反《银行间债券市场非金融企业债务融资工具承销人员行为守则》等交易商协会相关自律规范文件的行为，包括但不限于就</w:t>
      </w:r>
      <w:r>
        <w:rPr>
          <w:rFonts w:ascii="仿宋_GB2312" w:hAnsi="宋体" w:eastAsia="仿宋_GB2312"/>
          <w:sz w:val="30"/>
          <w:szCs w:val="30"/>
        </w:rPr>
        <w:t>利率区间、利率水平、发行规模、注册时间等</w:t>
      </w:r>
      <w:r>
        <w:rPr>
          <w:rFonts w:hint="eastAsia" w:ascii="仿宋_GB2312" w:hAnsi="宋体" w:eastAsia="仿宋_GB2312"/>
          <w:sz w:val="30"/>
          <w:szCs w:val="30"/>
        </w:rPr>
        <w:t>不确定事项向发行方做出承诺；发行方保证不要求主承销方从事此类行为。</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11.8</w:t>
      </w:r>
      <w:r>
        <w:rPr>
          <w:rFonts w:hint="eastAsia" w:ascii="仿宋_GB2312" w:hAnsi="宋体" w:eastAsia="仿宋_GB2312"/>
          <w:sz w:val="30"/>
          <w:szCs w:val="30"/>
        </w:rPr>
        <w:t>本协议各方在此向其他签署方承诺，其将不会因其与其他签署方或其他第三方之间的任何债权债务关系而影响本协议的执行。</w:t>
      </w:r>
    </w:p>
    <w:p>
      <w:pPr>
        <w:pStyle w:val="2"/>
        <w:spacing w:line="360" w:lineRule="auto"/>
        <w:rPr>
          <w:rFonts w:ascii="仿宋_GB2312" w:eastAsia="仿宋_GB2312"/>
          <w:sz w:val="30"/>
          <w:szCs w:val="30"/>
        </w:rPr>
      </w:pPr>
      <w:bookmarkStart w:id="53" w:name="_Toc257911881"/>
      <w:r>
        <w:rPr>
          <w:rFonts w:hint="eastAsia" w:ascii="仿宋_GB2312" w:eastAsia="仿宋_GB2312"/>
          <w:sz w:val="30"/>
          <w:szCs w:val="30"/>
        </w:rPr>
        <w:t>第十二条  先决条件</w:t>
      </w:r>
      <w:bookmarkEnd w:id="53"/>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w:t>
      </w:r>
      <w:r>
        <w:rPr>
          <w:rFonts w:hint="eastAsia" w:ascii="仿宋_GB2312" w:hAnsi="宋体" w:eastAsia="仿宋_GB2312"/>
          <w:sz w:val="30"/>
          <w:szCs w:val="30"/>
        </w:rPr>
        <w:t>主承销方所承担的每期债务融资工具销售义务，以下列各项条件已于发行日前得到全部满足为先决条件：</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12.1.1</w:t>
      </w:r>
      <w:r>
        <w:rPr>
          <w:rFonts w:hint="eastAsia" w:ascii="仿宋_GB2312" w:hAnsi="宋体" w:eastAsia="仿宋_GB2312"/>
          <w:sz w:val="30"/>
          <w:szCs w:val="30"/>
        </w:rPr>
        <w:t>本协议项下债务融资工具的发行符合《银行间债券市场非金融企业债务融资工具管理办法》及交易商协会相关自律规范文件规定，已经依法获得监管部门、交易商协会等相关机构的批准、许可或注册/备案；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12.1.2</w:t>
      </w:r>
      <w:r>
        <w:rPr>
          <w:rFonts w:hint="eastAsia" w:ascii="仿宋_GB2312" w:hAnsi="宋体" w:eastAsia="仿宋_GB2312"/>
          <w:sz w:val="30"/>
          <w:szCs w:val="30"/>
        </w:rPr>
        <w:t>发行方已根据《银行间债券市场非金融企业债务融资工具信息披露规则》等</w:t>
      </w:r>
      <w:r>
        <w:rPr>
          <w:rFonts w:ascii="仿宋_GB2312" w:hAnsi="宋体" w:eastAsia="仿宋_GB2312"/>
          <w:sz w:val="30"/>
          <w:szCs w:val="30"/>
        </w:rPr>
        <w:t>法律</w:t>
      </w:r>
      <w:r>
        <w:rPr>
          <w:rFonts w:hint="eastAsia" w:ascii="仿宋_GB2312" w:hAnsi="宋体" w:eastAsia="仿宋_GB2312"/>
          <w:sz w:val="30"/>
          <w:szCs w:val="30"/>
        </w:rPr>
        <w:t>和交易商协会相关自律</w:t>
      </w:r>
      <w:r>
        <w:rPr>
          <w:rFonts w:ascii="仿宋_GB2312" w:hAnsi="宋体" w:eastAsia="仿宋_GB2312"/>
          <w:sz w:val="30"/>
          <w:szCs w:val="30"/>
        </w:rPr>
        <w:t>规范文件</w:t>
      </w:r>
      <w:r>
        <w:rPr>
          <w:rFonts w:hint="eastAsia" w:ascii="仿宋_GB2312" w:hAnsi="宋体" w:eastAsia="仿宋_GB2312"/>
          <w:sz w:val="30"/>
          <w:szCs w:val="30"/>
        </w:rPr>
        <w:t>，及时、准确、完整地公开披露了与本协议项下债务融资工具有关的各类信息；</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12.1.3</w:t>
      </w:r>
      <w:r>
        <w:rPr>
          <w:rFonts w:hint="eastAsia" w:ascii="仿宋_GB2312" w:hAnsi="宋体" w:eastAsia="仿宋_GB2312"/>
          <w:sz w:val="30"/>
          <w:szCs w:val="30"/>
        </w:rPr>
        <w:t>发行方和主承销方已经就债务融资工具的发行规模、期限、利率/价格区间等达成一致，并书面签署《利率/价格区间确认函》。</w:t>
      </w:r>
    </w:p>
    <w:p>
      <w:pPr>
        <w:pStyle w:val="12"/>
        <w:spacing w:before="156" w:after="156"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在发行人和主承销方签署《利率区间确认函》之后和簿记建档开始之前，若出现有确切证据表明簿记区间与市场存在严重偏差等情况，且发行人与主承销方根据交易商协会有关自律规范文件规定协商一致并决定延迟发行或调整利率区间的，则以发行人和主承销方再次就债务融资工具的发行规模、期限、利率/价格区间等达成一致，并书面签署《利率/价格区间确认函》为准。</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12.1.4</w:t>
      </w:r>
      <w:r>
        <w:rPr>
          <w:rFonts w:hint="eastAsia" w:ascii="仿宋_GB2312" w:hAnsi="宋体" w:eastAsia="仿宋_GB2312"/>
          <w:sz w:val="30"/>
          <w:szCs w:val="30"/>
        </w:rPr>
        <w:t>发行方未违反其在本协议和发行文件中的任何实质性义务及任何声明、保证和承诺，未发生本协议第十三、十四、十五条规定的重大不利事件、违约事件、不可抗力等情况；</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12.1.5</w:t>
      </w:r>
      <w:r>
        <w:rPr>
          <w:rFonts w:hint="eastAsia" w:ascii="仿宋_GB2312" w:hAnsi="宋体" w:eastAsia="仿宋_GB2312"/>
          <w:sz w:val="30"/>
          <w:szCs w:val="30"/>
        </w:rPr>
        <w:t>发行方与相关登记托管机构签订了相关登记、托管及兑付协议。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12.1.6</w:t>
      </w:r>
      <w:r>
        <w:rPr>
          <w:rFonts w:hint="eastAsia" w:ascii="仿宋_GB2312" w:hAnsi="宋体" w:eastAsia="仿宋_GB2312"/>
          <w:sz w:val="30"/>
          <w:szCs w:val="30"/>
        </w:rPr>
        <w:t>发行方所聘请的会计师事务所、律师事务所、信用评级机构等中介机构出具的专业意见持续合法有效且未发生任何重大不利变化；</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12.1.7</w:t>
      </w:r>
      <w:r>
        <w:rPr>
          <w:rFonts w:hint="eastAsia" w:ascii="仿宋_GB2312" w:hAnsi="宋体" w:eastAsia="仿宋_GB2312"/>
          <w:sz w:val="30"/>
          <w:szCs w:val="30"/>
        </w:rPr>
        <w:t>信用增进协议或相关文件（若有）持续合法有效且信用增进方案未发生任何重大不利变化。</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12.1.8</w:t>
      </w:r>
      <w:r>
        <w:rPr>
          <w:rFonts w:hint="eastAsia" w:ascii="仿宋_GB2312" w:hAnsi="宋体" w:eastAsia="仿宋_GB2312"/>
          <w:sz w:val="30"/>
          <w:szCs w:val="30"/>
        </w:rPr>
        <w:t>各方在《补充协议》中约定的其他条件（若有）。</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12.2</w:t>
      </w:r>
      <w:r>
        <w:rPr>
          <w:rFonts w:hint="eastAsia" w:ascii="仿宋_GB2312" w:hAnsi="宋体" w:eastAsia="仿宋_GB2312"/>
          <w:sz w:val="30"/>
          <w:szCs w:val="30"/>
        </w:rPr>
        <w:t>在上述先决条件全部满足之前，主承销方已经作出的任何决定和采取的任何行动不应被视为其承担本协议项下债务融资工具销售义务。</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12.3</w:t>
      </w:r>
      <w:r>
        <w:rPr>
          <w:rFonts w:hint="eastAsia" w:ascii="仿宋_GB2312" w:hAnsi="宋体" w:eastAsia="仿宋_GB2312"/>
          <w:sz w:val="30"/>
          <w:szCs w:val="30"/>
        </w:rPr>
        <w:t>主承销方有权放弃上述一项或多项先决条件对当期债务融资工具的适用；多方担任主承销方的，上述放弃先决条件的行为应经主承销方各方协商一致。</w:t>
      </w:r>
    </w:p>
    <w:p>
      <w:pPr>
        <w:pStyle w:val="2"/>
        <w:spacing w:line="360" w:lineRule="auto"/>
        <w:rPr>
          <w:rFonts w:ascii="仿宋_GB2312" w:hAnsi="楷体_GB2312" w:eastAsia="仿宋_GB2312"/>
          <w:sz w:val="30"/>
          <w:szCs w:val="30"/>
        </w:rPr>
      </w:pPr>
      <w:bookmarkStart w:id="54" w:name="_Toc248229698"/>
      <w:bookmarkEnd w:id="54"/>
      <w:bookmarkStart w:id="55" w:name="_Toc248229665"/>
      <w:bookmarkEnd w:id="55"/>
      <w:bookmarkStart w:id="56" w:name="_Toc248229663"/>
      <w:bookmarkEnd w:id="56"/>
      <w:bookmarkStart w:id="57" w:name="_Toc248229696"/>
      <w:bookmarkEnd w:id="57"/>
      <w:bookmarkStart w:id="58" w:name="_Toc248229664"/>
      <w:bookmarkEnd w:id="58"/>
      <w:bookmarkStart w:id="59" w:name="_Toc248229699"/>
      <w:bookmarkEnd w:id="59"/>
      <w:bookmarkStart w:id="60" w:name="_Toc248229659"/>
      <w:bookmarkEnd w:id="60"/>
      <w:bookmarkStart w:id="61" w:name="_Toc248229690"/>
      <w:bookmarkEnd w:id="61"/>
      <w:bookmarkStart w:id="62" w:name="_Toc248229694"/>
      <w:bookmarkEnd w:id="62"/>
      <w:bookmarkStart w:id="63" w:name="_Toc248229660"/>
      <w:bookmarkEnd w:id="63"/>
      <w:bookmarkStart w:id="64" w:name="_Toc248229661"/>
      <w:bookmarkEnd w:id="64"/>
      <w:bookmarkStart w:id="65" w:name="_Toc248229656"/>
      <w:bookmarkEnd w:id="65"/>
      <w:bookmarkStart w:id="66" w:name="_Toc248229693"/>
      <w:bookmarkEnd w:id="66"/>
      <w:bookmarkStart w:id="67" w:name="_Toc248229658"/>
      <w:bookmarkEnd w:id="67"/>
      <w:bookmarkStart w:id="68" w:name="_Toc248229691"/>
      <w:bookmarkEnd w:id="68"/>
      <w:bookmarkStart w:id="69" w:name="_Toc248229692"/>
      <w:bookmarkEnd w:id="69"/>
      <w:bookmarkStart w:id="70" w:name="_Toc237232447"/>
      <w:bookmarkEnd w:id="70"/>
      <w:bookmarkStart w:id="71" w:name="_Toc248229657"/>
      <w:bookmarkEnd w:id="71"/>
      <w:bookmarkStart w:id="72" w:name="_Toc248229662"/>
      <w:bookmarkEnd w:id="72"/>
      <w:bookmarkStart w:id="73" w:name="_Toc248229695"/>
      <w:bookmarkEnd w:id="73"/>
      <w:bookmarkStart w:id="74" w:name="_Toc248229701"/>
      <w:bookmarkEnd w:id="74"/>
      <w:bookmarkStart w:id="75" w:name="_Toc248229702"/>
      <w:bookmarkEnd w:id="75"/>
      <w:bookmarkStart w:id="76" w:name="_Toc248229666"/>
      <w:bookmarkEnd w:id="76"/>
      <w:bookmarkStart w:id="77" w:name="_Toc248229668"/>
      <w:bookmarkEnd w:id="77"/>
      <w:bookmarkStart w:id="78" w:name="_Toc248229667"/>
      <w:bookmarkEnd w:id="78"/>
      <w:bookmarkStart w:id="79" w:name="_Toc248229700"/>
      <w:bookmarkEnd w:id="79"/>
      <w:bookmarkStart w:id="80" w:name="_Toc248229697"/>
      <w:bookmarkEnd w:id="80"/>
      <w:bookmarkStart w:id="81" w:name="_Toc257911882"/>
      <w:r>
        <w:rPr>
          <w:rFonts w:hint="eastAsia" w:ascii="仿宋_GB2312" w:hAnsi="楷体_GB2312" w:eastAsia="仿宋_GB2312"/>
          <w:sz w:val="30"/>
          <w:szCs w:val="30"/>
        </w:rPr>
        <w:t>第十三条  重大不利事件</w:t>
      </w:r>
      <w:bookmarkEnd w:id="81"/>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13.1</w:t>
      </w:r>
      <w:r>
        <w:rPr>
          <w:rFonts w:hint="eastAsia" w:ascii="仿宋_GB2312" w:hAnsi="宋体" w:eastAsia="仿宋_GB2312"/>
          <w:sz w:val="30"/>
          <w:szCs w:val="30"/>
        </w:rPr>
        <w:t>如果在簿记建档开始前出现可能对当期债务融资工具发行产生重大影响的政策调整，发行方和主承销方经协商一致后可以暂缓债务融资工具发行或调整簿记利率区间。</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w:t>
      </w:r>
      <w:r>
        <w:rPr>
          <w:rFonts w:hint="eastAsia" w:ascii="仿宋_GB2312" w:hAnsi="宋体" w:eastAsia="仿宋_GB2312"/>
          <w:sz w:val="30"/>
          <w:szCs w:val="30"/>
        </w:rPr>
        <w:t>如果主承销方发生下列情况，且足以对顺利承销债务融资工具造成实质性不利影响的，应立即通知发行方。发行方有权暂停或停止发行事宜，并按法律及交易商协会相关自律规范文件、债务融资工具发行文件的约定采取措施：</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13.2.1</w:t>
      </w:r>
      <w:r>
        <w:rPr>
          <w:rFonts w:hint="eastAsia" w:ascii="仿宋_GB2312" w:hAnsi="宋体" w:eastAsia="仿宋_GB2312"/>
          <w:sz w:val="30"/>
          <w:szCs w:val="30"/>
        </w:rPr>
        <w:t>主承销方的经营状况发生重大变化；</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13.2.2</w:t>
      </w:r>
      <w:r>
        <w:rPr>
          <w:rFonts w:hint="eastAsia" w:ascii="仿宋_GB2312" w:hAnsi="宋体" w:eastAsia="仿宋_GB2312"/>
          <w:sz w:val="30"/>
          <w:szCs w:val="30"/>
        </w:rPr>
        <w:t>主承销方的承销资质发生变化；</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13.2.3</w:t>
      </w:r>
      <w:r>
        <w:rPr>
          <w:rFonts w:hint="eastAsia" w:ascii="仿宋_GB2312" w:hAnsi="宋体" w:eastAsia="仿宋_GB2312"/>
          <w:sz w:val="30"/>
          <w:szCs w:val="30"/>
        </w:rPr>
        <w:t>主承销方发生未能清偿到期债务的违约情况；</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13.2.4</w:t>
      </w:r>
      <w:r>
        <w:rPr>
          <w:rFonts w:hint="eastAsia" w:ascii="仿宋_GB2312" w:hAnsi="宋体" w:eastAsia="仿宋_GB2312"/>
          <w:sz w:val="30"/>
          <w:szCs w:val="30"/>
        </w:rPr>
        <w:t>主承销方做出减资、合并、分立、解散及申请破产的决定；</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13.2.5</w:t>
      </w:r>
      <w:r>
        <w:rPr>
          <w:rFonts w:hint="eastAsia" w:ascii="仿宋_GB2312" w:hAnsi="宋体" w:eastAsia="仿宋_GB2312"/>
          <w:sz w:val="30"/>
          <w:szCs w:val="30"/>
        </w:rPr>
        <w:t>主承销方涉及重大诉讼、仲裁事项或受到重大行政处罚；</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13.2.6</w:t>
      </w:r>
      <w:r>
        <w:rPr>
          <w:rFonts w:hint="eastAsia" w:ascii="仿宋_GB2312" w:hAnsi="宋体" w:eastAsia="仿宋_GB2312"/>
          <w:sz w:val="30"/>
          <w:szCs w:val="30"/>
        </w:rPr>
        <w:t>主承销方董事、监事、高级管理人员涉及重大民事或刑事诉讼，或已就重大经济事件接受有关部门调查；</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13.2.7</w:t>
      </w:r>
      <w:r>
        <w:rPr>
          <w:rFonts w:hint="eastAsia" w:ascii="仿宋_GB2312" w:hAnsi="宋体" w:eastAsia="仿宋_GB2312"/>
          <w:sz w:val="30"/>
          <w:szCs w:val="30"/>
        </w:rPr>
        <w:t>其他足以对主承销方顺利承销债务融资工具造成重大不利影响的情形。</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13.3</w:t>
      </w:r>
      <w:r>
        <w:rPr>
          <w:rFonts w:hint="eastAsia" w:ascii="仿宋_GB2312" w:hAnsi="宋体" w:eastAsia="仿宋_GB2312"/>
          <w:sz w:val="30"/>
          <w:szCs w:val="30"/>
        </w:rPr>
        <w:t>如果发行方发生下列情况，足以对发行或偿还债务融资工具造成实质性不利影响的，应立即通知主承销方。主承销方有权暂缓或停止发行事宜，并按法律及交易商协会相关自律规范文件、债务融资工具发行相关文件的约定采取措施：</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w:t>
      </w:r>
      <w:r>
        <w:rPr>
          <w:rFonts w:hint="eastAsia" w:ascii="仿宋_GB2312" w:hAnsi="宋体" w:eastAsia="仿宋_GB2312" w:cs="宋体"/>
          <w:kern w:val="0"/>
          <w:sz w:val="30"/>
          <w:szCs w:val="30"/>
        </w:rPr>
        <w:t>发行人名称、经营方针和经营范围发生重大变化；</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13.3.2</w:t>
      </w:r>
      <w:r>
        <w:rPr>
          <w:rFonts w:hint="eastAsia" w:ascii="仿宋_GB2312" w:hAnsi="宋体" w:eastAsia="仿宋_GB2312" w:cs="宋体"/>
          <w:kern w:val="0"/>
          <w:sz w:val="30"/>
          <w:szCs w:val="30"/>
        </w:rPr>
        <w:t>发行人生产经营的外部条件发生重大变化；</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13.3.3</w:t>
      </w:r>
      <w:r>
        <w:rPr>
          <w:rFonts w:hint="eastAsia" w:ascii="仿宋_GB2312" w:hAnsi="宋体" w:eastAsia="仿宋_GB2312" w:cs="宋体"/>
          <w:kern w:val="0"/>
          <w:sz w:val="30"/>
          <w:szCs w:val="30"/>
        </w:rPr>
        <w:t>发行人涉及可能对其资产、负债、权益和经营成果产生重要影响的重大合同；</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13.3.4</w:t>
      </w:r>
      <w:r>
        <w:rPr>
          <w:rFonts w:hint="eastAsia" w:ascii="仿宋_GB2312" w:hAnsi="宋体" w:eastAsia="仿宋_GB2312" w:cs="宋体"/>
          <w:kern w:val="0"/>
          <w:sz w:val="30"/>
          <w:szCs w:val="30"/>
        </w:rPr>
        <w:t>发行人发生可能影响其偿债能力的资产抵押、质押、出售、转让、划转或报废；</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13.3.5</w:t>
      </w:r>
      <w:r>
        <w:rPr>
          <w:rFonts w:hint="eastAsia" w:ascii="仿宋_GB2312" w:hAnsi="宋体" w:eastAsia="仿宋_GB2312" w:cs="宋体"/>
          <w:kern w:val="0"/>
          <w:sz w:val="30"/>
          <w:szCs w:val="30"/>
        </w:rPr>
        <w:t>发行人发生未能清偿到期重大债务的违约情况；</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13.3.6</w:t>
      </w:r>
      <w:r>
        <w:rPr>
          <w:rFonts w:hint="eastAsia" w:ascii="仿宋_GB2312" w:hAnsi="宋体" w:eastAsia="仿宋_GB2312" w:cs="宋体"/>
          <w:kern w:val="0"/>
          <w:sz w:val="30"/>
          <w:szCs w:val="30"/>
        </w:rPr>
        <w:t>发行人发生大额赔偿责任或因赔偿责任影响正常生产经营且难以消除的；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13.3.7</w:t>
      </w:r>
      <w:r>
        <w:rPr>
          <w:rFonts w:hint="eastAsia" w:ascii="仿宋_GB2312" w:hAnsi="宋体" w:eastAsia="仿宋_GB2312" w:cs="宋体"/>
          <w:kern w:val="0"/>
          <w:sz w:val="30"/>
          <w:szCs w:val="30"/>
        </w:rPr>
        <w:t>发行人发生超过净资产</w:t>
      </w:r>
      <w:r>
        <w:rPr>
          <w:rFonts w:ascii="仿宋_GB2312" w:hAnsi="宋体" w:eastAsia="仿宋_GB2312" w:cs="宋体"/>
          <w:kern w:val="0"/>
          <w:sz w:val="30"/>
          <w:szCs w:val="30"/>
        </w:rPr>
        <w:t>10%以上的重大亏损或重大损失；</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13.3.8</w:t>
      </w:r>
      <w:r>
        <w:rPr>
          <w:rFonts w:hint="eastAsia" w:ascii="仿宋_GB2312" w:hAnsi="宋体" w:eastAsia="仿宋_GB2312" w:cs="宋体"/>
          <w:kern w:val="0"/>
          <w:sz w:val="30"/>
          <w:szCs w:val="30"/>
        </w:rPr>
        <w:t>发行人一次免除他人债务超过一定金额，可能影响其偿债能力的；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13.3.9</w:t>
      </w:r>
      <w:r>
        <w:rPr>
          <w:rFonts w:hint="eastAsia" w:ascii="仿宋_GB2312" w:hAnsi="宋体" w:eastAsia="仿宋_GB2312" w:cs="宋体"/>
          <w:kern w:val="0"/>
          <w:sz w:val="30"/>
          <w:szCs w:val="30"/>
        </w:rPr>
        <w:t>发行人三分之一以上董事、三分之二以上监事、董事长或者总经理发生变动；董事长或者总经理无法履行职责；</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13.3.10</w:t>
      </w:r>
      <w:r>
        <w:rPr>
          <w:rFonts w:hint="eastAsia" w:ascii="仿宋_GB2312" w:hAnsi="宋体" w:eastAsia="仿宋_GB2312" w:cs="宋体"/>
          <w:kern w:val="0"/>
          <w:sz w:val="30"/>
          <w:szCs w:val="30"/>
        </w:rPr>
        <w:t>发行人做出减资、合并、分立、解散及申请破产的决定，或者依法进入破产程序、被责令关闭；</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13.3.11</w:t>
      </w:r>
      <w:r>
        <w:rPr>
          <w:rFonts w:hint="eastAsia" w:ascii="仿宋_GB2312" w:hAnsi="宋体" w:eastAsia="仿宋_GB2312" w:cs="宋体"/>
          <w:kern w:val="0"/>
          <w:sz w:val="30"/>
          <w:szCs w:val="30"/>
        </w:rPr>
        <w:t>发行人涉及需要说明的市场传闻；</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13.3.12</w:t>
      </w:r>
      <w:r>
        <w:rPr>
          <w:rFonts w:hint="eastAsia" w:ascii="仿宋_GB2312" w:hAnsi="宋体" w:eastAsia="仿宋_GB2312" w:cs="宋体"/>
          <w:kern w:val="0"/>
          <w:sz w:val="30"/>
          <w:szCs w:val="30"/>
        </w:rPr>
        <w:t>发行人涉及重大诉讼、仲裁事项；</w:t>
      </w:r>
      <w:r>
        <w:rPr>
          <w:rFonts w:ascii="仿宋_GB2312" w:hAnsi="宋体" w:eastAsia="仿宋_GB2312" w:cs="宋体"/>
          <w:b/>
          <w:bCs/>
          <w:kern w:val="0"/>
          <w:sz w:val="30"/>
          <w:szCs w:val="30"/>
        </w:rPr>
        <w:t xml:space="preserve"> </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13.3.13</w:t>
      </w:r>
      <w:r>
        <w:rPr>
          <w:rFonts w:hint="eastAsia" w:ascii="仿宋_GB2312" w:hAnsi="宋体" w:eastAsia="仿宋_GB2312" w:cs="宋体"/>
          <w:kern w:val="0"/>
          <w:sz w:val="30"/>
          <w:szCs w:val="30"/>
        </w:rPr>
        <w:t>发行人涉嫌违法违规被有权机关调查，或者受到刑事处罚、重大行政处罚；发行人董事、监事、高级管理人员涉嫌违法违纪被有权机关调查或者采取强制措施；</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13.3.14</w:t>
      </w:r>
      <w:r>
        <w:rPr>
          <w:rFonts w:hint="eastAsia" w:ascii="仿宋_GB2312" w:hAnsi="宋体" w:eastAsia="仿宋_GB2312" w:cs="宋体"/>
          <w:kern w:val="0"/>
          <w:sz w:val="30"/>
          <w:szCs w:val="30"/>
        </w:rPr>
        <w:t>发行人发生可能影响其偿债能力的资产被查封、扣押或冻结的情况；发行人主要或者全部业务陷入停顿，可能影响其偿债能力的；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13.3.15</w:t>
      </w:r>
      <w:r>
        <w:rPr>
          <w:rFonts w:hint="eastAsia" w:ascii="仿宋_GB2312" w:hAnsi="宋体" w:eastAsia="仿宋_GB2312" w:cs="宋体"/>
          <w:kern w:val="0"/>
          <w:sz w:val="30"/>
          <w:szCs w:val="30"/>
        </w:rPr>
        <w:t>发行人对外提供重大担保。</w:t>
      </w:r>
    </w:p>
    <w:p>
      <w:pPr>
        <w:pStyle w:val="12"/>
        <w:spacing w:before="156" w:after="156" w:line="360" w:lineRule="auto"/>
        <w:rPr>
          <w:rFonts w:ascii="仿宋_GB2312" w:hAnsi="宋体" w:eastAsia="仿宋_GB2312"/>
          <w:sz w:val="30"/>
          <w:szCs w:val="30"/>
        </w:rPr>
      </w:pPr>
      <w:r>
        <w:rPr>
          <w:rFonts w:ascii="仿宋_GB2312" w:hAnsi="宋体" w:eastAsia="仿宋_GB2312"/>
          <w:b/>
          <w:sz w:val="30"/>
          <w:szCs w:val="30"/>
        </w:rPr>
        <w:t>13.3.16</w:t>
      </w:r>
      <w:r>
        <w:rPr>
          <w:rFonts w:hint="eastAsia" w:ascii="仿宋_GB2312" w:hAnsi="宋体" w:eastAsia="仿宋_GB2312"/>
          <w:sz w:val="30"/>
          <w:szCs w:val="30"/>
        </w:rPr>
        <w:t>其他对投资者做出投资决策有重大影响的事项。</w:t>
      </w:r>
    </w:p>
    <w:p>
      <w:pPr>
        <w:pStyle w:val="2"/>
        <w:spacing w:line="360" w:lineRule="auto"/>
        <w:rPr>
          <w:rFonts w:ascii="仿宋_GB2312" w:hAnsi="楷体_GB2312" w:eastAsia="仿宋_GB2312"/>
          <w:sz w:val="30"/>
          <w:szCs w:val="30"/>
        </w:rPr>
      </w:pPr>
      <w:bookmarkStart w:id="82" w:name="_Toc257911883"/>
      <w:r>
        <w:rPr>
          <w:rFonts w:hint="eastAsia" w:ascii="仿宋_GB2312" w:hAnsi="楷体_GB2312" w:eastAsia="仿宋_GB2312"/>
          <w:sz w:val="30"/>
          <w:szCs w:val="30"/>
        </w:rPr>
        <w:t>第十四条  违约事件及违约责任</w:t>
      </w:r>
      <w:bookmarkEnd w:id="82"/>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14.1</w:t>
      </w:r>
      <w:r>
        <w:rPr>
          <w:rFonts w:hint="eastAsia" w:ascii="仿宋_GB2312" w:hAnsi="宋体" w:eastAsia="仿宋_GB2312"/>
          <w:sz w:val="30"/>
          <w:szCs w:val="30"/>
        </w:rPr>
        <w:t>发行方的违约事件及违约责任：</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14.1.1</w:t>
      </w:r>
      <w:r>
        <w:rPr>
          <w:rFonts w:hint="eastAsia" w:ascii="仿宋_GB2312" w:hAnsi="宋体" w:eastAsia="仿宋_GB2312"/>
          <w:sz w:val="30"/>
          <w:szCs w:val="30"/>
        </w:rPr>
        <w:t>如果发行方未能根据本协议约定向主承销方支付应付款项，发行方应就应付未付款项向主承销方支付违约金；违约金自违约之日起，按应付未付款金额的日万分之五计算，直至实际付清之日止。</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14.1.2</w:t>
      </w:r>
      <w:r>
        <w:rPr>
          <w:rFonts w:hint="eastAsia" w:ascii="仿宋_GB2312" w:hAnsi="宋体" w:eastAsia="仿宋_GB2312"/>
          <w:sz w:val="30"/>
          <w:szCs w:val="30"/>
        </w:rPr>
        <w:t>如果发行方违反《银行间债券市场非金融企业债务融资工具管理办法》等法律及交易商协会相关自律规范文件的规定，包括但不限于信息披露义务，应赔偿由此给主承销方造成的实际损失。</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14.1.3</w:t>
      </w:r>
      <w:r>
        <w:rPr>
          <w:rFonts w:hint="eastAsia" w:ascii="仿宋_GB2312" w:hAnsi="宋体" w:eastAsia="仿宋_GB2312"/>
          <w:sz w:val="30"/>
          <w:szCs w:val="30"/>
        </w:rPr>
        <w:t>如果发行方违反其在本协议中的声明、保证和承诺，或没有履行上述第14.1.1款、第14.1.2款所涉及义务以外的其他义务而导致主承销方遭受损失，发行方应赔偿主承销方的实际损失。</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14.1.4</w:t>
      </w:r>
      <w:r>
        <w:rPr>
          <w:rFonts w:hint="eastAsia" w:ascii="仿宋_GB2312" w:hAnsi="宋体" w:eastAsia="仿宋_GB2312"/>
          <w:sz w:val="30"/>
          <w:szCs w:val="30"/>
        </w:rPr>
        <w:t>如果发行方发生上述第14.1.1款、第14.1.2款或第14.1.3款违约事件，主承销方有权暂缓履行或解除其在本协议项下尚未完成发行的债务融资工具的部分或全部承销义务。</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w:t>
      </w:r>
      <w:r>
        <w:rPr>
          <w:rFonts w:hint="eastAsia" w:ascii="仿宋_GB2312" w:hAnsi="宋体" w:eastAsia="仿宋_GB2312"/>
          <w:sz w:val="30"/>
          <w:szCs w:val="30"/>
        </w:rPr>
        <w:t>主承销方的违约事件及违约责任：</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14.2.1</w:t>
      </w:r>
      <w:r>
        <w:rPr>
          <w:rFonts w:hint="eastAsia" w:ascii="仿宋_GB2312" w:hAnsi="宋体" w:eastAsia="仿宋_GB2312"/>
          <w:sz w:val="30"/>
          <w:szCs w:val="30"/>
        </w:rPr>
        <w:t>如果主承销方未能根据本协议约定向发行方支付募集资金，主承销方应就应付未付款项向发行方支付滞纳金；滞纳金自违约之日起，按应付未付款金额的日万分之五计算，直至实际付款之日止。</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14.2.2</w:t>
      </w:r>
      <w:r>
        <w:rPr>
          <w:rFonts w:hint="eastAsia" w:ascii="仿宋_GB2312" w:hAnsi="宋体" w:eastAsia="仿宋_GB2312"/>
          <w:sz w:val="30"/>
          <w:szCs w:val="30"/>
        </w:rPr>
        <w:t>如果主承销方违反《银行间债券市场非金融企业债务融资工具管理办法》等法律及交易商协会相关自律规范文件的规定，主承销方应赔偿由此给发行方造成的实际损失。</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14.2.3</w:t>
      </w:r>
      <w:r>
        <w:rPr>
          <w:rFonts w:hint="eastAsia" w:ascii="仿宋_GB2312" w:hAnsi="宋体" w:eastAsia="仿宋_GB2312"/>
          <w:sz w:val="30"/>
          <w:szCs w:val="30"/>
        </w:rPr>
        <w:t>如果主承销方违反其在本协议中的声明、保证和承诺，或没有履行上述第14.2.1、14.2.2之外的其他义务而导致发行方由此遭受损失，则主承销方应赔偿发行方的实际损失。</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14.2.4</w:t>
      </w:r>
      <w:r>
        <w:rPr>
          <w:rFonts w:hint="eastAsia" w:ascii="仿宋_GB2312" w:hAnsi="宋体" w:eastAsia="仿宋_GB2312"/>
          <w:sz w:val="30"/>
          <w:szCs w:val="30"/>
        </w:rPr>
        <w:t>如果主承销方发生上述第14.2.1款、第14.2.2款或第14.2.3款约定的违约事件，发行方有权解除本协议项下尚未完成发行的债务融资工具对主承销方的委任。</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14.2.5</w:t>
      </w:r>
      <w:r>
        <w:rPr>
          <w:rFonts w:hint="eastAsia" w:ascii="仿宋_GB2312" w:hAnsi="宋体" w:eastAsia="仿宋_GB2312"/>
          <w:sz w:val="30"/>
          <w:szCs w:val="30"/>
        </w:rPr>
        <w:t>每一主承销方在本协议下的义务各自独立，任一主承销方对于因其他主承销方的违约行为、采取的行动或提出的意见而造成的任何实际损失，均不承担任何连带责任。</w:t>
      </w:r>
    </w:p>
    <w:p>
      <w:pPr>
        <w:pStyle w:val="2"/>
        <w:spacing w:line="360" w:lineRule="auto"/>
        <w:rPr>
          <w:rFonts w:ascii="仿宋_GB2312" w:hAnsi="楷体_GB2312" w:eastAsia="仿宋_GB2312"/>
          <w:sz w:val="30"/>
          <w:szCs w:val="30"/>
        </w:rPr>
      </w:pPr>
      <w:bookmarkStart w:id="83" w:name="_Toc257911884"/>
      <w:r>
        <w:rPr>
          <w:rFonts w:hint="eastAsia" w:ascii="仿宋_GB2312" w:hAnsi="楷体_GB2312" w:eastAsia="仿宋_GB2312"/>
          <w:sz w:val="30"/>
          <w:szCs w:val="30"/>
        </w:rPr>
        <w:t>第十五条  不可抗力</w:t>
      </w:r>
      <w:bookmarkEnd w:id="83"/>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15.1</w:t>
      </w:r>
      <w:r>
        <w:rPr>
          <w:rFonts w:hint="eastAsia" w:ascii="仿宋_GB2312" w:hAnsi="宋体" w:eastAsia="仿宋_GB2312"/>
          <w:sz w:val="30"/>
          <w:szCs w:val="30"/>
        </w:rPr>
        <w:t xml:space="preserve"> 本协议所称的不可抗力是指各方不能预见、不能避免并不能克服的、且对一方或各方履行本协议造成实质性不利影响的客观事件，包括但不限于自然灾害、战争、中国法律发生重大变化等事件。</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15.2</w:t>
      </w:r>
      <w:r>
        <w:rPr>
          <w:rFonts w:hint="eastAsia" w:ascii="仿宋_GB2312" w:hAnsi="宋体" w:eastAsia="仿宋_GB2312"/>
          <w:sz w:val="30"/>
          <w:szCs w:val="30"/>
        </w:rPr>
        <w:t xml:space="preserve"> </w:t>
      </w:r>
      <w:r>
        <w:rPr>
          <w:rFonts w:ascii="仿宋_GB2312" w:hAnsi="宋体" w:eastAsia="仿宋_GB2312"/>
          <w:sz w:val="30"/>
          <w:szCs w:val="30"/>
        </w:rPr>
        <w:t>上述不可抗力情形的发生并不当然的构成本协议项下的免责事由。</w:t>
      </w:r>
      <w:r>
        <w:rPr>
          <w:rFonts w:hint="eastAsia" w:ascii="仿宋_GB2312" w:hAnsi="宋体" w:eastAsia="仿宋_GB2312"/>
          <w:sz w:val="30"/>
          <w:szCs w:val="30"/>
        </w:rPr>
        <w:t>当事人迟延履行本协议项下约定的义务后发生不可抗力的，不能免除责任。</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15.3</w:t>
      </w:r>
      <w:r>
        <w:rPr>
          <w:rFonts w:hint="eastAsia" w:ascii="仿宋_GB2312" w:hAnsi="宋体" w:eastAsia="仿宋_GB2312"/>
          <w:sz w:val="30"/>
          <w:szCs w:val="30"/>
        </w:rPr>
        <w:t>宣称发生不可抗力事件的一方应迅速书面通知本协议其他各方，并在其后的15天内提供证明不可抗力事件发生及持续的充分证据。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15.4</w:t>
      </w:r>
      <w:r>
        <w:rPr>
          <w:rFonts w:hint="eastAsia" w:ascii="仿宋_GB2312" w:hAnsi="宋体" w:eastAsia="仿宋_GB2312"/>
          <w:sz w:val="30"/>
          <w:szCs w:val="30"/>
        </w:rPr>
        <w:t>受不可抗力事件影响的一方可以暂缓履行其在本协议项下的义务，直至该等影响消除之日，但应及时采取措施努力防止该影响造成的损失继续扩大，否则应就扩大的损失对其他各方承担相应的赔偿责任。</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15.5</w:t>
      </w:r>
      <w:r>
        <w:rPr>
          <w:rFonts w:hint="eastAsia" w:ascii="仿宋_GB2312" w:hAnsi="宋体" w:eastAsia="仿宋_GB2312"/>
          <w:sz w:val="30"/>
          <w:szCs w:val="30"/>
        </w:rPr>
        <w:t>如果不可抗力事件影响持续超过60天，且双方尚未通过协商就解决办法达成一致，则任何一方有权向其他方发送书面通知（“终止通知”）以终止本协议对受不可抗力影响的当期债务融资工具发行的适用。</w:t>
      </w:r>
    </w:p>
    <w:p>
      <w:pPr>
        <w:pStyle w:val="2"/>
        <w:spacing w:line="360" w:lineRule="auto"/>
        <w:rPr>
          <w:rFonts w:ascii="仿宋_GB2312" w:hAnsi="楷体_GB2312" w:eastAsia="仿宋_GB2312"/>
          <w:sz w:val="30"/>
          <w:szCs w:val="30"/>
        </w:rPr>
      </w:pPr>
      <w:bookmarkStart w:id="84" w:name="_Toc257911885"/>
      <w:r>
        <w:rPr>
          <w:rFonts w:hint="eastAsia" w:ascii="仿宋_GB2312" w:hAnsi="楷体_GB2312" w:eastAsia="仿宋_GB2312"/>
          <w:sz w:val="30"/>
          <w:szCs w:val="30"/>
        </w:rPr>
        <w:t>第十六条  保密</w:t>
      </w:r>
      <w:bookmarkEnd w:id="84"/>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16.1</w:t>
      </w:r>
      <w:r>
        <w:rPr>
          <w:rFonts w:hint="eastAsia" w:ascii="仿宋_GB2312" w:hAnsi="宋体" w:eastAsia="仿宋_GB2312"/>
          <w:sz w:val="30"/>
          <w:szCs w:val="30"/>
        </w:rPr>
        <w:t>任何一方因发行承销工作获得其他方有关业务、财务状况及其他非公开信息的资料（包括书面资料和非书面资料，以下简称“保密资料”），除相关协议另有约定外，接受上述保密资料的一方应当对该资料予以保密，除对履行其工作职责而需知道上述保密资料的本方雇员外，不向任何人或机构透露上述保密资料。</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16.2</w:t>
      </w:r>
      <w:r>
        <w:rPr>
          <w:rFonts w:hint="eastAsia" w:ascii="仿宋_GB2312" w:hAnsi="宋体" w:eastAsia="仿宋_GB2312"/>
          <w:sz w:val="30"/>
          <w:szCs w:val="30"/>
        </w:rPr>
        <w:t>上述第16.1款的规定不适用于下述保密资料：</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16.2.1</w:t>
      </w:r>
      <w:r>
        <w:rPr>
          <w:rFonts w:hint="eastAsia" w:ascii="仿宋_GB2312" w:hAnsi="宋体" w:eastAsia="仿宋_GB2312"/>
          <w:sz w:val="30"/>
          <w:szCs w:val="30"/>
        </w:rPr>
        <w:t>有书面记录能够证明发行承销工作之前已为接受方所知的资料。</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16.2.2</w:t>
      </w:r>
      <w:r>
        <w:rPr>
          <w:rFonts w:hint="eastAsia" w:ascii="仿宋_GB2312" w:hAnsi="宋体" w:eastAsia="仿宋_GB2312"/>
          <w:sz w:val="30"/>
          <w:szCs w:val="30"/>
        </w:rPr>
        <w:t>非因接受方违反本协议而已公开的资料。</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16.2.3</w:t>
      </w:r>
      <w:r>
        <w:rPr>
          <w:rFonts w:hint="eastAsia" w:ascii="仿宋_GB2312" w:hAnsi="宋体" w:eastAsia="仿宋_GB2312"/>
          <w:sz w:val="30"/>
          <w:szCs w:val="30"/>
        </w:rPr>
        <w:t>接受方从对保密资料不承担任何保密义务的第三方获得的资料。</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16.3</w:t>
      </w:r>
      <w:r>
        <w:rPr>
          <w:rFonts w:hint="eastAsia" w:ascii="仿宋_GB2312" w:hAnsi="宋体" w:eastAsia="仿宋_GB2312"/>
          <w:sz w:val="30"/>
          <w:szCs w:val="30"/>
        </w:rPr>
        <w:t>每一方均应确保其本身及其与债务融资工具发行有关的关联方的董事、监事、高级管理人员和其他与债务融资工具发行有关的雇员同样遵守本条所述的保密义务。</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16.4</w:t>
      </w:r>
      <w:r>
        <w:rPr>
          <w:rFonts w:hint="eastAsia" w:ascii="仿宋_GB2312" w:hAnsi="宋体" w:eastAsia="仿宋_GB2312"/>
          <w:sz w:val="30"/>
          <w:szCs w:val="30"/>
        </w:rPr>
        <w:t>接受方有权为债务融资工具发行的目的把保密资料披露给其关联方、承销团成员、中介机构及各方的雇员和顾问；但在这种情况下，只应向有合理业务需要的人或机构披露该等资料，并要求上述各方遵守本保密条款。</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16.5</w:t>
      </w:r>
      <w:r>
        <w:rPr>
          <w:rFonts w:hint="eastAsia" w:ascii="仿宋_GB2312" w:hAnsi="宋体" w:eastAsia="仿宋_GB2312"/>
          <w:sz w:val="30"/>
          <w:szCs w:val="30"/>
        </w:rPr>
        <w:t>一方有权根据法律和交易商协会相关自律规范文件及有权机构的要求把资料披露给相关政府部门或有关机构。但是，在不违反法律、法规、交易商协会相关自律规范文件的前提下，被要求做出上述披露的一方应在上述披露前把该要求通知其他方。</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16.6</w:t>
      </w:r>
      <w:r>
        <w:rPr>
          <w:rFonts w:hint="eastAsia" w:ascii="仿宋_GB2312" w:hAnsi="宋体" w:eastAsia="仿宋_GB2312"/>
          <w:sz w:val="30"/>
          <w:szCs w:val="30"/>
        </w:rPr>
        <w:t>本条的任何规定不应妨碍一方按其诚信判断做出按照法律及交易商协会相关自律规范文件的公布或披露。</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16.7</w:t>
      </w:r>
      <w:r>
        <w:rPr>
          <w:rFonts w:hint="eastAsia" w:ascii="仿宋_GB2312" w:hAnsi="宋体" w:eastAsia="仿宋_GB2312"/>
          <w:sz w:val="30"/>
          <w:szCs w:val="30"/>
        </w:rPr>
        <w:t>本条规定不适用于在本协议各方事先给予书面同意之情形下所做出的披露。</w:t>
      </w:r>
    </w:p>
    <w:p>
      <w:pPr>
        <w:pStyle w:val="2"/>
        <w:spacing w:line="360" w:lineRule="auto"/>
        <w:rPr>
          <w:rFonts w:ascii="仿宋_GB2312" w:hAnsi="楷体_GB2312" w:eastAsia="仿宋_GB2312"/>
          <w:sz w:val="30"/>
          <w:szCs w:val="30"/>
        </w:rPr>
      </w:pPr>
      <w:bookmarkStart w:id="85" w:name="_Toc257911886"/>
      <w:r>
        <w:rPr>
          <w:rFonts w:hint="eastAsia" w:ascii="仿宋_GB2312" w:hAnsi="楷体_GB2312" w:eastAsia="仿宋_GB2312"/>
          <w:sz w:val="30"/>
          <w:szCs w:val="30"/>
        </w:rPr>
        <w:t>第十七条  转让</w:t>
      </w:r>
      <w:bookmarkEnd w:id="85"/>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17.1</w:t>
      </w:r>
      <w:r>
        <w:rPr>
          <w:rFonts w:hint="eastAsia" w:ascii="仿宋_GB2312" w:hAnsi="宋体" w:eastAsia="仿宋_GB2312"/>
          <w:sz w:val="30"/>
          <w:szCs w:val="30"/>
        </w:rPr>
        <w:t>未经各方事先书面同意，本协议任何一方不得转让其在本协议中的任何权利或义务。</w:t>
      </w:r>
    </w:p>
    <w:p>
      <w:pPr>
        <w:pStyle w:val="2"/>
        <w:spacing w:line="360" w:lineRule="auto"/>
        <w:rPr>
          <w:rFonts w:ascii="仿宋_GB2312" w:hAnsi="楷体_GB2312" w:eastAsia="仿宋_GB2312"/>
          <w:sz w:val="30"/>
          <w:szCs w:val="30"/>
        </w:rPr>
      </w:pPr>
      <w:bookmarkStart w:id="86" w:name="_Toc257911887"/>
      <w:r>
        <w:rPr>
          <w:rFonts w:hint="eastAsia" w:ascii="仿宋_GB2312" w:hAnsi="楷体_GB2312" w:eastAsia="仿宋_GB2312"/>
          <w:sz w:val="30"/>
          <w:szCs w:val="30"/>
        </w:rPr>
        <w:t>第十八条  不放弃权利</w:t>
      </w:r>
      <w:bookmarkEnd w:id="86"/>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18.1</w:t>
      </w:r>
      <w:r>
        <w:rPr>
          <w:rFonts w:hint="eastAsia" w:ascii="仿宋_GB2312" w:hAnsi="宋体" w:eastAsia="仿宋_GB2312"/>
          <w:sz w:val="30"/>
          <w:szCs w:val="30"/>
        </w:rPr>
        <w:t>未行使、延迟行使或部分行使本协议下的任何权利，不应被视为放弃权利。</w:t>
      </w:r>
    </w:p>
    <w:p>
      <w:pPr>
        <w:pStyle w:val="2"/>
        <w:spacing w:line="360" w:lineRule="auto"/>
        <w:rPr>
          <w:rFonts w:ascii="仿宋_GB2312" w:hAnsi="楷体_GB2312" w:eastAsia="仿宋_GB2312"/>
          <w:sz w:val="30"/>
          <w:szCs w:val="30"/>
        </w:rPr>
      </w:pPr>
      <w:bookmarkStart w:id="87" w:name="_Toc224440248"/>
      <w:bookmarkEnd w:id="87"/>
      <w:bookmarkStart w:id="88" w:name="_Toc224440360"/>
      <w:bookmarkEnd w:id="88"/>
      <w:bookmarkStart w:id="89" w:name="_Toc224440249"/>
      <w:bookmarkEnd w:id="89"/>
      <w:bookmarkStart w:id="90" w:name="_Toc224440361"/>
      <w:bookmarkEnd w:id="90"/>
      <w:bookmarkStart w:id="91" w:name="_Toc224440250"/>
      <w:bookmarkEnd w:id="91"/>
      <w:bookmarkStart w:id="92" w:name="_Toc224440362"/>
      <w:bookmarkEnd w:id="92"/>
      <w:bookmarkStart w:id="93" w:name="_Toc149736772"/>
      <w:bookmarkStart w:id="94" w:name="_Toc257911888"/>
      <w:r>
        <w:rPr>
          <w:rFonts w:hint="eastAsia" w:ascii="仿宋_GB2312" w:hAnsi="楷体_GB2312" w:eastAsia="仿宋_GB2312"/>
          <w:sz w:val="30"/>
          <w:szCs w:val="30"/>
        </w:rPr>
        <w:t>第十九条  通知方式</w:t>
      </w:r>
      <w:bookmarkEnd w:id="93"/>
      <w:r>
        <w:rPr>
          <w:rFonts w:hint="eastAsia" w:ascii="仿宋_GB2312" w:hAnsi="楷体_GB2312" w:eastAsia="仿宋_GB2312"/>
          <w:sz w:val="30"/>
          <w:szCs w:val="30"/>
        </w:rPr>
        <w:t>及其生效</w:t>
      </w:r>
      <w:bookmarkEnd w:id="94"/>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w:t>
      </w:r>
      <w:r>
        <w:rPr>
          <w:rFonts w:hint="eastAsia" w:ascii="仿宋_GB2312" w:hAnsi="宋体" w:eastAsia="仿宋_GB2312"/>
          <w:sz w:val="30"/>
          <w:szCs w:val="30"/>
        </w:rPr>
        <w:t>除非本协议另有规定，任何一方向本协议其他方发出本协议规定的任何通知应以书面形式做出，以中文书写，并以专人递送或速递服务、挂号邮寄、传真、电子信息系统等形式发往本协议列明的有关地址。</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19.1.1</w:t>
      </w:r>
      <w:r>
        <w:rPr>
          <w:rFonts w:hint="eastAsia" w:ascii="仿宋_GB2312" w:hAnsi="宋体" w:eastAsia="仿宋_GB2312"/>
          <w:sz w:val="30"/>
          <w:szCs w:val="30"/>
        </w:rPr>
        <w:t>采用专人递送或速递服务的，于送达回执的签收日生效；但是收件方、收件方的代理人或对收件方行使破产管理人权限的人士拒绝在送达回执上签收的，发件方可采用公证送达的方式，或可根据协议各方在补充协议中约定的公告送达或留置送达方式做出有效通知，且经公证送达、公告送达或留置送达而生效的通知应被视为在一切方面具有与根据原送达方式而生效的通知相同的效力。</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19.1.2</w:t>
      </w:r>
      <w:r>
        <w:rPr>
          <w:rFonts w:hint="eastAsia" w:ascii="仿宋_GB2312" w:hAnsi="宋体" w:eastAsia="仿宋_GB2312"/>
          <w:sz w:val="30"/>
          <w:szCs w:val="30"/>
        </w:rPr>
        <w:t>采用挂号邮寄方式发送的，于签收日生效。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19.1.3</w:t>
      </w:r>
      <w:r>
        <w:rPr>
          <w:rFonts w:hint="eastAsia" w:ascii="仿宋_GB2312" w:hAnsi="宋体" w:eastAsia="仿宋_GB2312"/>
          <w:sz w:val="30"/>
          <w:szCs w:val="30"/>
        </w:rPr>
        <w:t>采用传真发送的，于收件方确认收到字迹清楚的传真当日生效。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19.1.4</w:t>
      </w:r>
      <w:r>
        <w:rPr>
          <w:rFonts w:hint="eastAsia" w:ascii="仿宋_GB2312" w:hAnsi="宋体" w:eastAsia="仿宋_GB2312"/>
          <w:sz w:val="30"/>
          <w:szCs w:val="30"/>
        </w:rPr>
        <w:t>采用电子信息系统发送的，于通知进入收件方指定的接受电子信息的系统之日生效。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19.1.5</w:t>
      </w:r>
      <w:r>
        <w:rPr>
          <w:rFonts w:hint="eastAsia" w:ascii="仿宋_GB2312" w:hAnsi="宋体" w:eastAsia="仿宋_GB2312"/>
          <w:sz w:val="30"/>
          <w:szCs w:val="30"/>
        </w:rPr>
        <w:t>采用其他方式的，于协议各方另行约定的时间生效。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19.2</w:t>
      </w:r>
      <w:r>
        <w:rPr>
          <w:rFonts w:hint="eastAsia" w:ascii="仿宋_GB2312" w:hAnsi="宋体" w:eastAsia="仿宋_GB2312"/>
          <w:sz w:val="30"/>
          <w:szCs w:val="30"/>
        </w:rPr>
        <w:t>若以上日期并非工作日，或通知是在某个工作日的营业时间结束后送达、收到或进入相关系统的，则该通知应被视为在该日之后的下一个工作日生效。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19.3</w:t>
      </w:r>
      <w:r>
        <w:rPr>
          <w:rFonts w:hint="eastAsia" w:ascii="仿宋_GB2312" w:hAnsi="宋体" w:eastAsia="仿宋_GB2312"/>
          <w:sz w:val="30"/>
          <w:szCs w:val="30"/>
        </w:rPr>
        <w:t>若任何一方的上述通讯地址或联系方式发生变更，该方应立即按本协议约定的方法通知对方。变更后的通讯地址或联系方式自对方收到变更通知时生效。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19.4</w:t>
      </w:r>
      <w:r>
        <w:rPr>
          <w:rFonts w:hint="eastAsia" w:ascii="仿宋_GB2312" w:hAnsi="宋体" w:eastAsia="仿宋_GB2312"/>
          <w:sz w:val="30"/>
          <w:szCs w:val="30"/>
        </w:rPr>
        <w:t xml:space="preserve"> 本协议各方的联系方式如下：</w:t>
      </w:r>
    </w:p>
    <w:p>
      <w:pPr>
        <w:spacing w:before="156" w:after="156" w:line="360" w:lineRule="auto"/>
        <w:ind w:firstLine="602" w:firstLineChars="200"/>
        <w:rPr>
          <w:rFonts w:ascii="仿宋_GB2312" w:eastAsia="仿宋_GB2312"/>
          <w:sz w:val="30"/>
          <w:szCs w:val="30"/>
        </w:rPr>
      </w:pPr>
      <w:r>
        <w:rPr>
          <w:rFonts w:hint="eastAsia" w:ascii="仿宋_GB2312" w:eastAsia="仿宋_GB2312"/>
          <w:b/>
          <w:sz w:val="30"/>
          <w:szCs w:val="30"/>
        </w:rPr>
        <w:t>甲方</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邮寄地址：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联系人：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电话：</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传真：</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邮编：</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电子邮箱：</w:t>
      </w:r>
    </w:p>
    <w:p>
      <w:pPr>
        <w:spacing w:before="156" w:after="156" w:line="360" w:lineRule="auto"/>
        <w:ind w:firstLine="602" w:firstLineChars="200"/>
        <w:rPr>
          <w:rFonts w:ascii="仿宋_GB2312" w:eastAsia="仿宋_GB2312"/>
          <w:sz w:val="30"/>
          <w:szCs w:val="30"/>
        </w:rPr>
      </w:pPr>
      <w:r>
        <w:rPr>
          <w:rFonts w:hint="eastAsia" w:ascii="仿宋_GB2312" w:eastAsia="仿宋_GB2312"/>
          <w:b/>
          <w:sz w:val="30"/>
          <w:szCs w:val="30"/>
        </w:rPr>
        <w:t>乙方一</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邮寄地址：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联系人：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电话：</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传真：</w:t>
      </w:r>
    </w:p>
    <w:p>
      <w:pPr>
        <w:spacing w:before="156" w:after="156" w:line="360" w:lineRule="auto"/>
        <w:rPr>
          <w:rFonts w:ascii="仿宋_GB2312" w:eastAsia="仿宋_GB2312"/>
          <w:sz w:val="30"/>
          <w:szCs w:val="30"/>
        </w:rPr>
      </w:pPr>
      <w:r>
        <w:rPr>
          <w:rFonts w:hint="eastAsia" w:ascii="仿宋_GB2312" w:eastAsia="仿宋_GB2312"/>
          <w:sz w:val="30"/>
          <w:szCs w:val="30"/>
        </w:rPr>
        <w:t xml:space="preserve">        邮编：</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电子邮箱：</w:t>
      </w:r>
    </w:p>
    <w:p>
      <w:pPr>
        <w:pStyle w:val="2"/>
        <w:spacing w:line="360" w:lineRule="auto"/>
        <w:rPr>
          <w:rFonts w:ascii="仿宋_GB2312" w:hAnsi="楷体_GB2312" w:eastAsia="仿宋_GB2312"/>
          <w:sz w:val="30"/>
          <w:szCs w:val="30"/>
        </w:rPr>
      </w:pPr>
      <w:bookmarkStart w:id="95" w:name="_Toc257911889"/>
      <w:r>
        <w:rPr>
          <w:rFonts w:hint="eastAsia" w:ascii="仿宋_GB2312" w:hAnsi="楷体_GB2312" w:eastAsia="仿宋_GB2312"/>
          <w:sz w:val="30"/>
          <w:szCs w:val="30"/>
        </w:rPr>
        <w:t>第二十条  协议的签署和生效</w:t>
      </w:r>
      <w:bookmarkEnd w:id="95"/>
    </w:p>
    <w:p>
      <w:pPr>
        <w:pStyle w:val="12"/>
        <w:spacing w:before="156" w:after="156" w:line="312" w:lineRule="auto"/>
        <w:rPr>
          <w:rFonts w:ascii="仿宋_GB2312" w:hAnsi="宋体" w:eastAsia="仿宋_GB2312"/>
          <w:sz w:val="30"/>
          <w:szCs w:val="30"/>
        </w:rPr>
      </w:pPr>
      <w:r>
        <w:rPr>
          <w:rFonts w:hint="eastAsia" w:ascii="仿宋_GB2312" w:hAnsi="宋体" w:eastAsia="仿宋_GB2312"/>
          <w:b/>
          <w:sz w:val="30"/>
          <w:szCs w:val="30"/>
        </w:rPr>
        <w:t>20.1</w:t>
      </w:r>
      <w:r>
        <w:rPr>
          <w:rFonts w:hint="eastAsia" w:ascii="仿宋_GB2312" w:hAnsi="宋体" w:eastAsia="仿宋_GB2312"/>
          <w:sz w:val="30"/>
          <w:szCs w:val="30"/>
        </w:rPr>
        <w:t>本协议经各方法定代表人或授权签字人签字并加盖公章或者合同专用章后生效。协议各方之间可根据需要签署补充协议。此前各方就本协议项下债务融资工具发行达成的任何承诺、谅解、安排或约定与本协议不一致的，以本协议为准。</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20.2</w:t>
      </w:r>
      <w:r>
        <w:rPr>
          <w:rFonts w:hint="eastAsia" w:ascii="仿宋_GB2312" w:hAnsi="宋体" w:eastAsia="仿宋_GB2312"/>
          <w:sz w:val="30"/>
          <w:szCs w:val="30"/>
        </w:rPr>
        <w:t>协议各方在签署《承销协议》和《补充协议》之后应自觉遵守本协议。</w:t>
      </w:r>
    </w:p>
    <w:p>
      <w:pPr>
        <w:pStyle w:val="12"/>
        <w:spacing w:before="156" w:after="156" w:line="312" w:lineRule="auto"/>
        <w:rPr>
          <w:rFonts w:ascii="仿宋_GB2312" w:hAnsi="宋体" w:eastAsia="仿宋_GB2312"/>
          <w:sz w:val="30"/>
          <w:szCs w:val="30"/>
        </w:rPr>
      </w:pPr>
      <w:r>
        <w:rPr>
          <w:rFonts w:hint="eastAsia" w:ascii="仿宋_GB2312" w:hAnsi="宋体" w:eastAsia="仿宋_GB2312"/>
          <w:b/>
          <w:sz w:val="30"/>
          <w:szCs w:val="30"/>
        </w:rPr>
        <w:t>20.3</w:t>
      </w:r>
      <w:r>
        <w:rPr>
          <w:rFonts w:hint="eastAsia" w:ascii="仿宋_GB2312" w:hAnsi="宋体" w:eastAsia="仿宋_GB2312"/>
          <w:sz w:val="30"/>
          <w:szCs w:val="30"/>
        </w:rPr>
        <w:t>主承销方应根据法律及交易商协会相关自律规范文件的要求及时将承销协议和补充协议（及其修改）送中国银行间市场交易商协会备案。</w:t>
      </w:r>
    </w:p>
    <w:p>
      <w:pPr>
        <w:pStyle w:val="2"/>
        <w:spacing w:line="360" w:lineRule="auto"/>
        <w:rPr>
          <w:rFonts w:ascii="仿宋_GB2312" w:hAnsi="楷体_GB2312" w:eastAsia="仿宋_GB2312"/>
          <w:sz w:val="30"/>
          <w:szCs w:val="30"/>
        </w:rPr>
      </w:pPr>
      <w:bookmarkStart w:id="96" w:name="_Toc257911890"/>
      <w:r>
        <w:rPr>
          <w:rFonts w:hint="eastAsia" w:ascii="仿宋_GB2312" w:hAnsi="楷体_GB2312" w:eastAsia="仿宋_GB2312"/>
          <w:sz w:val="30"/>
          <w:szCs w:val="30"/>
        </w:rPr>
        <w:t>第二十一条  协议的修改</w:t>
      </w:r>
      <w:bookmarkEnd w:id="96"/>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 xml:space="preserve">21.1 </w:t>
      </w:r>
      <w:r>
        <w:rPr>
          <w:rFonts w:hint="eastAsia" w:ascii="仿宋_GB2312" w:hAnsi="宋体" w:eastAsia="仿宋_GB2312"/>
          <w:sz w:val="30"/>
          <w:szCs w:val="30"/>
        </w:rPr>
        <w:t>在不违反中国法律的前提下，协议各方可在补充协议中对承销协议有关条款进行特别约定或对承销协议未尽事宜进行补充约定，但不得修改或排除承销协议的下述内容：</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21.1.1</w:t>
      </w:r>
      <w:r>
        <w:rPr>
          <w:rFonts w:hint="eastAsia" w:ascii="仿宋_GB2312" w:hAnsi="宋体" w:eastAsia="仿宋_GB2312"/>
          <w:sz w:val="30"/>
          <w:szCs w:val="30"/>
        </w:rPr>
        <w:t>第一条第1.19款对“中国法律/法律”的定义；</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21.1.2</w:t>
      </w:r>
      <w:r>
        <w:rPr>
          <w:rFonts w:hint="eastAsia" w:ascii="仿宋_GB2312" w:hAnsi="宋体" w:eastAsia="仿宋_GB2312"/>
          <w:sz w:val="30"/>
          <w:szCs w:val="30"/>
        </w:rPr>
        <w:t>第二条“协议的构成与效力等级”；</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21.1.3</w:t>
      </w:r>
      <w:r>
        <w:rPr>
          <w:rFonts w:hint="eastAsia" w:ascii="仿宋_GB2312" w:hAnsi="宋体" w:eastAsia="仿宋_GB2312"/>
          <w:sz w:val="30"/>
          <w:szCs w:val="30"/>
        </w:rPr>
        <w:t>第十一条“声明、保证和承诺”；</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 xml:space="preserve">21.1.4 </w:t>
      </w:r>
      <w:r>
        <w:rPr>
          <w:rFonts w:hint="eastAsia" w:ascii="仿宋_GB2312" w:hAnsi="宋体" w:eastAsia="仿宋_GB2312"/>
          <w:sz w:val="30"/>
          <w:szCs w:val="30"/>
        </w:rPr>
        <w:t>第二十条“协议的签署和生效”；</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21.1.5</w:t>
      </w:r>
      <w:r>
        <w:rPr>
          <w:rFonts w:hint="eastAsia" w:ascii="仿宋_GB2312" w:hAnsi="宋体" w:eastAsia="仿宋_GB2312"/>
          <w:sz w:val="30"/>
          <w:szCs w:val="30"/>
        </w:rPr>
        <w:t>本第二十一条；以及</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21.1.6</w:t>
      </w:r>
      <w:r>
        <w:rPr>
          <w:rFonts w:hint="eastAsia" w:ascii="仿宋_GB2312" w:hAnsi="宋体" w:eastAsia="仿宋_GB2312"/>
          <w:sz w:val="30"/>
          <w:szCs w:val="30"/>
        </w:rPr>
        <w:t>第二十三条第23.1款、第23.4款和第23.5款。</w:t>
      </w:r>
    </w:p>
    <w:p>
      <w:pPr>
        <w:pStyle w:val="2"/>
        <w:spacing w:line="360" w:lineRule="auto"/>
        <w:rPr>
          <w:rFonts w:ascii="仿宋_GB2312" w:hAnsi="楷体_GB2312" w:eastAsia="仿宋_GB2312"/>
          <w:sz w:val="30"/>
          <w:szCs w:val="30"/>
        </w:rPr>
      </w:pPr>
      <w:bookmarkStart w:id="97" w:name="_Toc257911891"/>
      <w:r>
        <w:rPr>
          <w:rFonts w:hint="eastAsia" w:ascii="仿宋_GB2312" w:hAnsi="楷体_GB2312" w:eastAsia="仿宋_GB2312"/>
          <w:sz w:val="30"/>
          <w:szCs w:val="30"/>
        </w:rPr>
        <w:t>第二十二条  协议的解除和终止</w:t>
      </w:r>
      <w:bookmarkEnd w:id="97"/>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22.1</w:t>
      </w:r>
      <w:r>
        <w:rPr>
          <w:rFonts w:hint="eastAsia" w:ascii="仿宋_GB2312" w:hAnsi="宋体" w:eastAsia="仿宋_GB2312"/>
          <w:sz w:val="30"/>
          <w:szCs w:val="30"/>
        </w:rPr>
        <w:t>除非本协议另有约定，本协议生效后，任何一方不得单方解除本协议。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22.2</w:t>
      </w:r>
      <w:r>
        <w:rPr>
          <w:rFonts w:hint="eastAsia" w:ascii="仿宋_GB2312" w:hAnsi="宋体" w:eastAsia="仿宋_GB2312"/>
          <w:sz w:val="30"/>
          <w:szCs w:val="30"/>
        </w:rPr>
        <w:t>如果发行方发生本协议第十三条、第十四条和第十五条中所列重大不利事件、违约事件、不可抗力等致使本协议目的不能实现。主承销方有权向发行方发出书面通知解除本协议。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22.3</w:t>
      </w:r>
      <w:r>
        <w:rPr>
          <w:rFonts w:hint="eastAsia" w:ascii="仿宋_GB2312" w:hAnsi="宋体" w:eastAsia="仿宋_GB2312"/>
          <w:sz w:val="30"/>
          <w:szCs w:val="30"/>
        </w:rPr>
        <w:t>如果主承销方发生本协议第十三条、第十四条和第十五条中所列重大不利事件、违约事件、不可抗力等致使本协议目的不能实现，发行方有权向主承销方发出书面通知解除本协议。</w:t>
      </w:r>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22.4</w:t>
      </w:r>
      <w:r>
        <w:rPr>
          <w:rFonts w:hint="eastAsia" w:ascii="仿宋_GB2312" w:hAnsi="宋体" w:eastAsia="仿宋_GB2312"/>
          <w:sz w:val="30"/>
          <w:szCs w:val="30"/>
        </w:rPr>
        <w:t>本协议因解除而终止时，协议各方在本协议项下的全部或部分权利、义务即行终止，但这种终止不影响任何已形成的权利和义务，也不影响各方因本协议中作出的声明、保证和承诺而应承担的责任，包括但不限于对已发行债务融资工具的后续管理义务及相关费用支付义务。</w:t>
      </w:r>
    </w:p>
    <w:p>
      <w:pPr>
        <w:pStyle w:val="12"/>
        <w:spacing w:before="156" w:after="156" w:line="360" w:lineRule="auto"/>
        <w:rPr>
          <w:rFonts w:ascii="仿宋_GB2312" w:hAnsi="宋体" w:eastAsia="仿宋_GB2312"/>
          <w:b/>
          <w:sz w:val="30"/>
          <w:szCs w:val="30"/>
        </w:rPr>
      </w:pPr>
      <w:r>
        <w:rPr>
          <w:rFonts w:hint="eastAsia" w:ascii="仿宋_GB2312" w:hAnsi="宋体" w:eastAsia="仿宋_GB2312"/>
          <w:b/>
          <w:sz w:val="30"/>
          <w:szCs w:val="30"/>
        </w:rPr>
        <w:t>22.5</w:t>
      </w:r>
      <w:r>
        <w:rPr>
          <w:rFonts w:hint="eastAsia" w:ascii="仿宋_GB2312" w:hAnsi="宋体" w:eastAsia="仿宋_GB2312"/>
          <w:sz w:val="30"/>
          <w:szCs w:val="30"/>
        </w:rPr>
        <w:t>除非本协议另有约定，本协议于本协议项下各期债务融资工具全部兑付完成之日终止。</w:t>
      </w:r>
    </w:p>
    <w:p>
      <w:pPr>
        <w:pStyle w:val="2"/>
        <w:spacing w:line="360" w:lineRule="auto"/>
        <w:rPr>
          <w:rFonts w:ascii="仿宋_GB2312" w:hAnsi="楷体_GB2312" w:eastAsia="仿宋_GB2312"/>
          <w:sz w:val="30"/>
          <w:szCs w:val="30"/>
        </w:rPr>
      </w:pPr>
      <w:bookmarkStart w:id="98" w:name="_Toc224440246"/>
      <w:bookmarkEnd w:id="98"/>
      <w:bookmarkStart w:id="99" w:name="_Toc224440358"/>
      <w:bookmarkEnd w:id="99"/>
      <w:bookmarkStart w:id="100" w:name="_Toc224440357"/>
      <w:bookmarkEnd w:id="100"/>
      <w:bookmarkStart w:id="101" w:name="_Toc224440245"/>
      <w:bookmarkEnd w:id="101"/>
      <w:bookmarkStart w:id="102" w:name="_Toc224440356"/>
      <w:bookmarkEnd w:id="102"/>
      <w:bookmarkStart w:id="103" w:name="_Toc224440355"/>
      <w:bookmarkEnd w:id="103"/>
      <w:bookmarkStart w:id="104" w:name="_Toc224440244"/>
      <w:bookmarkEnd w:id="104"/>
      <w:bookmarkStart w:id="105" w:name="_Toc224440243"/>
      <w:bookmarkEnd w:id="105"/>
      <w:bookmarkStart w:id="106" w:name="_Toc224440252"/>
      <w:bookmarkEnd w:id="106"/>
      <w:bookmarkStart w:id="107" w:name="_Toc224440364"/>
      <w:bookmarkEnd w:id="107"/>
      <w:bookmarkStart w:id="108" w:name="_Toc224440253"/>
      <w:bookmarkEnd w:id="108"/>
      <w:bookmarkStart w:id="109" w:name="_Toc224440365"/>
      <w:bookmarkEnd w:id="109"/>
      <w:bookmarkStart w:id="110" w:name="_Toc224440254"/>
      <w:bookmarkEnd w:id="110"/>
      <w:bookmarkStart w:id="111" w:name="_Toc224440366"/>
      <w:bookmarkEnd w:id="111"/>
      <w:bookmarkStart w:id="112" w:name="_Toc224440255"/>
      <w:bookmarkEnd w:id="112"/>
      <w:bookmarkStart w:id="113" w:name="_Toc224440367"/>
      <w:bookmarkEnd w:id="113"/>
      <w:bookmarkStart w:id="114" w:name="_Toc224440256"/>
      <w:bookmarkEnd w:id="114"/>
      <w:bookmarkStart w:id="115" w:name="_Toc224440368"/>
      <w:bookmarkEnd w:id="115"/>
      <w:bookmarkStart w:id="116" w:name="_Toc257911892"/>
      <w:r>
        <w:rPr>
          <w:rFonts w:hint="eastAsia" w:ascii="仿宋_GB2312" w:hAnsi="楷体_GB2312" w:eastAsia="仿宋_GB2312"/>
          <w:sz w:val="30"/>
          <w:szCs w:val="30"/>
        </w:rPr>
        <w:t>第二十三条  法律适用及争议的解决</w:t>
      </w:r>
      <w:bookmarkEnd w:id="116"/>
    </w:p>
    <w:p>
      <w:pPr>
        <w:pStyle w:val="12"/>
        <w:spacing w:before="156" w:after="156" w:line="360" w:lineRule="auto"/>
        <w:rPr>
          <w:rFonts w:ascii="仿宋_GB2312" w:hAnsi="宋体" w:eastAsia="仿宋_GB2312"/>
          <w:sz w:val="30"/>
          <w:szCs w:val="30"/>
        </w:rPr>
      </w:pPr>
      <w:r>
        <w:rPr>
          <w:rFonts w:hint="eastAsia" w:ascii="仿宋_GB2312" w:hAnsi="宋体" w:eastAsia="仿宋_GB2312"/>
          <w:b/>
          <w:sz w:val="30"/>
          <w:szCs w:val="30"/>
        </w:rPr>
        <w:t>23.1</w:t>
      </w:r>
      <w:r>
        <w:rPr>
          <w:rFonts w:hint="eastAsia" w:ascii="仿宋_GB2312" w:hAnsi="宋体" w:eastAsia="仿宋_GB2312"/>
          <w:sz w:val="30"/>
          <w:szCs w:val="30"/>
        </w:rPr>
        <w:t>本协议适用中国法律，并根据中国法律解释。</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23.2</w:t>
      </w:r>
      <w:r>
        <w:rPr>
          <w:rFonts w:hint="eastAsia" w:ascii="仿宋_GB2312" w:hAnsi="宋体" w:eastAsia="仿宋_GB2312"/>
          <w:sz w:val="30"/>
          <w:szCs w:val="30"/>
        </w:rPr>
        <w:t xml:space="preserve"> 协议各方可通过协商方式解决双方之间在本协议下或与本协议相关的任何争议、索赔或纠纷。</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23.3</w:t>
      </w:r>
      <w:r>
        <w:rPr>
          <w:rFonts w:hint="eastAsia" w:ascii="仿宋_GB2312" w:hAnsi="宋体" w:eastAsia="仿宋_GB2312"/>
          <w:sz w:val="30"/>
          <w:szCs w:val="30"/>
        </w:rPr>
        <w:t>若协议各方不进行协商或协商未果，协议各方同意应将争议、纠纷或索赔提交中国国际经济贸易仲裁委员会按照届时有效的《中国国际经济贸易仲裁委员会仲裁规则》在北京以仲裁方式解决，仲裁庭由三名仲裁员组成，仲裁裁决是终局的，对协议各方具有约束力。</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23.4</w:t>
      </w:r>
      <w:r>
        <w:rPr>
          <w:rFonts w:hint="eastAsia" w:ascii="仿宋_GB2312" w:hAnsi="宋体" w:eastAsia="仿宋_GB2312"/>
          <w:sz w:val="30"/>
          <w:szCs w:val="30"/>
        </w:rPr>
        <w:t>若协议各方另行约定其他仲裁机构解决争端，该其他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23.5</w:t>
      </w:r>
      <w:r>
        <w:rPr>
          <w:rFonts w:hint="eastAsia" w:ascii="仿宋_GB2312" w:hAnsi="宋体" w:eastAsia="仿宋_GB2312"/>
          <w:sz w:val="30"/>
          <w:szCs w:val="30"/>
        </w:rPr>
        <w:t>若协议各方另行约定不采用仲裁而采用诉讼方式解决争端，则任何一方只能向人民法院提起诉讼。</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 xml:space="preserve">23.6 </w:t>
      </w:r>
      <w:r>
        <w:rPr>
          <w:rFonts w:hint="eastAsia" w:ascii="仿宋_GB2312" w:hAnsi="宋体" w:eastAsia="仿宋_GB2312"/>
          <w:sz w:val="30"/>
          <w:szCs w:val="30"/>
        </w:rPr>
        <w:t>针对本协议任何争议条款所进行的仲裁或诉讼不影响本协议其他条款的效力和继续履行。</w:t>
      </w:r>
    </w:p>
    <w:p>
      <w:pPr>
        <w:pStyle w:val="2"/>
        <w:spacing w:line="360" w:lineRule="auto"/>
        <w:rPr>
          <w:rFonts w:ascii="仿宋_GB2312" w:hAnsi="楷体_GB2312" w:eastAsia="仿宋_GB2312"/>
          <w:sz w:val="30"/>
          <w:szCs w:val="30"/>
        </w:rPr>
      </w:pPr>
      <w:bookmarkStart w:id="117" w:name="_Toc257911893"/>
      <w:r>
        <w:rPr>
          <w:rFonts w:hint="eastAsia" w:ascii="仿宋_GB2312" w:hAnsi="楷体_GB2312" w:eastAsia="仿宋_GB2312"/>
          <w:sz w:val="30"/>
          <w:szCs w:val="30"/>
        </w:rPr>
        <w:t>第二十四条  附则</w:t>
      </w:r>
      <w:bookmarkEnd w:id="117"/>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24.1</w:t>
      </w:r>
      <w:r>
        <w:rPr>
          <w:rFonts w:hint="eastAsia" w:ascii="仿宋_GB2312" w:hAnsi="宋体" w:eastAsia="仿宋_GB2312"/>
          <w:sz w:val="30"/>
          <w:szCs w:val="30"/>
        </w:rPr>
        <w:t xml:space="preserve"> 在本协议中，除非上下文另有规定：</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24.1.1</w:t>
      </w:r>
      <w:r>
        <w:rPr>
          <w:rFonts w:hint="eastAsia" w:ascii="仿宋_GB2312" w:hAnsi="宋体" w:eastAsia="仿宋_GB2312"/>
          <w:sz w:val="30"/>
          <w:szCs w:val="30"/>
        </w:rPr>
        <w:t xml:space="preserve"> 凡提及本协议应包括对本协议的修订或补充的文件；</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24.1.2</w:t>
      </w:r>
      <w:r>
        <w:rPr>
          <w:rFonts w:hint="eastAsia" w:ascii="仿宋_GB2312" w:hAnsi="宋体" w:eastAsia="仿宋_GB2312"/>
          <w:sz w:val="30"/>
          <w:szCs w:val="30"/>
        </w:rPr>
        <w:t xml:space="preserve"> 凡提及条、款和附件是指本协议的条、款和附件；</w:t>
      </w:r>
    </w:p>
    <w:p>
      <w:pPr>
        <w:pStyle w:val="12"/>
        <w:spacing w:after="156" w:line="360" w:lineRule="auto"/>
        <w:rPr>
          <w:rFonts w:ascii="仿宋_GB2312" w:hAnsi="宋体" w:eastAsia="仿宋_GB2312"/>
          <w:sz w:val="30"/>
          <w:szCs w:val="30"/>
        </w:rPr>
      </w:pPr>
      <w:r>
        <w:rPr>
          <w:rFonts w:hint="eastAsia" w:ascii="仿宋_GB2312" w:hAnsi="宋体" w:eastAsia="仿宋_GB2312"/>
          <w:b/>
          <w:sz w:val="30"/>
          <w:szCs w:val="30"/>
        </w:rPr>
        <w:t>24.1.3</w:t>
      </w:r>
      <w:r>
        <w:rPr>
          <w:rFonts w:hint="eastAsia" w:ascii="仿宋_GB2312" w:hAnsi="宋体" w:eastAsia="仿宋_GB2312"/>
          <w:sz w:val="30"/>
          <w:szCs w:val="30"/>
        </w:rPr>
        <w:t xml:space="preserve"> 本协议名称、目录以及本协议所列标题仅出于便于参考之目的，并不影响本协议的结构且不应被用来解释本协议的任何内容。</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24.2</w:t>
      </w:r>
      <w:r>
        <w:rPr>
          <w:rFonts w:hint="eastAsia" w:ascii="仿宋_GB2312" w:hAnsi="宋体" w:eastAsia="仿宋_GB2312"/>
          <w:sz w:val="30"/>
          <w:szCs w:val="30"/>
        </w:rPr>
        <w:t xml:space="preserve"> 本协议正本一式</w:t>
      </w:r>
      <w:r>
        <w:rPr>
          <w:rFonts w:hint="eastAsia" w:ascii="仿宋_GB2312" w:hAnsi="宋体" w:eastAsia="仿宋_GB2312"/>
          <w:sz w:val="30"/>
          <w:szCs w:val="30"/>
          <w:u w:val="single"/>
        </w:rPr>
        <w:t>陆</w:t>
      </w:r>
      <w:r>
        <w:rPr>
          <w:rFonts w:hint="eastAsia" w:ascii="仿宋_GB2312" w:hAnsi="宋体" w:eastAsia="仿宋_GB2312"/>
          <w:sz w:val="30"/>
          <w:szCs w:val="30"/>
        </w:rPr>
        <w:t>份，一份由交易商协会备案，一份备用，其余各份由签署方分别留存。每份正本具有相同的法律效力。</w:t>
      </w:r>
    </w:p>
    <w:p>
      <w:pPr>
        <w:spacing w:before="156" w:after="156" w:line="360" w:lineRule="auto"/>
        <w:rPr>
          <w:rFonts w:ascii="仿宋_GB2312" w:eastAsia="仿宋_GB2312"/>
          <w:b/>
          <w:sz w:val="30"/>
          <w:szCs w:val="30"/>
        </w:rPr>
      </w:pPr>
      <w:r>
        <w:rPr>
          <w:rFonts w:hint="eastAsia" w:ascii="仿宋_GB2312" w:eastAsia="仿宋_GB2312"/>
          <w:sz w:val="30"/>
          <w:szCs w:val="30"/>
        </w:rPr>
        <w:br w:type="page"/>
      </w:r>
      <w:r>
        <w:rPr>
          <w:rFonts w:hint="eastAsia" w:ascii="仿宋_GB2312" w:eastAsia="仿宋_GB2312"/>
          <w:b/>
          <w:sz w:val="30"/>
          <w:szCs w:val="30"/>
        </w:rPr>
        <w:t>（</w:t>
      </w:r>
      <w:r>
        <w:rPr>
          <w:rFonts w:hint="eastAsia" w:ascii="仿宋_GB2312" w:hAnsi="宋体" w:eastAsia="仿宋_GB2312"/>
          <w:sz w:val="30"/>
          <w:szCs w:val="30"/>
        </w:rPr>
        <w:t>本页为</w:t>
      </w:r>
      <w:r>
        <w:rPr>
          <w:rFonts w:hint="eastAsia" w:ascii="仿宋_GB2312" w:hAnsi="宋体" w:eastAsia="仿宋_GB2312"/>
          <w:sz w:val="30"/>
          <w:szCs w:val="30"/>
          <w:u w:val="single"/>
        </w:rPr>
        <w:t>浙江省机场集团有限公司</w:t>
      </w:r>
      <w:r>
        <w:rPr>
          <w:rFonts w:hint="eastAsia" w:ascii="仿宋_GB2312" w:hAnsi="宋体" w:eastAsia="仿宋_GB2312"/>
          <w:sz w:val="30"/>
          <w:szCs w:val="30"/>
        </w:rPr>
        <w:t>非金融企业债务融资工具承销协议之</w:t>
      </w:r>
      <w:r>
        <w:rPr>
          <w:rFonts w:hint="eastAsia" w:ascii="仿宋_GB2312" w:eastAsia="仿宋_GB2312"/>
          <w:sz w:val="30"/>
          <w:szCs w:val="30"/>
        </w:rPr>
        <w:t>签署页</w:t>
      </w:r>
      <w:r>
        <w:rPr>
          <w:rFonts w:hint="eastAsia" w:ascii="仿宋_GB2312" w:eastAsia="仿宋_GB2312"/>
          <w:b/>
          <w:sz w:val="30"/>
          <w:szCs w:val="30"/>
        </w:rPr>
        <w:t>）</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甲方/发行方：</w:t>
      </w:r>
      <w:r>
        <w:rPr>
          <w:rFonts w:hint="eastAsia" w:ascii="仿宋_GB2312" w:hAnsi="宋体" w:eastAsia="仿宋_GB2312"/>
          <w:b/>
          <w:sz w:val="30"/>
          <w:szCs w:val="30"/>
        </w:rPr>
        <w:t xml:space="preserve">          </w:t>
      </w:r>
      <w:r>
        <w:rPr>
          <w:rFonts w:hint="eastAsia" w:ascii="仿宋_GB2312" w:eastAsia="仿宋_GB2312"/>
          <w:sz w:val="30"/>
          <w:szCs w:val="30"/>
        </w:rPr>
        <w:t>（公章）</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510" w:firstLineChars="170"/>
        <w:rPr>
          <w:rFonts w:ascii="仿宋_GB2312" w:eastAsia="仿宋_GB2312"/>
          <w:sz w:val="30"/>
          <w:szCs w:val="30"/>
        </w:rPr>
      </w:pPr>
      <w:r>
        <w:rPr>
          <w:rFonts w:hint="eastAsia" w:ascii="仿宋_GB2312" w:hAnsi="宋体" w:eastAsia="仿宋_GB2312"/>
          <w:sz w:val="30"/>
          <w:szCs w:val="30"/>
        </w:rPr>
        <w:t>签署时间：</w:t>
      </w:r>
      <w:r>
        <w:rPr>
          <w:rFonts w:hint="eastAsia" w:ascii="仿宋_GB2312" w:eastAsia="仿宋_GB2312"/>
          <w:sz w:val="30"/>
          <w:szCs w:val="30"/>
        </w:rPr>
        <w:t>年    月     日</w:t>
      </w:r>
    </w:p>
    <w:p>
      <w:pPr>
        <w:spacing w:before="156" w:after="156" w:line="360" w:lineRule="auto"/>
        <w:ind w:firstLine="411"/>
        <w:rPr>
          <w:rFonts w:ascii="仿宋_GB2312" w:eastAsia="仿宋_GB2312"/>
          <w:sz w:val="30"/>
          <w:szCs w:val="30"/>
        </w:rPr>
      </w:pPr>
      <w:r>
        <w:rPr>
          <w:rFonts w:ascii="仿宋_GB2312" w:eastAsia="仿宋_GB2312"/>
          <w:sz w:val="30"/>
          <w:szCs w:val="30"/>
        </w:rPr>
        <w:br w:type="page"/>
      </w:r>
      <w:r>
        <w:rPr>
          <w:rFonts w:hint="eastAsia" w:ascii="仿宋_GB2312" w:eastAsia="仿宋_GB2312"/>
          <w:b/>
          <w:sz w:val="30"/>
          <w:szCs w:val="30"/>
        </w:rPr>
        <w:t>（</w:t>
      </w:r>
      <w:r>
        <w:rPr>
          <w:rFonts w:hint="eastAsia" w:ascii="仿宋_GB2312" w:hAnsi="宋体" w:eastAsia="仿宋_GB2312"/>
          <w:sz w:val="30"/>
          <w:szCs w:val="30"/>
        </w:rPr>
        <w:t>本页为</w:t>
      </w:r>
      <w:r>
        <w:rPr>
          <w:rFonts w:hint="eastAsia" w:ascii="仿宋_GB2312" w:hAnsi="宋体" w:eastAsia="仿宋_GB2312"/>
          <w:sz w:val="30"/>
          <w:szCs w:val="30"/>
          <w:u w:val="single"/>
        </w:rPr>
        <w:t>浙江省机场集团有限公司</w:t>
      </w:r>
      <w:r>
        <w:rPr>
          <w:rFonts w:hint="eastAsia" w:ascii="仿宋_GB2312" w:hAnsi="宋体" w:eastAsia="仿宋_GB2312"/>
          <w:sz w:val="30"/>
          <w:szCs w:val="30"/>
        </w:rPr>
        <w:t>非金融企业债务融资工具承销协议之</w:t>
      </w:r>
      <w:r>
        <w:rPr>
          <w:rFonts w:hint="eastAsia" w:ascii="仿宋_GB2312" w:eastAsia="仿宋_GB2312"/>
          <w:sz w:val="30"/>
          <w:szCs w:val="30"/>
        </w:rPr>
        <w:t>签署页</w:t>
      </w:r>
      <w:r>
        <w:rPr>
          <w:rFonts w:hint="eastAsia" w:ascii="仿宋_GB2312" w:eastAsia="仿宋_GB2312"/>
          <w:b/>
          <w:sz w:val="30"/>
          <w:szCs w:val="30"/>
        </w:rPr>
        <w:t>）</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乙方一/主承销方:           （公章）</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450" w:firstLineChars="150"/>
        <w:rPr>
          <w:rFonts w:ascii="仿宋_GB2312" w:eastAsia="仿宋_GB2312"/>
          <w:sz w:val="30"/>
          <w:szCs w:val="30"/>
        </w:rPr>
      </w:pPr>
      <w:r>
        <w:rPr>
          <w:rFonts w:hint="eastAsia" w:ascii="仿宋_GB2312" w:hAnsi="宋体" w:eastAsia="仿宋_GB2312"/>
          <w:sz w:val="30"/>
          <w:szCs w:val="30"/>
        </w:rPr>
        <w:t>签署时间：</w:t>
      </w:r>
      <w:r>
        <w:rPr>
          <w:rFonts w:hint="eastAsia" w:ascii="仿宋_GB2312" w:eastAsia="仿宋_GB2312"/>
          <w:sz w:val="30"/>
          <w:szCs w:val="30"/>
        </w:rPr>
        <w:t>年    月     日</w:t>
      </w:r>
    </w:p>
    <w:p>
      <w:pPr>
        <w:spacing w:before="156" w:after="156" w:line="360" w:lineRule="auto"/>
        <w:ind w:firstLine="411"/>
        <w:rPr>
          <w:szCs w:val="24"/>
        </w:rPr>
      </w:pPr>
      <w:r>
        <w:rPr>
          <w:rFonts w:ascii="仿宋_GB2312" w:eastAsia="仿宋_GB2312"/>
          <w:sz w:val="30"/>
          <w:szCs w:val="30"/>
        </w:rPr>
        <w:br w:type="page"/>
      </w:r>
      <w:bookmarkStart w:id="118" w:name="_Toc417380298"/>
    </w:p>
    <w:bookmarkEnd w:id="118"/>
    <w:p>
      <w:pPr>
        <w:tabs>
          <w:tab w:val="left" w:pos="8280"/>
        </w:tabs>
        <w:adjustRightInd w:val="0"/>
        <w:snapToGrid w:val="0"/>
        <w:spacing w:line="360" w:lineRule="auto"/>
        <w:rPr>
          <w:rFonts w:ascii="仿宋_GB2312" w:eastAsia="仿宋_GB2312"/>
          <w:sz w:val="30"/>
          <w:szCs w:val="30"/>
        </w:rPr>
      </w:pPr>
      <w:bookmarkStart w:id="119" w:name="_Toc417380300"/>
      <w:r>
        <w:rPr>
          <w:rFonts w:hint="eastAsia" w:ascii="仿宋_GB2312" w:hAnsi="Times New Roman" w:eastAsia="仿宋_GB2312"/>
          <w:b/>
          <w:spacing w:val="6"/>
          <w:sz w:val="30"/>
          <w:szCs w:val="30"/>
        </w:rPr>
        <w:t>附件1：法定代表人资格证明书及法定代表人授权书</w:t>
      </w:r>
    </w:p>
    <w:p>
      <w:pPr>
        <w:autoSpaceDE w:val="0"/>
        <w:autoSpaceDN w:val="0"/>
        <w:adjustRightInd w:val="0"/>
        <w:snapToGrid w:val="0"/>
        <w:spacing w:line="360" w:lineRule="auto"/>
        <w:jc w:val="center"/>
        <w:rPr>
          <w:rFonts w:ascii="仿宋_GB2312" w:hAnsi="宋体" w:eastAsia="仿宋_GB2312" w:cs="宋体"/>
          <w:b/>
          <w:sz w:val="24"/>
          <w:szCs w:val="24"/>
        </w:rPr>
      </w:pPr>
    </w:p>
    <w:p>
      <w:pPr>
        <w:autoSpaceDE w:val="0"/>
        <w:autoSpaceDN w:val="0"/>
        <w:adjustRightInd w:val="0"/>
        <w:snapToGrid w:val="0"/>
        <w:spacing w:line="360" w:lineRule="auto"/>
        <w:jc w:val="center"/>
        <w:rPr>
          <w:rFonts w:ascii="仿宋_GB2312" w:hAnsi="宋体" w:eastAsia="仿宋_GB2312" w:cs="宋体"/>
          <w:b/>
          <w:sz w:val="30"/>
          <w:szCs w:val="30"/>
        </w:rPr>
      </w:pPr>
      <w:r>
        <w:rPr>
          <w:rFonts w:hint="eastAsia" w:ascii="仿宋_GB2312" w:hAnsi="宋体" w:eastAsia="仿宋_GB2312" w:cs="宋体"/>
          <w:b/>
          <w:sz w:val="30"/>
          <w:szCs w:val="30"/>
        </w:rPr>
        <w:t>（1）法定代表人身份证明</w:t>
      </w:r>
    </w:p>
    <w:p>
      <w:pPr>
        <w:autoSpaceDE w:val="0"/>
        <w:autoSpaceDN w:val="0"/>
        <w:adjustRightInd w:val="0"/>
        <w:snapToGrid w:val="0"/>
        <w:spacing w:line="360" w:lineRule="auto"/>
        <w:jc w:val="center"/>
        <w:rPr>
          <w:rFonts w:ascii="仿宋_GB2312" w:hAnsi="宋体" w:eastAsia="仿宋_GB2312" w:cs="宋体"/>
          <w:b/>
          <w:bCs/>
          <w:sz w:val="30"/>
          <w:szCs w:val="30"/>
        </w:rPr>
      </w:pP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报价人名称：</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单位性质：</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地址：</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成立时间：年月日</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经营期限：</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姓名：  性别：  年龄：  职务：</w:t>
      </w:r>
    </w:p>
    <w:p>
      <w:pPr>
        <w:adjustRightInd w:val="0"/>
        <w:snapToGrid w:val="0"/>
        <w:spacing w:after="120" w:afterLines="50" w:line="360" w:lineRule="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身份证号码：</w:t>
      </w:r>
    </w:p>
    <w:p>
      <w:pPr>
        <w:adjustRightInd w:val="0"/>
        <w:snapToGrid w:val="0"/>
        <w:spacing w:after="120" w:afterLines="50"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系（报价人名称）的法定代表人。</w:t>
      </w:r>
    </w:p>
    <w:p>
      <w:pPr>
        <w:adjustRightInd w:val="0"/>
        <w:snapToGrid w:val="0"/>
        <w:spacing w:line="360" w:lineRule="auto"/>
        <w:ind w:firstLine="560"/>
        <w:rPr>
          <w:rFonts w:ascii="仿宋_GB2312" w:hAnsi="宋体" w:eastAsia="仿宋_GB2312" w:cs="宋体"/>
          <w:color w:val="000000"/>
          <w:sz w:val="24"/>
          <w:szCs w:val="24"/>
        </w:rPr>
      </w:pPr>
    </w:p>
    <w:p>
      <w:pPr>
        <w:adjustRightInd w:val="0"/>
        <w:snapToGrid w:val="0"/>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特此证明。</w:t>
      </w:r>
    </w:p>
    <w:p>
      <w:pPr>
        <w:adjustRightInd w:val="0"/>
        <w:snapToGrid w:val="0"/>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附：法定代表人身份证复印件</w:t>
      </w:r>
    </w:p>
    <w:p>
      <w:pPr>
        <w:adjustRightInd w:val="0"/>
        <w:snapToGrid w:val="0"/>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报价人：（盖单位章） </w:t>
      </w:r>
    </w:p>
    <w:p>
      <w:pPr>
        <w:adjustRightInd w:val="0"/>
        <w:snapToGrid w:val="0"/>
        <w:spacing w:line="360" w:lineRule="auto"/>
        <w:ind w:firstLine="236" w:firstLineChars="98"/>
        <w:jc w:val="right"/>
        <w:rPr>
          <w:rFonts w:ascii="仿宋_GB2312" w:hAnsi="宋体" w:eastAsia="仿宋_GB2312" w:cs="宋体"/>
          <w:b/>
          <w:color w:val="000000"/>
          <w:sz w:val="24"/>
          <w:szCs w:val="24"/>
        </w:rPr>
      </w:pPr>
      <w:r>
        <w:rPr>
          <w:rFonts w:ascii="仿宋_GB2312" w:hAnsi="宋体" w:eastAsia="仿宋_GB2312" w:cs="宋体"/>
          <w:b/>
          <w:color w:val="000000"/>
          <w:sz w:val="24"/>
          <w:szCs w:val="24"/>
        </w:rPr>
        <w:pict>
          <v:shape id="文本框 1" o:spid="_x0000_s1026" o:spt="202" type="#_x0000_t202" style="position:absolute;left:0pt;margin-left:0pt;margin-top:31.2pt;height:171.6pt;width:423pt;mso-wrap-distance-bottom:0pt;mso-wrap-distance-left:9pt;mso-wrap-distance-right:9pt;mso-wrap-distance-top:0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w:r>
      <w:r>
        <w:rPr>
          <w:rFonts w:hint="eastAsia" w:ascii="仿宋_GB2312" w:hAnsi="宋体" w:eastAsia="仿宋_GB2312" w:cs="宋体"/>
          <w:color w:val="000000"/>
          <w:sz w:val="24"/>
          <w:szCs w:val="24"/>
        </w:rPr>
        <w:t>日期：   年    月    日</w:t>
      </w:r>
    </w:p>
    <w:p>
      <w:pPr>
        <w:adjustRightInd w:val="0"/>
        <w:snapToGrid w:val="0"/>
        <w:spacing w:line="360" w:lineRule="auto"/>
        <w:rPr>
          <w:rFonts w:ascii="仿宋_GB2312" w:hAnsi="宋体" w:eastAsia="仿宋_GB2312" w:cs="宋体"/>
          <w:sz w:val="30"/>
          <w:szCs w:val="30"/>
        </w:rPr>
      </w:pPr>
    </w:p>
    <w:p>
      <w:pPr>
        <w:adjustRightInd w:val="0"/>
        <w:snapToGrid w:val="0"/>
        <w:spacing w:line="360" w:lineRule="auto"/>
        <w:jc w:val="center"/>
        <w:rPr>
          <w:rFonts w:ascii="仿宋_GB2312" w:hAnsi="宋体" w:eastAsia="仿宋_GB2312"/>
          <w:b/>
          <w:sz w:val="30"/>
          <w:szCs w:val="30"/>
        </w:rPr>
      </w:pPr>
    </w:p>
    <w:p>
      <w:pPr>
        <w:adjustRightInd w:val="0"/>
        <w:snapToGrid w:val="0"/>
        <w:spacing w:line="360" w:lineRule="auto"/>
        <w:jc w:val="center"/>
        <w:rPr>
          <w:rFonts w:ascii="仿宋_GB2312" w:hAnsi="宋体" w:eastAsia="仿宋_GB2312"/>
          <w:b/>
          <w:sz w:val="30"/>
          <w:szCs w:val="30"/>
        </w:rPr>
      </w:pPr>
      <w:r>
        <w:rPr>
          <w:rFonts w:hint="eastAsia" w:ascii="仿宋_GB2312" w:hAnsi="宋体" w:eastAsia="仿宋_GB2312"/>
          <w:b/>
          <w:sz w:val="30"/>
          <w:szCs w:val="30"/>
        </w:rPr>
        <w:t>（2） 法定代表人授权书</w:t>
      </w:r>
    </w:p>
    <w:p>
      <w:pPr>
        <w:adjustRightInd w:val="0"/>
        <w:snapToGrid w:val="0"/>
        <w:spacing w:line="360" w:lineRule="auto"/>
        <w:rPr>
          <w:rFonts w:ascii="仿宋_GB2312" w:hAnsi="宋体" w:eastAsia="仿宋_GB2312"/>
          <w:sz w:val="30"/>
          <w:szCs w:val="30"/>
        </w:rPr>
      </w:pPr>
    </w:p>
    <w:p>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本人（姓名）系(报价人全称)的法定代表人，现授权 (授权委托人姓名)为我方授权委托人，参加贵方组织的项目采购活动，授权委托人以我方名义签署、澄清、说明、补正、递交、撤回、修改采购响应文件、签订合同和处理有关事宜，其法律后果由我方承担。</w:t>
      </w:r>
    </w:p>
    <w:p>
      <w:pPr>
        <w:adjustRightInd w:val="0"/>
        <w:snapToGrid w:val="0"/>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委托期限：</w:t>
      </w:r>
      <w:r>
        <w:rPr>
          <w:rFonts w:hint="eastAsia" w:ascii="仿宋_GB2312" w:hAnsi="宋体" w:eastAsia="仿宋_GB2312"/>
          <w:sz w:val="24"/>
          <w:szCs w:val="24"/>
          <w:u w:val="single"/>
        </w:rPr>
        <w:t xml:space="preserve">  同本项目谈判有效期 。</w:t>
      </w:r>
    </w:p>
    <w:p>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授权委托人无转委托权。</w:t>
      </w:r>
    </w:p>
    <w:p>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报价人全称(公章)：</w:t>
      </w:r>
    </w:p>
    <w:p>
      <w:pPr>
        <w:adjustRightInd w:val="0"/>
        <w:snapToGrid w:val="0"/>
        <w:spacing w:line="360" w:lineRule="auto"/>
        <w:ind w:firstLine="2880" w:firstLineChars="1200"/>
        <w:rPr>
          <w:rFonts w:ascii="仿宋_GB2312" w:hAnsi="宋体" w:eastAsia="仿宋_GB2312"/>
          <w:sz w:val="24"/>
          <w:szCs w:val="24"/>
        </w:rPr>
      </w:pPr>
      <w:r>
        <w:rPr>
          <w:rFonts w:hint="eastAsia" w:ascii="仿宋_GB2312" w:hAnsi="宋体" w:eastAsia="仿宋_GB2312"/>
          <w:sz w:val="24"/>
          <w:szCs w:val="24"/>
        </w:rPr>
        <w:t>法定代表人：（签字或盖章）</w:t>
      </w:r>
    </w:p>
    <w:p>
      <w:pPr>
        <w:adjustRightInd w:val="0"/>
        <w:snapToGrid w:val="0"/>
        <w:spacing w:line="360" w:lineRule="auto"/>
        <w:ind w:firstLine="2880" w:firstLineChars="1200"/>
        <w:rPr>
          <w:rFonts w:ascii="仿宋_GB2312" w:hAnsi="宋体" w:eastAsia="仿宋_GB2312"/>
          <w:sz w:val="24"/>
          <w:szCs w:val="24"/>
        </w:rPr>
      </w:pPr>
      <w:r>
        <w:rPr>
          <w:rFonts w:hint="eastAsia" w:ascii="仿宋_GB2312" w:hAnsi="宋体" w:eastAsia="仿宋_GB2312"/>
          <w:sz w:val="24"/>
          <w:szCs w:val="24"/>
        </w:rPr>
        <w:t>身份证号码：</w:t>
      </w:r>
    </w:p>
    <w:p>
      <w:pPr>
        <w:adjustRightInd w:val="0"/>
        <w:snapToGrid w:val="0"/>
        <w:spacing w:line="360" w:lineRule="auto"/>
        <w:ind w:firstLine="2880" w:firstLineChars="1200"/>
        <w:rPr>
          <w:rFonts w:ascii="仿宋_GB2312" w:hAnsi="宋体" w:eastAsia="仿宋_GB2312"/>
          <w:sz w:val="24"/>
          <w:szCs w:val="24"/>
        </w:rPr>
      </w:pPr>
      <w:r>
        <w:rPr>
          <w:rFonts w:hint="eastAsia" w:ascii="仿宋_GB2312" w:hAnsi="宋体" w:eastAsia="仿宋_GB2312"/>
          <w:sz w:val="24"/>
          <w:szCs w:val="24"/>
        </w:rPr>
        <w:t xml:space="preserve">授权委托人：（签字或盖章）　　　　　　　　　　　　     </w:t>
      </w:r>
    </w:p>
    <w:p>
      <w:pPr>
        <w:adjustRightInd w:val="0"/>
        <w:snapToGrid w:val="0"/>
        <w:spacing w:line="360" w:lineRule="auto"/>
        <w:ind w:firstLine="2880" w:firstLineChars="1200"/>
        <w:rPr>
          <w:rFonts w:ascii="仿宋_GB2312" w:hAnsi="宋体" w:eastAsia="仿宋_GB2312"/>
          <w:sz w:val="24"/>
          <w:szCs w:val="24"/>
        </w:rPr>
      </w:pPr>
      <w:r>
        <w:rPr>
          <w:rFonts w:hint="eastAsia" w:ascii="仿宋_GB2312" w:hAnsi="宋体" w:eastAsia="仿宋_GB2312"/>
          <w:sz w:val="24"/>
          <w:szCs w:val="24"/>
        </w:rPr>
        <w:t>身份证号码：</w:t>
      </w:r>
    </w:p>
    <w:p>
      <w:pPr>
        <w:adjustRightInd w:val="0"/>
        <w:snapToGrid w:val="0"/>
        <w:spacing w:line="360" w:lineRule="auto"/>
        <w:jc w:val="left"/>
        <w:rPr>
          <w:rFonts w:ascii="仿宋_GB2312" w:hAnsi="Times New Roman" w:eastAsia="仿宋_GB2312"/>
          <w:b/>
          <w:spacing w:val="6"/>
          <w:sz w:val="24"/>
          <w:szCs w:val="24"/>
        </w:rPr>
      </w:pPr>
      <w:r>
        <w:rPr>
          <w:rFonts w:hint="eastAsia" w:ascii="仿宋_GB2312" w:hAnsi="宋体" w:eastAsia="仿宋_GB2312"/>
          <w:sz w:val="24"/>
          <w:szCs w:val="24"/>
        </w:rPr>
        <w:t xml:space="preserve">     　　　　　　           日　期：</w:t>
      </w:r>
      <w:r>
        <w:rPr>
          <w:rFonts w:hint="eastAsia" w:ascii="仿宋_GB2312" w:hAnsi="Times New Roman" w:eastAsia="仿宋_GB2312"/>
          <w:b/>
          <w:spacing w:val="6"/>
          <w:sz w:val="24"/>
          <w:szCs w:val="24"/>
        </w:rPr>
        <w:br w:type="page"/>
      </w:r>
    </w:p>
    <w:p>
      <w:pPr>
        <w:pStyle w:val="27"/>
        <w:numPr>
          <w:ilvl w:val="0"/>
          <w:numId w:val="0"/>
        </w:numPr>
        <w:adjustRightInd w:val="0"/>
        <w:snapToGrid w:val="0"/>
        <w:spacing w:line="360" w:lineRule="auto"/>
        <w:rPr>
          <w:rFonts w:ascii="仿宋_GB2312" w:eastAsia="仿宋_GB2312"/>
          <w:sz w:val="30"/>
          <w:szCs w:val="30"/>
        </w:rPr>
      </w:pPr>
      <w:r>
        <w:rPr>
          <w:rFonts w:hint="eastAsia" w:ascii="仿宋_GB2312" w:hAnsi="Times New Roman" w:eastAsia="仿宋_GB2312"/>
          <w:b/>
          <w:spacing w:val="6"/>
          <w:sz w:val="30"/>
          <w:szCs w:val="30"/>
        </w:rPr>
        <w:t>附件2：报价人基本情况表</w:t>
      </w:r>
      <w:bookmarkEnd w:id="119"/>
    </w:p>
    <w:tbl>
      <w:tblPr>
        <w:tblStyle w:val="19"/>
        <w:tblW w:w="8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企业名称</w:t>
            </w:r>
          </w:p>
        </w:tc>
        <w:tc>
          <w:tcPr>
            <w:tcW w:w="6690" w:type="dxa"/>
            <w:gridSpan w:val="3"/>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主要业务范围</w:t>
            </w:r>
          </w:p>
        </w:tc>
        <w:tc>
          <w:tcPr>
            <w:tcW w:w="6690" w:type="dxa"/>
            <w:gridSpan w:val="3"/>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法定代表人姓名</w:t>
            </w:r>
          </w:p>
        </w:tc>
        <w:tc>
          <w:tcPr>
            <w:tcW w:w="3485" w:type="dxa"/>
            <w:vAlign w:val="center"/>
          </w:tcPr>
          <w:p>
            <w:pPr>
              <w:adjustRightInd w:val="0"/>
              <w:snapToGrid w:val="0"/>
              <w:spacing w:line="360" w:lineRule="auto"/>
              <w:jc w:val="center"/>
              <w:rPr>
                <w:rFonts w:ascii="仿宋_GB2312" w:eastAsia="仿宋_GB2312"/>
                <w:b/>
                <w:sz w:val="24"/>
                <w:szCs w:val="24"/>
              </w:rPr>
            </w:pPr>
          </w:p>
        </w:tc>
        <w:tc>
          <w:tcPr>
            <w:tcW w:w="1176"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职   务</w:t>
            </w:r>
          </w:p>
        </w:tc>
        <w:tc>
          <w:tcPr>
            <w:tcW w:w="2029" w:type="dxa"/>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总部地址</w:t>
            </w:r>
          </w:p>
        </w:tc>
        <w:tc>
          <w:tcPr>
            <w:tcW w:w="3485" w:type="dxa"/>
            <w:vAlign w:val="center"/>
          </w:tcPr>
          <w:p>
            <w:pPr>
              <w:adjustRightInd w:val="0"/>
              <w:snapToGrid w:val="0"/>
              <w:spacing w:line="360" w:lineRule="auto"/>
              <w:jc w:val="center"/>
              <w:rPr>
                <w:rFonts w:ascii="仿宋_GB2312" w:eastAsia="仿宋_GB2312"/>
                <w:b/>
                <w:sz w:val="24"/>
                <w:szCs w:val="24"/>
              </w:rPr>
            </w:pPr>
          </w:p>
        </w:tc>
        <w:tc>
          <w:tcPr>
            <w:tcW w:w="1176"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邮政编码</w:t>
            </w:r>
          </w:p>
        </w:tc>
        <w:tc>
          <w:tcPr>
            <w:tcW w:w="2029" w:type="dxa"/>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分支机构情况</w:t>
            </w:r>
          </w:p>
        </w:tc>
        <w:tc>
          <w:tcPr>
            <w:tcW w:w="6690" w:type="dxa"/>
            <w:gridSpan w:val="3"/>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电          话</w:t>
            </w:r>
          </w:p>
        </w:tc>
        <w:tc>
          <w:tcPr>
            <w:tcW w:w="3485" w:type="dxa"/>
            <w:vAlign w:val="center"/>
          </w:tcPr>
          <w:p>
            <w:pPr>
              <w:adjustRightInd w:val="0"/>
              <w:snapToGrid w:val="0"/>
              <w:spacing w:line="360" w:lineRule="auto"/>
              <w:jc w:val="center"/>
              <w:rPr>
                <w:rFonts w:ascii="仿宋_GB2312" w:eastAsia="仿宋_GB2312"/>
                <w:b/>
                <w:sz w:val="24"/>
                <w:szCs w:val="24"/>
              </w:rPr>
            </w:pPr>
          </w:p>
        </w:tc>
        <w:tc>
          <w:tcPr>
            <w:tcW w:w="1176"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传   真</w:t>
            </w:r>
          </w:p>
        </w:tc>
        <w:tc>
          <w:tcPr>
            <w:tcW w:w="2029" w:type="dxa"/>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成  立  日  期</w:t>
            </w:r>
          </w:p>
        </w:tc>
        <w:tc>
          <w:tcPr>
            <w:tcW w:w="3485" w:type="dxa"/>
            <w:vAlign w:val="center"/>
          </w:tcPr>
          <w:p>
            <w:pPr>
              <w:adjustRightInd w:val="0"/>
              <w:snapToGrid w:val="0"/>
              <w:spacing w:line="360" w:lineRule="auto"/>
              <w:jc w:val="center"/>
              <w:rPr>
                <w:rFonts w:ascii="仿宋_GB2312" w:eastAsia="仿宋_GB2312"/>
                <w:b/>
                <w:sz w:val="24"/>
                <w:szCs w:val="24"/>
              </w:rPr>
            </w:pPr>
          </w:p>
        </w:tc>
        <w:tc>
          <w:tcPr>
            <w:tcW w:w="1176"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现 有 职</w:t>
            </w:r>
          </w:p>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工 人 数</w:t>
            </w:r>
          </w:p>
        </w:tc>
        <w:tc>
          <w:tcPr>
            <w:tcW w:w="2029" w:type="dxa"/>
            <w:vAlign w:val="center"/>
          </w:tcPr>
          <w:p>
            <w:pPr>
              <w:adjustRightInd w:val="0"/>
              <w:snapToGrid w:val="0"/>
              <w:spacing w:line="360" w:lineRule="auto"/>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资 质 等 级 证 书</w:t>
            </w:r>
          </w:p>
        </w:tc>
        <w:tc>
          <w:tcPr>
            <w:tcW w:w="6690" w:type="dxa"/>
            <w:gridSpan w:val="3"/>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8947" w:type="dxa"/>
            <w:gridSpan w:val="4"/>
            <w:tcBorders>
              <w:bottom w:val="single" w:color="auto" w:sz="4" w:space="0"/>
            </w:tcBorders>
          </w:tcPr>
          <w:p>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rPr>
              <w:t>项目经历：</w:t>
            </w:r>
          </w:p>
          <w:p>
            <w:pPr>
              <w:adjustRightInd w:val="0"/>
              <w:snapToGrid w:val="0"/>
              <w:spacing w:line="360" w:lineRule="auto"/>
              <w:rPr>
                <w:rFonts w:ascii="仿宋_GB2312" w:eastAsia="仿宋_GB2312"/>
                <w:sz w:val="24"/>
                <w:szCs w:val="24"/>
              </w:rPr>
            </w:pPr>
          </w:p>
        </w:tc>
      </w:tr>
    </w:tbl>
    <w:p>
      <w:pPr>
        <w:adjustRightInd w:val="0"/>
        <w:snapToGrid w:val="0"/>
        <w:spacing w:line="360" w:lineRule="auto"/>
        <w:rPr>
          <w:rFonts w:ascii="仿宋_GB2312" w:hAnsi="宋体" w:eastAsia="仿宋_GB2312"/>
          <w:sz w:val="24"/>
          <w:szCs w:val="24"/>
        </w:rPr>
      </w:pPr>
    </w:p>
    <w:p>
      <w:pPr>
        <w:adjustRightInd w:val="0"/>
        <w:snapToGrid w:val="0"/>
        <w:spacing w:line="360" w:lineRule="auto"/>
        <w:ind w:firstLine="4320" w:firstLineChars="1800"/>
        <w:rPr>
          <w:rFonts w:ascii="仿宋_GB2312" w:hAnsi="宋体" w:eastAsia="仿宋_GB2312"/>
          <w:sz w:val="24"/>
          <w:szCs w:val="24"/>
        </w:rPr>
      </w:pPr>
      <w:r>
        <w:rPr>
          <w:rFonts w:hint="eastAsia" w:ascii="仿宋_GB2312" w:hAnsi="宋体" w:eastAsia="仿宋_GB2312"/>
          <w:sz w:val="24"/>
          <w:szCs w:val="24"/>
        </w:rPr>
        <w:t>报价人(盖章)</w:t>
      </w:r>
    </w:p>
    <w:p>
      <w:pPr>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法定代表人或授权代表(签字或盖章)</w:t>
      </w:r>
    </w:p>
    <w:p>
      <w:pPr>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日期：</w:t>
      </w:r>
    </w:p>
    <w:p>
      <w:pPr>
        <w:adjustRightInd w:val="0"/>
        <w:snapToGrid w:val="0"/>
        <w:spacing w:line="360" w:lineRule="auto"/>
        <w:rPr>
          <w:rFonts w:ascii="仿宋_GB2312" w:eastAsia="仿宋_GB2312"/>
        </w:rPr>
        <w:sectPr>
          <w:footerReference r:id="rId4" w:type="default"/>
          <w:pgSz w:w="11906" w:h="16838"/>
          <w:pgMar w:top="1400" w:right="1644" w:bottom="1644" w:left="1797" w:header="851" w:footer="992" w:gutter="0"/>
          <w:cols w:space="720" w:num="1"/>
          <w:docGrid w:linePitch="312" w:charSpace="0"/>
        </w:sectPr>
      </w:pPr>
    </w:p>
    <w:p>
      <w:pPr>
        <w:pStyle w:val="27"/>
        <w:numPr>
          <w:ilvl w:val="0"/>
          <w:numId w:val="0"/>
        </w:numPr>
        <w:adjustRightInd w:val="0"/>
        <w:snapToGrid w:val="0"/>
        <w:spacing w:line="360" w:lineRule="auto"/>
        <w:rPr>
          <w:rFonts w:ascii="仿宋_GB2312" w:eastAsia="仿宋_GB2312"/>
          <w:sz w:val="30"/>
          <w:szCs w:val="30"/>
        </w:rPr>
      </w:pPr>
      <w:bookmarkStart w:id="120" w:name="_Toc417380302"/>
      <w:r>
        <w:rPr>
          <w:rFonts w:hint="eastAsia" w:ascii="仿宋_GB2312" w:hAnsi="Times New Roman" w:eastAsia="仿宋_GB2312"/>
          <w:b/>
          <w:spacing w:val="6"/>
          <w:sz w:val="30"/>
          <w:szCs w:val="30"/>
        </w:rPr>
        <w:t>附件3：拟投入本项目的专业团队人员汇总表及简历</w:t>
      </w:r>
      <w:bookmarkEnd w:id="120"/>
    </w:p>
    <w:p>
      <w:pPr>
        <w:adjustRightInd w:val="0"/>
        <w:snapToGrid w:val="0"/>
        <w:spacing w:line="360" w:lineRule="auto"/>
        <w:rPr>
          <w:rFonts w:ascii="仿宋_GB2312" w:hAnsi="宋体" w:eastAsia="仿宋_GB2312"/>
          <w:b/>
          <w:bCs/>
          <w:szCs w:val="21"/>
        </w:rPr>
      </w:pPr>
    </w:p>
    <w:p>
      <w:pPr>
        <w:adjustRightInd w:val="0"/>
        <w:snapToGrid w:val="0"/>
        <w:spacing w:line="360" w:lineRule="auto"/>
        <w:jc w:val="center"/>
        <w:rPr>
          <w:rFonts w:ascii="仿宋_GB2312" w:hAnsi="宋体" w:eastAsia="仿宋_GB2312"/>
          <w:b/>
          <w:bCs/>
          <w:sz w:val="30"/>
          <w:szCs w:val="30"/>
        </w:rPr>
      </w:pPr>
      <w:r>
        <w:rPr>
          <w:rFonts w:hint="eastAsia" w:ascii="仿宋_GB2312" w:hAnsi="宋体" w:eastAsia="仿宋_GB2312"/>
          <w:b/>
          <w:bCs/>
          <w:sz w:val="30"/>
          <w:szCs w:val="30"/>
        </w:rPr>
        <w:t>拟投入项目的专业团队人员汇总表</w:t>
      </w:r>
    </w:p>
    <w:tbl>
      <w:tblPr>
        <w:tblStyle w:val="19"/>
        <w:tblW w:w="8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3"/>
        <w:gridCol w:w="767"/>
        <w:gridCol w:w="1260"/>
        <w:gridCol w:w="935"/>
        <w:gridCol w:w="851"/>
        <w:gridCol w:w="127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序号</w:t>
            </w:r>
          </w:p>
        </w:tc>
        <w:tc>
          <w:tcPr>
            <w:tcW w:w="853"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姓名</w:t>
            </w:r>
          </w:p>
        </w:tc>
        <w:tc>
          <w:tcPr>
            <w:tcW w:w="767"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性别</w:t>
            </w:r>
          </w:p>
        </w:tc>
        <w:tc>
          <w:tcPr>
            <w:tcW w:w="1260"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出生日期</w:t>
            </w:r>
          </w:p>
        </w:tc>
        <w:tc>
          <w:tcPr>
            <w:tcW w:w="935"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学历</w:t>
            </w:r>
          </w:p>
        </w:tc>
        <w:tc>
          <w:tcPr>
            <w:tcW w:w="851"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专业</w:t>
            </w:r>
          </w:p>
        </w:tc>
        <w:tc>
          <w:tcPr>
            <w:tcW w:w="1275"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技术职称</w:t>
            </w:r>
          </w:p>
        </w:tc>
        <w:tc>
          <w:tcPr>
            <w:tcW w:w="2240" w:type="dxa"/>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rFonts w:ascii="仿宋_GB2312" w:eastAsia="仿宋_GB2312"/>
              </w:rPr>
            </w:pPr>
          </w:p>
        </w:tc>
        <w:tc>
          <w:tcPr>
            <w:tcW w:w="853" w:type="dxa"/>
            <w:vAlign w:val="center"/>
          </w:tcPr>
          <w:p>
            <w:pPr>
              <w:adjustRightInd w:val="0"/>
              <w:snapToGrid w:val="0"/>
              <w:spacing w:line="360" w:lineRule="auto"/>
              <w:rPr>
                <w:rFonts w:ascii="仿宋_GB2312" w:eastAsia="仿宋_GB2312"/>
              </w:rPr>
            </w:pPr>
          </w:p>
        </w:tc>
        <w:tc>
          <w:tcPr>
            <w:tcW w:w="767" w:type="dxa"/>
            <w:vAlign w:val="center"/>
          </w:tcPr>
          <w:p>
            <w:pPr>
              <w:adjustRightInd w:val="0"/>
              <w:snapToGrid w:val="0"/>
              <w:spacing w:line="360" w:lineRule="auto"/>
              <w:rPr>
                <w:rFonts w:ascii="仿宋_GB2312" w:eastAsia="仿宋_GB2312"/>
              </w:rPr>
            </w:pPr>
          </w:p>
        </w:tc>
        <w:tc>
          <w:tcPr>
            <w:tcW w:w="1260" w:type="dxa"/>
            <w:vAlign w:val="center"/>
          </w:tcPr>
          <w:p>
            <w:pPr>
              <w:adjustRightInd w:val="0"/>
              <w:snapToGrid w:val="0"/>
              <w:spacing w:line="360" w:lineRule="auto"/>
              <w:rPr>
                <w:rFonts w:ascii="仿宋_GB2312" w:eastAsia="仿宋_GB2312"/>
              </w:rPr>
            </w:pPr>
          </w:p>
        </w:tc>
        <w:tc>
          <w:tcPr>
            <w:tcW w:w="935" w:type="dxa"/>
            <w:vAlign w:val="center"/>
          </w:tcPr>
          <w:p>
            <w:pPr>
              <w:adjustRightInd w:val="0"/>
              <w:snapToGrid w:val="0"/>
              <w:spacing w:line="360" w:lineRule="auto"/>
              <w:rPr>
                <w:rFonts w:ascii="仿宋_GB2312" w:eastAsia="仿宋_GB2312"/>
              </w:rPr>
            </w:pPr>
          </w:p>
        </w:tc>
        <w:tc>
          <w:tcPr>
            <w:tcW w:w="851" w:type="dxa"/>
            <w:vAlign w:val="center"/>
          </w:tcPr>
          <w:p>
            <w:pPr>
              <w:adjustRightInd w:val="0"/>
              <w:snapToGrid w:val="0"/>
              <w:spacing w:line="360" w:lineRule="auto"/>
              <w:rPr>
                <w:rFonts w:ascii="仿宋_GB2312" w:eastAsia="仿宋_GB2312"/>
              </w:rPr>
            </w:pPr>
          </w:p>
        </w:tc>
        <w:tc>
          <w:tcPr>
            <w:tcW w:w="1275" w:type="dxa"/>
            <w:vAlign w:val="center"/>
          </w:tcPr>
          <w:p>
            <w:pPr>
              <w:adjustRightInd w:val="0"/>
              <w:snapToGrid w:val="0"/>
              <w:spacing w:line="360" w:lineRule="auto"/>
              <w:rPr>
                <w:rFonts w:ascii="仿宋_GB2312" w:eastAsia="仿宋_GB2312"/>
              </w:rPr>
            </w:pPr>
          </w:p>
        </w:tc>
        <w:tc>
          <w:tcPr>
            <w:tcW w:w="2240" w:type="dxa"/>
            <w:vAlign w:val="center"/>
          </w:tcPr>
          <w:p>
            <w:pPr>
              <w:adjustRightInd w:val="0"/>
              <w:snapToGrid w:val="0"/>
              <w:spacing w:line="360" w:lineRule="auto"/>
              <w:rPr>
                <w:rFonts w:ascii="仿宋_GB2312" w:eastAsia="仿宋_GB2312"/>
              </w:rPr>
            </w:pPr>
          </w:p>
        </w:tc>
      </w:tr>
    </w:tbl>
    <w:p>
      <w:pPr>
        <w:adjustRightInd w:val="0"/>
        <w:snapToGrid w:val="0"/>
        <w:spacing w:line="360" w:lineRule="auto"/>
        <w:rPr>
          <w:rFonts w:ascii="仿宋_GB2312" w:hAnsi="宋体" w:eastAsia="仿宋_GB2312"/>
          <w:b/>
        </w:rPr>
      </w:pPr>
    </w:p>
    <w:p>
      <w:pPr>
        <w:adjustRightInd w:val="0"/>
        <w:snapToGrid w:val="0"/>
        <w:spacing w:line="360" w:lineRule="auto"/>
        <w:rPr>
          <w:rFonts w:ascii="仿宋_GB2312" w:hAnsi="宋体" w:eastAsia="仿宋_GB2312"/>
          <w:b/>
        </w:rPr>
      </w:pPr>
    </w:p>
    <w:p>
      <w:pPr>
        <w:adjustRightInd w:val="0"/>
        <w:snapToGrid w:val="0"/>
        <w:spacing w:line="360" w:lineRule="auto"/>
        <w:ind w:firstLine="4440" w:firstLineChars="1850"/>
        <w:rPr>
          <w:rFonts w:ascii="仿宋_GB2312" w:hAnsi="宋体" w:eastAsia="仿宋_GB2312"/>
          <w:sz w:val="24"/>
          <w:szCs w:val="24"/>
        </w:rPr>
      </w:pPr>
      <w:r>
        <w:rPr>
          <w:rFonts w:hint="eastAsia" w:ascii="仿宋_GB2312" w:hAnsi="宋体" w:eastAsia="仿宋_GB2312"/>
          <w:sz w:val="24"/>
          <w:szCs w:val="24"/>
        </w:rPr>
        <w:t>报价人(盖章)</w:t>
      </w:r>
    </w:p>
    <w:p>
      <w:pPr>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法定代表人或授权代表(签字或盖章)</w:t>
      </w:r>
    </w:p>
    <w:p>
      <w:pPr>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日期：</w:t>
      </w:r>
    </w:p>
    <w:p>
      <w:pPr>
        <w:pStyle w:val="27"/>
        <w:numPr>
          <w:ilvl w:val="0"/>
          <w:numId w:val="0"/>
        </w:numPr>
        <w:adjustRightInd w:val="0"/>
        <w:snapToGrid w:val="0"/>
        <w:spacing w:line="360" w:lineRule="auto"/>
        <w:rPr>
          <w:rFonts w:ascii="仿宋_GB2312" w:eastAsia="仿宋_GB2312"/>
          <w:sz w:val="30"/>
          <w:szCs w:val="30"/>
        </w:rPr>
      </w:pPr>
      <w:r>
        <w:rPr>
          <w:rFonts w:hint="eastAsia" w:ascii="仿宋_GB2312" w:hAnsi="宋体" w:eastAsia="仿宋_GB2312"/>
          <w:szCs w:val="21"/>
        </w:rPr>
        <w:br w:type="page"/>
      </w:r>
      <w:bookmarkStart w:id="121" w:name="_Toc417380303"/>
      <w:r>
        <w:rPr>
          <w:rFonts w:hint="eastAsia" w:ascii="仿宋_GB2312" w:hAnsi="Times New Roman" w:eastAsia="仿宋_GB2312"/>
          <w:b/>
          <w:spacing w:val="6"/>
          <w:sz w:val="30"/>
          <w:szCs w:val="30"/>
        </w:rPr>
        <w:t>附件3-1：拟派项目负责人简历</w:t>
      </w:r>
      <w:bookmarkEnd w:id="121"/>
    </w:p>
    <w:p>
      <w:pPr>
        <w:adjustRightInd w:val="0"/>
        <w:snapToGrid w:val="0"/>
        <w:spacing w:line="360" w:lineRule="auto"/>
        <w:jc w:val="center"/>
        <w:rPr>
          <w:rFonts w:ascii="仿宋_GB2312" w:hAnsi="宋体" w:eastAsia="仿宋_GB2312"/>
          <w:b/>
          <w:bCs/>
          <w:sz w:val="30"/>
          <w:szCs w:val="30"/>
        </w:rPr>
      </w:pPr>
      <w:r>
        <w:rPr>
          <w:rFonts w:hint="eastAsia" w:ascii="仿宋_GB2312" w:hAnsi="宋体" w:eastAsia="仿宋_GB2312"/>
          <w:b/>
          <w:bCs/>
          <w:sz w:val="30"/>
          <w:szCs w:val="30"/>
        </w:rPr>
        <w:t>项目负责人简历表</w:t>
      </w:r>
    </w:p>
    <w:tbl>
      <w:tblPr>
        <w:tblStyle w:val="19"/>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0"/>
        <w:gridCol w:w="1429"/>
        <w:gridCol w:w="1080"/>
        <w:gridCol w:w="1260"/>
        <w:gridCol w:w="360"/>
        <w:gridCol w:w="143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姓 名</w:t>
            </w:r>
          </w:p>
        </w:tc>
        <w:tc>
          <w:tcPr>
            <w:tcW w:w="1429"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080"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年 龄</w:t>
            </w:r>
          </w:p>
        </w:tc>
        <w:tc>
          <w:tcPr>
            <w:tcW w:w="1620"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434"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学 历</w:t>
            </w:r>
          </w:p>
        </w:tc>
        <w:tc>
          <w:tcPr>
            <w:tcW w:w="1530"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职 务</w:t>
            </w:r>
          </w:p>
        </w:tc>
        <w:tc>
          <w:tcPr>
            <w:tcW w:w="2509"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620"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拟在本合同</w:t>
            </w:r>
          </w:p>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任职</w:t>
            </w:r>
          </w:p>
        </w:tc>
        <w:tc>
          <w:tcPr>
            <w:tcW w:w="296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工作年限</w:t>
            </w:r>
          </w:p>
        </w:tc>
        <w:tc>
          <w:tcPr>
            <w:tcW w:w="4129" w:type="dxa"/>
            <w:gridSpan w:val="4"/>
            <w:vAlign w:val="center"/>
          </w:tcPr>
          <w:p>
            <w:pPr>
              <w:autoSpaceDE w:val="0"/>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rPr>
              <w:t>年</w:t>
            </w:r>
          </w:p>
        </w:tc>
        <w:tc>
          <w:tcPr>
            <w:tcW w:w="1434"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专 业</w:t>
            </w:r>
          </w:p>
        </w:tc>
        <w:tc>
          <w:tcPr>
            <w:tcW w:w="1530"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毕业学校</w:t>
            </w:r>
          </w:p>
        </w:tc>
        <w:tc>
          <w:tcPr>
            <w:tcW w:w="7093" w:type="dxa"/>
            <w:gridSpan w:val="6"/>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641" w:type="dxa"/>
            <w:gridSpan w:val="8"/>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时 间</w:t>
            </w: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承担过的相关业绩</w:t>
            </w: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9" w:type="dxa"/>
            <w:gridSpan w:val="4"/>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324"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bl>
    <w:p>
      <w:pPr>
        <w:pStyle w:val="27"/>
        <w:numPr>
          <w:ilvl w:val="0"/>
          <w:numId w:val="0"/>
        </w:numPr>
        <w:adjustRightInd w:val="0"/>
        <w:snapToGrid w:val="0"/>
        <w:spacing w:line="360" w:lineRule="auto"/>
        <w:rPr>
          <w:rFonts w:ascii="仿宋_GB2312" w:eastAsia="仿宋_GB2312"/>
          <w:sz w:val="30"/>
          <w:szCs w:val="30"/>
        </w:rPr>
      </w:pPr>
      <w:r>
        <w:rPr>
          <w:rFonts w:hint="eastAsia" w:ascii="仿宋_GB2312" w:hAnsi="宋体" w:eastAsia="仿宋_GB2312"/>
          <w:szCs w:val="21"/>
        </w:rPr>
        <w:br w:type="page"/>
      </w:r>
      <w:bookmarkStart w:id="122" w:name="_Toc417380304"/>
      <w:r>
        <w:rPr>
          <w:rFonts w:hint="eastAsia" w:ascii="仿宋_GB2312" w:hAnsi="Times New Roman" w:eastAsia="仿宋_GB2312"/>
          <w:b/>
          <w:spacing w:val="6"/>
          <w:sz w:val="30"/>
          <w:szCs w:val="30"/>
        </w:rPr>
        <w:t>附件3-2：拟投入本项目的专业团队简历</w:t>
      </w:r>
      <w:bookmarkEnd w:id="122"/>
    </w:p>
    <w:p>
      <w:pPr>
        <w:adjustRightInd w:val="0"/>
        <w:snapToGrid w:val="0"/>
        <w:spacing w:line="360" w:lineRule="auto"/>
        <w:jc w:val="center"/>
        <w:rPr>
          <w:rFonts w:ascii="仿宋_GB2312" w:hAnsi="宋体" w:eastAsia="仿宋_GB2312"/>
          <w:b/>
          <w:bCs/>
          <w:sz w:val="30"/>
          <w:szCs w:val="30"/>
        </w:rPr>
      </w:pPr>
      <w:r>
        <w:rPr>
          <w:rFonts w:hint="eastAsia" w:ascii="仿宋_GB2312" w:hAnsi="宋体" w:eastAsia="仿宋_GB2312"/>
          <w:b/>
          <w:bCs/>
          <w:sz w:val="30"/>
          <w:szCs w:val="30"/>
        </w:rPr>
        <w:t>拟投入本项目的专业团队简历</w:t>
      </w:r>
    </w:p>
    <w:tbl>
      <w:tblPr>
        <w:tblStyle w:val="19"/>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3"/>
        <w:gridCol w:w="1440"/>
        <w:gridCol w:w="1080"/>
        <w:gridCol w:w="1260"/>
        <w:gridCol w:w="360"/>
        <w:gridCol w:w="166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姓 名</w:t>
            </w:r>
          </w:p>
        </w:tc>
        <w:tc>
          <w:tcPr>
            <w:tcW w:w="1513"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080"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年 龄</w:t>
            </w:r>
          </w:p>
        </w:tc>
        <w:tc>
          <w:tcPr>
            <w:tcW w:w="1620"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668"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学 历</w:t>
            </w:r>
          </w:p>
        </w:tc>
        <w:tc>
          <w:tcPr>
            <w:tcW w:w="1374"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职 务</w:t>
            </w:r>
          </w:p>
        </w:tc>
        <w:tc>
          <w:tcPr>
            <w:tcW w:w="2593"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1620"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拟在本合同</w:t>
            </w:r>
          </w:p>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任职</w:t>
            </w:r>
          </w:p>
        </w:tc>
        <w:tc>
          <w:tcPr>
            <w:tcW w:w="3042"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工作年限</w:t>
            </w:r>
          </w:p>
        </w:tc>
        <w:tc>
          <w:tcPr>
            <w:tcW w:w="4213" w:type="dxa"/>
            <w:gridSpan w:val="5"/>
            <w:vAlign w:val="center"/>
          </w:tcPr>
          <w:p>
            <w:pPr>
              <w:autoSpaceDE w:val="0"/>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rPr>
              <w:t>年</w:t>
            </w:r>
          </w:p>
        </w:tc>
        <w:tc>
          <w:tcPr>
            <w:tcW w:w="1668"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专 业</w:t>
            </w:r>
          </w:p>
        </w:tc>
        <w:tc>
          <w:tcPr>
            <w:tcW w:w="1374" w:type="dxa"/>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毕业学校</w:t>
            </w:r>
          </w:p>
        </w:tc>
        <w:tc>
          <w:tcPr>
            <w:tcW w:w="7255" w:type="dxa"/>
            <w:gridSpan w:val="7"/>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876" w:type="dxa"/>
            <w:gridSpan w:val="8"/>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时 间</w:t>
            </w: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参加过的相关业绩</w:t>
            </w: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780"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c>
          <w:tcPr>
            <w:tcW w:w="3402" w:type="dxa"/>
            <w:gridSpan w:val="3"/>
            <w:vAlign w:val="center"/>
          </w:tcPr>
          <w:p>
            <w:pPr>
              <w:autoSpaceDE w:val="0"/>
              <w:autoSpaceDN w:val="0"/>
              <w:adjustRightInd w:val="0"/>
              <w:snapToGrid w:val="0"/>
              <w:spacing w:line="360" w:lineRule="auto"/>
              <w:jc w:val="center"/>
              <w:rPr>
                <w:rFonts w:ascii="仿宋_GB2312" w:hAnsi="宋体" w:eastAsia="仿宋_GB2312"/>
                <w:sz w:val="24"/>
                <w:szCs w:val="24"/>
              </w:rPr>
            </w:pPr>
          </w:p>
        </w:tc>
      </w:tr>
    </w:tbl>
    <w:p>
      <w:pPr>
        <w:adjustRightInd w:val="0"/>
        <w:snapToGrid w:val="0"/>
        <w:spacing w:line="360" w:lineRule="auto"/>
        <w:rPr>
          <w:rFonts w:ascii="仿宋_GB2312" w:hAnsi="宋体" w:eastAsia="仿宋_GB2312"/>
          <w:b/>
          <w:szCs w:val="21"/>
        </w:rPr>
      </w:pPr>
    </w:p>
    <w:p>
      <w:pPr>
        <w:adjustRightInd w:val="0"/>
        <w:snapToGrid w:val="0"/>
        <w:spacing w:line="360" w:lineRule="auto"/>
      </w:pPr>
    </w:p>
    <w:p>
      <w:pPr>
        <w:adjustRightInd w:val="0"/>
        <w:snapToGrid w:val="0"/>
        <w:spacing w:line="360" w:lineRule="auto"/>
        <w:ind w:firstLine="528"/>
        <w:jc w:val="center"/>
      </w:pPr>
    </w:p>
    <w:p/>
    <w:p>
      <w:pPr>
        <w:widowControl/>
        <w:jc w:val="left"/>
      </w:pPr>
    </w:p>
    <w:p/>
    <w:p/>
    <w:p>
      <w:pPr>
        <w:autoSpaceDE w:val="0"/>
        <w:autoSpaceDN w:val="0"/>
        <w:adjustRightInd w:val="0"/>
        <w:snapToGrid w:val="0"/>
        <w:spacing w:line="360" w:lineRule="auto"/>
        <w:jc w:val="center"/>
        <w:outlineLvl w:val="0"/>
        <w:sectPr>
          <w:footerReference r:id="rId5" w:type="default"/>
          <w:footerReference r:id="rId6" w:type="even"/>
          <w:pgSz w:w="11906" w:h="16838"/>
          <w:pgMar w:top="1400" w:right="1644" w:bottom="1644" w:left="1797" w:header="851" w:footer="992" w:gutter="0"/>
          <w:cols w:space="720" w:num="1"/>
          <w:docGrid w:linePitch="312" w:charSpace="0"/>
        </w:sectPr>
      </w:pPr>
    </w:p>
    <w:p>
      <w:pPr>
        <w:adjustRightInd w:val="0"/>
        <w:snapToGrid w:val="0"/>
        <w:spacing w:line="360" w:lineRule="auto"/>
        <w:jc w:val="left"/>
        <w:rPr>
          <w:rFonts w:ascii="仿宋_GB2312" w:eastAsia="仿宋_GB2312"/>
          <w:b/>
          <w:bCs/>
          <w:sz w:val="30"/>
          <w:szCs w:val="30"/>
        </w:rPr>
      </w:pPr>
      <w:r>
        <w:rPr>
          <w:rFonts w:hint="eastAsia" w:ascii="仿宋_GB2312" w:eastAsia="仿宋_GB2312"/>
          <w:b/>
          <w:bCs/>
          <w:sz w:val="30"/>
          <w:szCs w:val="30"/>
        </w:rPr>
        <w:t>附件4：报价单</w:t>
      </w:r>
    </w:p>
    <w:p>
      <w:pPr>
        <w:autoSpaceDE w:val="0"/>
        <w:autoSpaceDN w:val="0"/>
        <w:adjustRightInd w:val="0"/>
        <w:snapToGrid w:val="0"/>
        <w:spacing w:line="360" w:lineRule="auto"/>
        <w:jc w:val="center"/>
        <w:rPr>
          <w:rFonts w:ascii="仿宋_GB2312" w:eastAsia="仿宋_GB2312"/>
          <w:b/>
          <w:sz w:val="30"/>
          <w:szCs w:val="30"/>
          <w:lang w:val="zh-CN"/>
        </w:rPr>
      </w:pPr>
      <w:r>
        <w:rPr>
          <w:rFonts w:hint="eastAsia" w:ascii="仿宋_GB2312" w:eastAsia="仿宋_GB2312"/>
          <w:b/>
          <w:sz w:val="30"/>
          <w:szCs w:val="30"/>
          <w:lang w:val="zh-CN"/>
        </w:rPr>
        <w:t>报  价  单</w:t>
      </w:r>
    </w:p>
    <w:p>
      <w:pPr>
        <w:autoSpaceDE w:val="0"/>
        <w:autoSpaceDN w:val="0"/>
        <w:adjustRightInd w:val="0"/>
        <w:snapToGrid w:val="0"/>
        <w:spacing w:line="360" w:lineRule="auto"/>
        <w:rPr>
          <w:rFonts w:ascii="仿宋_GB2312" w:hAnsi="仿宋" w:eastAsia="仿宋_GB2312"/>
          <w:color w:val="000000"/>
          <w:sz w:val="24"/>
          <w:szCs w:val="24"/>
          <w:lang w:val="zh-CN"/>
        </w:rPr>
      </w:pPr>
      <w:r>
        <w:rPr>
          <w:rFonts w:hint="eastAsia" w:ascii="仿宋_GB2312" w:hAnsi="仿宋" w:eastAsia="仿宋_GB2312"/>
          <w:color w:val="000000"/>
          <w:sz w:val="24"/>
          <w:szCs w:val="24"/>
          <w:lang w:val="zh-CN"/>
        </w:rPr>
        <w:t>项目名称：</w:t>
      </w:r>
      <w:r>
        <w:rPr>
          <w:rFonts w:hint="eastAsia" w:ascii="仿宋_GB2312" w:hAnsi="仿宋" w:eastAsia="仿宋_GB2312"/>
          <w:sz w:val="24"/>
          <w:szCs w:val="24"/>
          <w:u w:val="single"/>
        </w:rPr>
        <w:t xml:space="preserve">                                   </w:t>
      </w:r>
    </w:p>
    <w:p>
      <w:pPr>
        <w:autoSpaceDE w:val="0"/>
        <w:autoSpaceDN w:val="0"/>
        <w:adjustRightInd w:val="0"/>
        <w:snapToGrid w:val="0"/>
        <w:spacing w:line="360" w:lineRule="auto"/>
        <w:rPr>
          <w:rFonts w:ascii="仿宋_GB2312" w:hAnsi="仿宋" w:eastAsia="仿宋_GB2312"/>
          <w:sz w:val="24"/>
          <w:szCs w:val="24"/>
          <w:u w:val="single"/>
        </w:rPr>
      </w:pPr>
      <w:r>
        <w:rPr>
          <w:rFonts w:hint="eastAsia" w:ascii="仿宋_GB2312" w:hAnsi="仿宋" w:eastAsia="仿宋_GB2312"/>
          <w:color w:val="000000"/>
          <w:sz w:val="24"/>
          <w:szCs w:val="24"/>
          <w:lang w:val="zh-CN"/>
        </w:rPr>
        <w:t>报价人名称：</w:t>
      </w:r>
      <w:r>
        <w:rPr>
          <w:rFonts w:hint="eastAsia" w:ascii="仿宋_GB2312" w:hAnsi="仿宋" w:eastAsia="仿宋_GB2312"/>
          <w:sz w:val="24"/>
          <w:szCs w:val="24"/>
          <w:u w:val="single"/>
        </w:rPr>
        <w:t xml:space="preserve">                                 </w:t>
      </w:r>
    </w:p>
    <w:p>
      <w:pPr>
        <w:autoSpaceDE w:val="0"/>
        <w:autoSpaceDN w:val="0"/>
        <w:adjustRightInd w:val="0"/>
        <w:snapToGrid w:val="0"/>
        <w:spacing w:line="360" w:lineRule="auto"/>
        <w:ind w:firstLine="420"/>
        <w:rPr>
          <w:rFonts w:ascii="仿宋_GB2312" w:hAnsi="仿宋" w:eastAsia="仿宋_GB2312"/>
          <w:color w:val="000000"/>
          <w:sz w:val="24"/>
          <w:szCs w:val="24"/>
          <w:lang w:val="zh-CN"/>
        </w:rPr>
      </w:pP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17"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项目内容</w:t>
            </w:r>
          </w:p>
        </w:tc>
        <w:tc>
          <w:tcPr>
            <w:tcW w:w="2551"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报价</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817"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ascii="仿宋_GB2312" w:hAnsi="仿宋" w:eastAsia="仿宋_GB2312"/>
                <w:color w:val="000000"/>
                <w:sz w:val="24"/>
                <w:szCs w:val="24"/>
              </w:rPr>
              <w:t>1</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bCs/>
                <w:color w:val="000000"/>
                <w:sz w:val="24"/>
                <w:szCs w:val="24"/>
              </w:rPr>
            </w:pPr>
            <w:r>
              <w:rPr>
                <w:rFonts w:hint="eastAsia" w:ascii="仿宋_GB2312" w:hAnsi="仿宋" w:eastAsia="仿宋_GB2312"/>
                <w:bCs/>
                <w:color w:val="000000"/>
                <w:sz w:val="24"/>
                <w:szCs w:val="24"/>
              </w:rPr>
              <w:t>承销费率</w:t>
            </w:r>
          </w:p>
        </w:tc>
        <w:tc>
          <w:tcPr>
            <w:tcW w:w="2551" w:type="dxa"/>
            <w:vAlign w:val="center"/>
          </w:tcPr>
          <w:p>
            <w:pPr>
              <w:tabs>
                <w:tab w:val="center" w:pos="4153"/>
                <w:tab w:val="right" w:pos="8306"/>
              </w:tabs>
              <w:adjustRightInd w:val="0"/>
              <w:snapToGrid w:val="0"/>
              <w:spacing w:line="360" w:lineRule="auto"/>
              <w:ind w:firstLine="480" w:firstLineChars="200"/>
              <w:rPr>
                <w:rFonts w:ascii="仿宋_GB2312" w:hAnsi="仿宋" w:eastAsia="仿宋_GB2312" w:cs="Arial"/>
                <w:bCs/>
                <w:color w:val="000000"/>
                <w:sz w:val="24"/>
                <w:szCs w:val="24"/>
              </w:rPr>
            </w:pPr>
            <w:r>
              <w:rPr>
                <w:rFonts w:hint="eastAsia" w:ascii="仿宋_GB2312" w:hAnsi="仿宋" w:eastAsia="仿宋_GB2312"/>
                <w:color w:val="000000"/>
                <w:sz w:val="24"/>
                <w:szCs w:val="24"/>
                <w:u w:val="single"/>
                <w:lang w:val="zh-CN"/>
              </w:rPr>
              <w:t xml:space="preserve">          %</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817"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ascii="仿宋_GB2312" w:hAnsi="仿宋" w:eastAsia="仿宋_GB2312"/>
                <w:color w:val="000000"/>
                <w:sz w:val="24"/>
                <w:szCs w:val="24"/>
              </w:rPr>
              <w:t>2</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bCs/>
                <w:color w:val="000000"/>
                <w:sz w:val="24"/>
                <w:szCs w:val="24"/>
              </w:rPr>
            </w:pPr>
            <w:r>
              <w:rPr>
                <w:rFonts w:hint="eastAsia" w:ascii="仿宋_GB2312" w:hAnsi="仿宋" w:eastAsia="仿宋_GB2312"/>
                <w:bCs/>
                <w:color w:val="000000"/>
                <w:sz w:val="24"/>
                <w:szCs w:val="24"/>
              </w:rPr>
              <w:t>预期发行票面利率</w:t>
            </w:r>
          </w:p>
        </w:tc>
        <w:tc>
          <w:tcPr>
            <w:tcW w:w="2551" w:type="dxa"/>
            <w:vAlign w:val="center"/>
          </w:tcPr>
          <w:p>
            <w:pPr>
              <w:tabs>
                <w:tab w:val="center" w:pos="4153"/>
                <w:tab w:val="right" w:pos="8306"/>
              </w:tabs>
              <w:adjustRightInd w:val="0"/>
              <w:snapToGrid w:val="0"/>
              <w:spacing w:line="360" w:lineRule="auto"/>
              <w:jc w:val="center"/>
              <w:rPr>
                <w:rFonts w:ascii="仿宋_GB2312" w:hAnsi="仿宋" w:eastAsia="仿宋_GB2312" w:cs="Arial"/>
                <w:bCs/>
                <w:color w:val="000000"/>
                <w:sz w:val="24"/>
                <w:szCs w:val="24"/>
              </w:rPr>
            </w:pPr>
            <w:r>
              <w:rPr>
                <w:rFonts w:hint="eastAsia" w:ascii="仿宋_GB2312" w:hAnsi="仿宋" w:eastAsia="仿宋_GB2312"/>
                <w:bCs/>
                <w:color w:val="000000"/>
                <w:sz w:val="24"/>
                <w:szCs w:val="24"/>
              </w:rPr>
              <w:t>比基准值下降</w:t>
            </w:r>
            <w:r>
              <w:rPr>
                <w:rFonts w:hint="eastAsia" w:ascii="仿宋_GB2312" w:hAnsi="仿宋" w:eastAsia="仿宋_GB2312"/>
                <w:color w:val="000000"/>
                <w:sz w:val="24"/>
                <w:szCs w:val="24"/>
                <w:u w:val="single"/>
                <w:lang w:val="zh-CN"/>
              </w:rPr>
              <w:t xml:space="preserve">   </w:t>
            </w:r>
            <w:r>
              <w:rPr>
                <w:rFonts w:hint="eastAsia" w:ascii="仿宋_GB2312" w:hAnsi="仿宋" w:eastAsia="仿宋_GB2312"/>
                <w:bCs/>
                <w:color w:val="000000"/>
                <w:sz w:val="24"/>
                <w:szCs w:val="24"/>
              </w:rPr>
              <w:t>个BP</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817" w:type="dxa"/>
            <w:vAlign w:val="center"/>
          </w:tcPr>
          <w:p>
            <w:pPr>
              <w:tabs>
                <w:tab w:val="center" w:pos="4153"/>
                <w:tab w:val="right" w:pos="8306"/>
              </w:tabs>
              <w:adjustRightInd w:val="0"/>
              <w:snapToGrid w:val="0"/>
              <w:spacing w:line="360" w:lineRule="auto"/>
              <w:jc w:val="center"/>
              <w:rPr>
                <w:rFonts w:ascii="仿宋_GB2312" w:hAnsi="仿宋" w:eastAsia="仿宋_GB2312"/>
                <w:color w:val="000000"/>
                <w:sz w:val="24"/>
                <w:szCs w:val="24"/>
              </w:rPr>
            </w:pPr>
            <w:r>
              <w:rPr>
                <w:rFonts w:ascii="仿宋_GB2312" w:hAnsi="仿宋" w:eastAsia="仿宋_GB2312"/>
                <w:color w:val="000000"/>
                <w:sz w:val="24"/>
                <w:szCs w:val="24"/>
              </w:rPr>
              <w:t>3</w:t>
            </w:r>
          </w:p>
        </w:tc>
        <w:tc>
          <w:tcPr>
            <w:tcW w:w="2410" w:type="dxa"/>
            <w:vAlign w:val="center"/>
          </w:tcPr>
          <w:p>
            <w:pPr>
              <w:tabs>
                <w:tab w:val="center" w:pos="4153"/>
                <w:tab w:val="right" w:pos="8306"/>
              </w:tabs>
              <w:adjustRightInd w:val="0"/>
              <w:snapToGrid w:val="0"/>
              <w:spacing w:line="360" w:lineRule="auto"/>
              <w:jc w:val="center"/>
              <w:rPr>
                <w:rFonts w:ascii="仿宋_GB2312" w:hAnsi="仿宋" w:eastAsia="仿宋_GB2312"/>
                <w:bCs/>
                <w:color w:val="000000"/>
                <w:sz w:val="24"/>
                <w:szCs w:val="24"/>
              </w:rPr>
            </w:pPr>
            <w:r>
              <w:rPr>
                <w:rFonts w:hint="eastAsia" w:ascii="仿宋_GB2312" w:hAnsi="仿宋" w:eastAsia="仿宋_GB2312"/>
                <w:bCs/>
                <w:color w:val="000000"/>
                <w:sz w:val="24"/>
                <w:szCs w:val="24"/>
              </w:rPr>
              <w:t>预期票面利率</w:t>
            </w:r>
          </w:p>
          <w:p>
            <w:pPr>
              <w:tabs>
                <w:tab w:val="center" w:pos="4153"/>
                <w:tab w:val="right" w:pos="8306"/>
              </w:tabs>
              <w:adjustRightInd w:val="0"/>
              <w:snapToGrid w:val="0"/>
              <w:spacing w:line="360" w:lineRule="auto"/>
              <w:jc w:val="center"/>
              <w:rPr>
                <w:rFonts w:ascii="仿宋_GB2312" w:hAnsi="仿宋" w:eastAsia="仿宋_GB2312"/>
                <w:bCs/>
                <w:color w:val="000000"/>
                <w:sz w:val="24"/>
                <w:szCs w:val="24"/>
              </w:rPr>
            </w:pPr>
            <w:r>
              <w:rPr>
                <w:rFonts w:hint="eastAsia" w:ascii="仿宋_GB2312" w:hAnsi="仿宋" w:eastAsia="仿宋_GB2312"/>
                <w:bCs/>
                <w:color w:val="000000"/>
                <w:sz w:val="24"/>
                <w:szCs w:val="24"/>
              </w:rPr>
              <w:t>评估的弥补措施</w:t>
            </w:r>
          </w:p>
        </w:tc>
        <w:tc>
          <w:tcPr>
            <w:tcW w:w="4961" w:type="dxa"/>
            <w:gridSpan w:val="2"/>
            <w:vAlign w:val="center"/>
          </w:tcPr>
          <w:p>
            <w:pPr>
              <w:tabs>
                <w:tab w:val="center" w:pos="4153"/>
                <w:tab w:val="right" w:pos="8306"/>
              </w:tabs>
              <w:adjustRightInd w:val="0"/>
              <w:snapToGrid w:val="0"/>
              <w:spacing w:line="360" w:lineRule="auto"/>
              <w:jc w:val="center"/>
              <w:rPr>
                <w:rFonts w:ascii="仿宋_GB2312" w:hAnsi="仿宋" w:eastAsia="仿宋_GB2312" w:cs="Arial"/>
                <w:bCs/>
                <w:color w:val="000000"/>
                <w:sz w:val="24"/>
                <w:szCs w:val="24"/>
              </w:rPr>
            </w:pPr>
          </w:p>
        </w:tc>
      </w:tr>
    </w:tbl>
    <w:p>
      <w:pPr>
        <w:autoSpaceDE w:val="0"/>
        <w:autoSpaceDN w:val="0"/>
        <w:adjustRightInd w:val="0"/>
        <w:snapToGrid w:val="0"/>
        <w:spacing w:line="360" w:lineRule="auto"/>
        <w:ind w:firstLine="420"/>
        <w:jc w:val="center"/>
        <w:rPr>
          <w:rFonts w:ascii="仿宋_GB2312" w:hAnsi="仿宋" w:eastAsia="仿宋_GB2312"/>
          <w:color w:val="000000"/>
          <w:sz w:val="24"/>
          <w:szCs w:val="24"/>
          <w:lang w:val="zh-CN"/>
        </w:rPr>
      </w:pPr>
    </w:p>
    <w:p>
      <w:pPr>
        <w:autoSpaceDE w:val="0"/>
        <w:autoSpaceDN w:val="0"/>
        <w:adjustRightInd w:val="0"/>
        <w:snapToGrid w:val="0"/>
        <w:spacing w:line="360" w:lineRule="auto"/>
        <w:ind w:firstLine="420"/>
        <w:rPr>
          <w:rFonts w:ascii="仿宋_GB2312" w:hAnsi="仿宋" w:eastAsia="仿宋_GB2312"/>
          <w:color w:val="000000"/>
          <w:sz w:val="24"/>
          <w:szCs w:val="24"/>
          <w:lang w:val="zh-CN"/>
        </w:rPr>
      </w:pPr>
    </w:p>
    <w:p>
      <w:pPr>
        <w:autoSpaceDE w:val="0"/>
        <w:autoSpaceDN w:val="0"/>
        <w:adjustRightInd w:val="0"/>
        <w:snapToGrid w:val="0"/>
        <w:spacing w:line="360" w:lineRule="auto"/>
        <w:rPr>
          <w:rFonts w:ascii="仿宋_GB2312" w:hAnsi="仿宋" w:eastAsia="仿宋_GB2312"/>
          <w:color w:val="000000"/>
          <w:sz w:val="24"/>
          <w:szCs w:val="24"/>
          <w:lang w:val="zh-CN"/>
        </w:rPr>
      </w:pPr>
      <w:r>
        <w:rPr>
          <w:rFonts w:hint="eastAsia" w:ascii="仿宋_GB2312" w:hAnsi="仿宋" w:eastAsia="仿宋_GB2312"/>
          <w:color w:val="000000"/>
          <w:sz w:val="24"/>
          <w:szCs w:val="24"/>
          <w:lang w:val="zh-CN"/>
        </w:rPr>
        <w:t>报价人（盖章）：</w:t>
      </w:r>
    </w:p>
    <w:p>
      <w:pPr>
        <w:autoSpaceDE w:val="0"/>
        <w:autoSpaceDN w:val="0"/>
        <w:adjustRightInd w:val="0"/>
        <w:snapToGrid w:val="0"/>
        <w:spacing w:line="360" w:lineRule="auto"/>
        <w:rPr>
          <w:rFonts w:ascii="仿宋_GB2312" w:hAnsi="仿宋" w:eastAsia="仿宋_GB2312"/>
          <w:color w:val="000000"/>
          <w:sz w:val="24"/>
          <w:szCs w:val="24"/>
          <w:lang w:val="zh-CN"/>
        </w:rPr>
      </w:pPr>
      <w:r>
        <w:rPr>
          <w:rFonts w:hint="eastAsia" w:ascii="仿宋_GB2312" w:hAnsi="仿宋" w:eastAsia="仿宋_GB2312"/>
          <w:color w:val="000000"/>
          <w:sz w:val="24"/>
          <w:szCs w:val="24"/>
          <w:lang w:val="zh-CN"/>
        </w:rPr>
        <w:t>法定代表人或其授权代表（签字）：</w:t>
      </w:r>
    </w:p>
    <w:p>
      <w:pPr>
        <w:autoSpaceDE w:val="0"/>
        <w:autoSpaceDN w:val="0"/>
        <w:adjustRightInd w:val="0"/>
        <w:snapToGrid w:val="0"/>
        <w:spacing w:line="360" w:lineRule="auto"/>
        <w:outlineLvl w:val="0"/>
      </w:pPr>
      <w:r>
        <w:rPr>
          <w:rFonts w:hint="eastAsia" w:ascii="仿宋_GB2312" w:hAnsi="仿宋" w:eastAsia="仿宋_GB2312"/>
          <w:sz w:val="24"/>
          <w:szCs w:val="24"/>
          <w:lang w:val="zh-CN"/>
        </w:rPr>
        <w:t>日期：</w:t>
      </w:r>
      <w:r>
        <w:rPr>
          <w:rFonts w:hint="eastAsia" w:ascii="仿宋_GB2312" w:hAnsi="仿宋" w:eastAsia="仿宋_GB2312"/>
          <w:color w:val="000000"/>
          <w:sz w:val="24"/>
          <w:szCs w:val="24"/>
          <w:u w:val="single"/>
          <w:lang w:val="zh-CN"/>
        </w:rPr>
        <w:t xml:space="preserve">     </w:t>
      </w:r>
      <w:r>
        <w:rPr>
          <w:rFonts w:hint="eastAsia" w:ascii="仿宋_GB2312" w:hAnsi="仿宋" w:eastAsia="仿宋_GB2312"/>
          <w:sz w:val="24"/>
          <w:szCs w:val="24"/>
          <w:lang w:val="zh-CN"/>
        </w:rPr>
        <w:t>年</w:t>
      </w:r>
      <w:r>
        <w:rPr>
          <w:rFonts w:hint="eastAsia" w:ascii="仿宋_GB2312" w:hAnsi="仿宋" w:eastAsia="仿宋_GB2312"/>
          <w:color w:val="000000"/>
          <w:sz w:val="24"/>
          <w:szCs w:val="24"/>
          <w:u w:val="single"/>
          <w:lang w:val="zh-CN"/>
        </w:rPr>
        <w:t xml:space="preserve">    </w:t>
      </w:r>
      <w:r>
        <w:rPr>
          <w:rFonts w:hint="eastAsia" w:ascii="仿宋_GB2312" w:hAnsi="仿宋" w:eastAsia="仿宋_GB2312"/>
          <w:sz w:val="24"/>
          <w:szCs w:val="24"/>
          <w:lang w:val="zh-CN"/>
        </w:rPr>
        <w:t>月</w:t>
      </w:r>
      <w:r>
        <w:rPr>
          <w:rFonts w:hint="eastAsia" w:ascii="仿宋_GB2312" w:hAnsi="仿宋" w:eastAsia="仿宋_GB2312"/>
          <w:color w:val="000000"/>
          <w:sz w:val="24"/>
          <w:szCs w:val="24"/>
          <w:u w:val="single"/>
          <w:lang w:val="zh-CN"/>
        </w:rPr>
        <w:t xml:space="preserve">    </w:t>
      </w:r>
      <w:r>
        <w:rPr>
          <w:rFonts w:hint="eastAsia" w:ascii="仿宋_GB2312" w:hAnsi="仿宋" w:eastAsia="仿宋_GB2312"/>
          <w:sz w:val="24"/>
          <w:szCs w:val="24"/>
          <w:lang w:val="zh-CN"/>
        </w:rPr>
        <w:t xml:space="preserve">日    </w:t>
      </w:r>
    </w:p>
    <w:p/>
    <w:sectPr>
      <w:pgSz w:w="11906" w:h="16838"/>
      <w:pgMar w:top="1400" w:right="1644" w:bottom="1644"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22</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47</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F05"/>
    <w:multiLevelType w:val="multilevel"/>
    <w:tmpl w:val="10CB7F05"/>
    <w:lvl w:ilvl="0" w:tentative="0">
      <w:start w:val="1"/>
      <w:numFmt w:val="japaneseCounting"/>
      <w:lvlText w:val="第%1条"/>
      <w:lvlJc w:val="left"/>
      <w:pPr>
        <w:tabs>
          <w:tab w:val="left" w:pos="1125"/>
        </w:tabs>
        <w:ind w:left="1125" w:hanging="112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772123"/>
    <w:multiLevelType w:val="multilevel"/>
    <w:tmpl w:val="3E772123"/>
    <w:lvl w:ilvl="0" w:tentative="0">
      <w:start w:val="1"/>
      <w:numFmt w:val="decimal"/>
      <w:lvlText w:val="%1"/>
      <w:lvlJc w:val="left"/>
      <w:pPr>
        <w:tabs>
          <w:tab w:val="left" w:pos="432"/>
        </w:tabs>
        <w:ind w:left="432" w:hanging="432"/>
      </w:pPr>
      <w:rPr>
        <w:rFonts w:hint="eastAsia"/>
      </w:rPr>
    </w:lvl>
    <w:lvl w:ilvl="1" w:tentative="0">
      <w:start w:val="1"/>
      <w:numFmt w:val="decimal"/>
      <w:pStyle w:val="2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F083076"/>
    <w:multiLevelType w:val="singleLevel"/>
    <w:tmpl w:val="5F083076"/>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B27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1"/>
    <w:unhideWhenUsed/>
    <w:uiPriority w:val="99"/>
    <w:rPr>
      <w:b/>
      <w:bCs/>
    </w:rPr>
  </w:style>
  <w:style w:type="paragraph" w:styleId="5">
    <w:name w:val="annotation text"/>
    <w:basedOn w:val="1"/>
    <w:link w:val="30"/>
    <w:unhideWhenUsed/>
    <w:uiPriority w:val="99"/>
    <w:pPr>
      <w:jc w:val="left"/>
    </w:pPr>
  </w:style>
  <w:style w:type="paragraph" w:styleId="6">
    <w:name w:val="Body Text"/>
    <w:basedOn w:val="1"/>
    <w:link w:val="29"/>
    <w:unhideWhenUsed/>
    <w:qFormat/>
    <w:uiPriority w:val="99"/>
    <w:pPr>
      <w:spacing w:after="120"/>
    </w:pPr>
  </w:style>
  <w:style w:type="paragraph" w:styleId="7">
    <w:name w:val="Plain Text"/>
    <w:basedOn w:val="1"/>
    <w:link w:val="26"/>
    <w:qFormat/>
    <w:uiPriority w:val="0"/>
    <w:rPr>
      <w:rFonts w:ascii="宋体" w:hAnsi="Courier New" w:eastAsia="宋体" w:cs="Times New Roman"/>
      <w:kern w:val="0"/>
      <w:sz w:val="20"/>
    </w:rPr>
  </w:style>
  <w:style w:type="paragraph" w:styleId="8">
    <w:name w:val="Body Text Indent 2"/>
    <w:basedOn w:val="1"/>
    <w:link w:val="25"/>
    <w:qFormat/>
    <w:uiPriority w:val="0"/>
    <w:pPr>
      <w:spacing w:after="120" w:line="480" w:lineRule="auto"/>
      <w:ind w:left="420" w:leftChars="200"/>
    </w:pPr>
    <w:rPr>
      <w:rFonts w:ascii="Times New Roman" w:hAnsi="Times New Roman" w:eastAsia="宋体" w:cs="Times New Roman"/>
      <w:szCs w:val="24"/>
    </w:rPr>
  </w:style>
  <w:style w:type="paragraph" w:styleId="9">
    <w:name w:val="Balloon Text"/>
    <w:basedOn w:val="1"/>
    <w:link w:val="32"/>
    <w:unhideWhenUsed/>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4"/>
    <w:unhideWhenUsed/>
    <w:uiPriority w:val="99"/>
    <w:pPr>
      <w:spacing w:after="120"/>
      <w:ind w:left="420" w:leftChars="200"/>
    </w:pPr>
    <w:rPr>
      <w:sz w:val="16"/>
      <w:szCs w:val="16"/>
    </w:rPr>
  </w:style>
  <w:style w:type="paragraph" w:styleId="13">
    <w:name w:val="Normal (Web)"/>
    <w:basedOn w:val="1"/>
    <w:unhideWhenUsed/>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3"/>
    <w:qFormat/>
    <w:uiPriority w:val="0"/>
    <w:pPr>
      <w:spacing w:line="560" w:lineRule="exact"/>
      <w:ind w:firstLine="643" w:firstLineChars="200"/>
      <w:jc w:val="left"/>
      <w:outlineLvl w:val="0"/>
    </w:pPr>
    <w:rPr>
      <w:rFonts w:ascii="仿宋_GB2312" w:hAnsi="Cambria" w:eastAsia="仿宋_GB2312"/>
      <w:b/>
      <w:bCs/>
      <w:sz w:val="32"/>
      <w:szCs w:val="32"/>
    </w:rPr>
  </w:style>
  <w:style w:type="character" w:styleId="16">
    <w:name w:val="page number"/>
    <w:qFormat/>
    <w:uiPriority w:val="0"/>
    <w:rPr>
      <w:rFonts w:asciiTheme="minorHAnsi" w:hAnsiTheme="minorHAnsi" w:eastAsiaTheme="minorEastAsia" w:cstheme="minorBidi"/>
      <w:lang w:val="en-US" w:eastAsia="zh-CN" w:bidi="ar-SA"/>
    </w:rPr>
  </w:style>
  <w:style w:type="character" w:styleId="17">
    <w:name w:val="Hyperlink"/>
    <w:unhideWhenUsed/>
    <w:uiPriority w:val="99"/>
    <w:rPr>
      <w:rFonts w:asciiTheme="minorHAnsi" w:hAnsiTheme="minorHAnsi" w:eastAsiaTheme="minorEastAsia" w:cstheme="minorBidi"/>
      <w:color w:val="0000FF"/>
      <w:u w:val="single"/>
      <w:lang w:val="en-US" w:eastAsia="zh-CN" w:bidi="ar-SA"/>
    </w:rPr>
  </w:style>
  <w:style w:type="character" w:styleId="18">
    <w:name w:val="annotation reference"/>
    <w:basedOn w:val="15"/>
    <w:unhideWhenUsed/>
    <w:uiPriority w:val="99"/>
    <w:rPr>
      <w:rFonts w:asciiTheme="minorHAnsi" w:hAnsiTheme="minorHAnsi" w:eastAsiaTheme="minorEastAsia" w:cstheme="minorBidi"/>
      <w:sz w:val="21"/>
      <w:szCs w:val="21"/>
      <w:lang w:val="en-US" w:eastAsia="zh-CN" w:bidi="ar-SA"/>
    </w:rPr>
  </w:style>
  <w:style w:type="character" w:customStyle="1" w:styleId="20">
    <w:name w:val="页眉 字符"/>
    <w:basedOn w:val="15"/>
    <w:link w:val="11"/>
    <w:qFormat/>
    <w:uiPriority w:val="99"/>
    <w:rPr>
      <w:rFonts w:asciiTheme="minorHAnsi" w:hAnsiTheme="minorHAnsi" w:eastAsiaTheme="minorEastAsia" w:cstheme="minorBidi"/>
      <w:sz w:val="18"/>
      <w:szCs w:val="18"/>
      <w:lang w:val="en-US" w:eastAsia="zh-CN" w:bidi="ar-SA"/>
    </w:rPr>
  </w:style>
  <w:style w:type="character" w:customStyle="1" w:styleId="21">
    <w:name w:val="页脚 字符1"/>
    <w:basedOn w:val="15"/>
    <w:link w:val="10"/>
    <w:qFormat/>
    <w:uiPriority w:val="0"/>
    <w:rPr>
      <w:rFonts w:asciiTheme="minorHAnsi" w:hAnsiTheme="minorHAnsi" w:eastAsiaTheme="minorEastAsia" w:cstheme="minorBidi"/>
      <w:sz w:val="18"/>
      <w:szCs w:val="18"/>
      <w:lang w:val="en-US" w:eastAsia="zh-CN" w:bidi="ar-SA"/>
    </w:rPr>
  </w:style>
  <w:style w:type="character" w:customStyle="1" w:styleId="22">
    <w:name w:val="标题 1 字符"/>
    <w:basedOn w:val="15"/>
    <w:link w:val="2"/>
    <w:qFormat/>
    <w:uiPriority w:val="0"/>
    <w:rPr>
      <w:rFonts w:ascii="Times New Roman" w:hAnsi="Times New Roman" w:eastAsia="宋体" w:cs="Times New Roman"/>
      <w:b/>
      <w:bCs/>
      <w:kern w:val="44"/>
      <w:sz w:val="44"/>
      <w:szCs w:val="44"/>
      <w:lang w:val="en-US" w:eastAsia="zh-CN" w:bidi="ar-SA"/>
    </w:rPr>
  </w:style>
  <w:style w:type="character" w:customStyle="1" w:styleId="23">
    <w:name w:val="标题 字符"/>
    <w:link w:val="14"/>
    <w:qFormat/>
    <w:uiPriority w:val="0"/>
    <w:rPr>
      <w:rFonts w:ascii="仿宋_GB2312" w:hAnsi="Cambria" w:eastAsia="仿宋_GB2312" w:cstheme="minorBidi"/>
      <w:b/>
      <w:bCs/>
      <w:sz w:val="32"/>
      <w:szCs w:val="32"/>
      <w:lang w:val="en-US" w:eastAsia="zh-CN" w:bidi="ar-SA"/>
    </w:rPr>
  </w:style>
  <w:style w:type="character" w:customStyle="1" w:styleId="24">
    <w:name w:val="标题 Char1"/>
    <w:basedOn w:val="15"/>
    <w:qFormat/>
    <w:uiPriority w:val="10"/>
    <w:rPr>
      <w:rFonts w:eastAsia="宋体" w:asciiTheme="majorHAnsi" w:hAnsiTheme="majorHAnsi" w:cstheme="majorBidi"/>
      <w:b/>
      <w:bCs/>
      <w:sz w:val="32"/>
      <w:szCs w:val="32"/>
      <w:lang w:val="en-US" w:eastAsia="zh-CN" w:bidi="ar-SA"/>
    </w:rPr>
  </w:style>
  <w:style w:type="character" w:customStyle="1" w:styleId="25">
    <w:name w:val="正文文本缩进 2 字符"/>
    <w:basedOn w:val="15"/>
    <w:link w:val="8"/>
    <w:qFormat/>
    <w:uiPriority w:val="0"/>
    <w:rPr>
      <w:rFonts w:ascii="Times New Roman" w:hAnsi="Times New Roman" w:eastAsia="宋体" w:cs="Times New Roman"/>
      <w:szCs w:val="24"/>
      <w:lang w:val="en-US" w:eastAsia="zh-CN" w:bidi="ar-SA"/>
    </w:rPr>
  </w:style>
  <w:style w:type="character" w:customStyle="1" w:styleId="26">
    <w:name w:val="纯文本 字符"/>
    <w:basedOn w:val="15"/>
    <w:link w:val="7"/>
    <w:qFormat/>
    <w:uiPriority w:val="0"/>
    <w:rPr>
      <w:rFonts w:ascii="宋体" w:hAnsi="Courier New" w:eastAsia="宋体" w:cs="Times New Roman"/>
      <w:kern w:val="0"/>
      <w:sz w:val="20"/>
      <w:lang w:val="en-US" w:eastAsia="zh-CN" w:bidi="ar-SA"/>
    </w:rPr>
  </w:style>
  <w:style w:type="paragraph" w:customStyle="1" w:styleId="27">
    <w:name w:val="节"/>
    <w:basedOn w:val="3"/>
    <w:qFormat/>
    <w:uiPriority w:val="0"/>
    <w:pPr>
      <w:numPr>
        <w:ilvl w:val="1"/>
        <w:numId w:val="1"/>
      </w:numPr>
      <w:tabs>
        <w:tab w:val="left" w:pos="360"/>
      </w:tabs>
      <w:spacing w:line="240" w:lineRule="auto"/>
      <w:ind w:left="1430" w:hanging="420"/>
    </w:pPr>
    <w:rPr>
      <w:rFonts w:ascii="黑体" w:hAnsi="Arial" w:eastAsia="黑体" w:cs="Times New Roman"/>
      <w:b w:val="0"/>
      <w:sz w:val="28"/>
      <w:szCs w:val="28"/>
    </w:rPr>
  </w:style>
  <w:style w:type="character" w:customStyle="1" w:styleId="28">
    <w:name w:val="标题 2 字符"/>
    <w:basedOn w:val="15"/>
    <w:link w:val="3"/>
    <w:semiHidden/>
    <w:qFormat/>
    <w:uiPriority w:val="9"/>
    <w:rPr>
      <w:rFonts w:asciiTheme="majorHAnsi" w:hAnsiTheme="majorHAnsi" w:eastAsiaTheme="majorEastAsia" w:cstheme="majorBidi"/>
      <w:b/>
      <w:bCs/>
      <w:sz w:val="32"/>
      <w:szCs w:val="32"/>
      <w:lang w:val="en-US" w:eastAsia="zh-CN" w:bidi="ar-SA"/>
    </w:rPr>
  </w:style>
  <w:style w:type="character" w:customStyle="1" w:styleId="29">
    <w:name w:val="正文文本 字符"/>
    <w:basedOn w:val="15"/>
    <w:link w:val="6"/>
    <w:semiHidden/>
    <w:qFormat/>
    <w:uiPriority w:val="99"/>
    <w:rPr>
      <w:rFonts w:asciiTheme="minorHAnsi" w:hAnsiTheme="minorHAnsi" w:eastAsiaTheme="minorEastAsia" w:cstheme="minorBidi"/>
      <w:lang w:val="en-US" w:eastAsia="zh-CN" w:bidi="ar-SA"/>
    </w:rPr>
  </w:style>
  <w:style w:type="character" w:customStyle="1" w:styleId="30">
    <w:name w:val="批注文字 字符"/>
    <w:basedOn w:val="15"/>
    <w:link w:val="5"/>
    <w:semiHidden/>
    <w:qFormat/>
    <w:uiPriority w:val="99"/>
    <w:rPr>
      <w:rFonts w:asciiTheme="minorHAnsi" w:hAnsiTheme="minorHAnsi" w:eastAsiaTheme="minorEastAsia" w:cstheme="minorBidi"/>
      <w:lang w:val="en-US" w:eastAsia="zh-CN" w:bidi="ar-SA"/>
    </w:rPr>
  </w:style>
  <w:style w:type="character" w:customStyle="1" w:styleId="31">
    <w:name w:val="批注主题 字符"/>
    <w:basedOn w:val="30"/>
    <w:link w:val="4"/>
    <w:semiHidden/>
    <w:qFormat/>
    <w:uiPriority w:val="99"/>
    <w:rPr>
      <w:b/>
      <w:bCs/>
    </w:rPr>
  </w:style>
  <w:style w:type="character" w:customStyle="1" w:styleId="32">
    <w:name w:val="批注框文本 字符"/>
    <w:basedOn w:val="15"/>
    <w:link w:val="9"/>
    <w:semiHidden/>
    <w:qFormat/>
    <w:uiPriority w:val="99"/>
    <w:rPr>
      <w:rFonts w:asciiTheme="minorHAnsi" w:hAnsiTheme="minorHAnsi" w:eastAsiaTheme="minorEastAsia" w:cstheme="minorBidi"/>
      <w:sz w:val="18"/>
      <w:szCs w:val="18"/>
      <w:lang w:val="en-US" w:eastAsia="zh-CN" w:bidi="ar-SA"/>
    </w:rPr>
  </w:style>
  <w:style w:type="paragraph" w:customStyle="1" w:styleId="3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4">
    <w:name w:val="正文文本缩进 3 字符"/>
    <w:basedOn w:val="15"/>
    <w:link w:val="12"/>
    <w:semiHidden/>
    <w:qFormat/>
    <w:uiPriority w:val="99"/>
    <w:rPr>
      <w:rFonts w:asciiTheme="minorHAnsi" w:hAnsiTheme="minorHAnsi" w:eastAsiaTheme="minorEastAsia" w:cstheme="minorBidi"/>
      <w:sz w:val="16"/>
      <w:szCs w:val="16"/>
      <w:lang w:val="en-US" w:eastAsia="zh-CN" w:bidi="ar-SA"/>
    </w:rPr>
  </w:style>
  <w:style w:type="character" w:customStyle="1" w:styleId="35">
    <w:name w:val="页脚 字符"/>
    <w:qFormat/>
    <w:uiPriority w:val="99"/>
    <w:rPr>
      <w:rFonts w:asciiTheme="minorHAnsi" w:hAnsiTheme="minorHAnsi" w:eastAsiaTheme="minorEastAsia" w:cstheme="minorBidi"/>
      <w:sz w:val="18"/>
      <w:szCs w:val="18"/>
      <w:lang w:val="en-US" w:eastAsia="zh-CN" w:bidi="ar-SA"/>
    </w:rPr>
  </w:style>
  <w:style w:type="paragraph" w:customStyle="1" w:styleId="36">
    <w:name w:val="_Style 34"/>
    <w:basedOn w:val="1"/>
    <w:next w:val="1"/>
    <w:qFormat/>
    <w:uiPriority w:val="39"/>
    <w:pPr>
      <w:tabs>
        <w:tab w:val="left" w:pos="1020"/>
        <w:tab w:val="right" w:leader="dot" w:pos="8302"/>
      </w:tabs>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3018</Words>
  <Characters>17208</Characters>
  <Lines>143</Lines>
  <Paragraphs>40</Paragraphs>
  <TotalTime>0</TotalTime>
  <ScaleCrop>false</ScaleCrop>
  <LinksUpToDate>false</LinksUpToDate>
  <CharactersWithSpaces>20186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2019-04-16T08:13:00Z</dcterms:created>
  <dc:creator>宋宇</dc:creator>
  <cp:lastModifiedBy>贾思勰</cp:lastModifiedBy>
  <dcterms:modified xsi:type="dcterms:W3CDTF">2020-07-10T08:11:35Z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